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64054C">
      <w:pPr>
        <w:spacing w:before="161" w:line="224" w:lineRule="auto"/>
        <w:ind w:left="2634"/>
        <w:outlineLvl w:val="0"/>
        <w:rPr>
          <w:rFonts w:hint="eastAsia" w:ascii="黑体" w:hAnsi="黑体" w:eastAsia="黑体" w:cs="黑体"/>
          <w:sz w:val="32"/>
          <w:szCs w:val="32"/>
          <w:lang w:eastAsia="zh-CN"/>
        </w:rPr>
      </w:pPr>
      <w:r>
        <w:rPr>
          <w:rFonts w:ascii="黑体" w:hAnsi="黑体" w:eastAsia="黑体" w:cs="黑体"/>
          <w:sz w:val="32"/>
          <w:szCs w:val="32"/>
          <w:lang w:eastAsia="zh-CN"/>
        </w:rPr>
        <w:t>CCAA</w:t>
      </w:r>
      <w:r>
        <w:rPr>
          <w:rFonts w:ascii="黑体" w:hAnsi="黑体" w:eastAsia="黑体" w:cs="黑体"/>
          <w:spacing w:val="-39"/>
          <w:sz w:val="32"/>
          <w:szCs w:val="32"/>
          <w:lang w:eastAsia="zh-CN"/>
        </w:rPr>
        <w:t xml:space="preserve"> </w:t>
      </w:r>
      <w:r>
        <w:rPr>
          <w:rFonts w:ascii="黑体" w:hAnsi="黑体" w:eastAsia="黑体" w:cs="黑体"/>
          <w:spacing w:val="7"/>
          <w:sz w:val="32"/>
          <w:szCs w:val="32"/>
          <w:lang w:eastAsia="zh-CN"/>
        </w:rPr>
        <w:t>团体标准草案编制说明</w:t>
      </w:r>
    </w:p>
    <w:p w14:paraId="662BF3EC">
      <w:pPr>
        <w:spacing w:before="166"/>
        <w:rPr>
          <w:lang w:eastAsia="zh-CN"/>
        </w:rPr>
      </w:pPr>
    </w:p>
    <w:tbl>
      <w:tblPr>
        <w:tblStyle w:val="6"/>
        <w:tblW w:w="922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38"/>
        <w:gridCol w:w="170"/>
        <w:gridCol w:w="561"/>
        <w:gridCol w:w="3549"/>
        <w:gridCol w:w="1274"/>
        <w:gridCol w:w="2130"/>
      </w:tblGrid>
      <w:tr w14:paraId="1E855E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9222" w:type="dxa"/>
            <w:gridSpan w:val="6"/>
          </w:tcPr>
          <w:p w14:paraId="3F39913B">
            <w:pPr>
              <w:pStyle w:val="7"/>
              <w:spacing w:before="176" w:line="219" w:lineRule="auto"/>
              <w:ind w:left="4055"/>
              <w:rPr>
                <w:rFonts w:hint="eastAsia"/>
                <w:sz w:val="28"/>
                <w:szCs w:val="28"/>
              </w:rPr>
            </w:pPr>
            <w:r>
              <w:rPr>
                <w:b/>
                <w:bCs/>
                <w:spacing w:val="-5"/>
                <w:sz w:val="28"/>
                <w:szCs w:val="28"/>
              </w:rPr>
              <w:t>基本信息</w:t>
            </w:r>
          </w:p>
        </w:tc>
      </w:tr>
      <w:tr w14:paraId="64EE0A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538" w:type="dxa"/>
            <w:vMerge w:val="restart"/>
            <w:tcBorders>
              <w:bottom w:val="nil"/>
            </w:tcBorders>
          </w:tcPr>
          <w:p w14:paraId="7D957410">
            <w:pPr>
              <w:pStyle w:val="7"/>
              <w:spacing w:before="51" w:line="221" w:lineRule="auto"/>
              <w:ind w:left="116"/>
              <w:rPr>
                <w:rFonts w:hint="eastAsia"/>
              </w:rPr>
            </w:pPr>
            <w:r>
              <w:rPr>
                <w:spacing w:val="-1"/>
              </w:rPr>
              <w:t>标准草案名称</w:t>
            </w:r>
          </w:p>
        </w:tc>
        <w:tc>
          <w:tcPr>
            <w:tcW w:w="731" w:type="dxa"/>
            <w:gridSpan w:val="2"/>
          </w:tcPr>
          <w:p w14:paraId="69928EF5">
            <w:pPr>
              <w:pStyle w:val="7"/>
              <w:spacing w:before="51" w:line="221" w:lineRule="auto"/>
              <w:ind w:left="167"/>
              <w:rPr>
                <w:rFonts w:hint="eastAsia"/>
              </w:rPr>
            </w:pPr>
            <w:r>
              <w:rPr>
                <w:spacing w:val="-7"/>
              </w:rPr>
              <w:t>中文</w:t>
            </w:r>
          </w:p>
        </w:tc>
        <w:tc>
          <w:tcPr>
            <w:tcW w:w="6953" w:type="dxa"/>
            <w:gridSpan w:val="3"/>
          </w:tcPr>
          <w:p w14:paraId="368344AA">
            <w:pPr>
              <w:pStyle w:val="7"/>
              <w:spacing w:before="51" w:line="219" w:lineRule="auto"/>
              <w:ind w:left="112"/>
              <w:rPr>
                <w:rFonts w:hint="eastAsia"/>
                <w:lang w:eastAsia="zh-CN"/>
              </w:rPr>
            </w:pPr>
            <w:r>
              <w:rPr>
                <w:rFonts w:hint="eastAsia"/>
                <w:spacing w:val="-1"/>
                <w:lang w:eastAsia="zh-CN"/>
              </w:rPr>
              <w:t>生态产品评价 第1部分：总则</w:t>
            </w:r>
          </w:p>
        </w:tc>
      </w:tr>
      <w:tr w14:paraId="73198F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538" w:type="dxa"/>
            <w:vMerge w:val="continue"/>
            <w:tcBorders>
              <w:top w:val="nil"/>
            </w:tcBorders>
          </w:tcPr>
          <w:p w14:paraId="1B1C24F4">
            <w:pPr>
              <w:rPr>
                <w:lang w:eastAsia="zh-CN"/>
              </w:rPr>
            </w:pPr>
          </w:p>
        </w:tc>
        <w:tc>
          <w:tcPr>
            <w:tcW w:w="731" w:type="dxa"/>
            <w:gridSpan w:val="2"/>
          </w:tcPr>
          <w:p w14:paraId="21C26E86">
            <w:pPr>
              <w:pStyle w:val="7"/>
              <w:spacing w:before="51" w:line="221" w:lineRule="auto"/>
              <w:ind w:left="148"/>
              <w:rPr>
                <w:rFonts w:hint="eastAsia"/>
              </w:rPr>
            </w:pPr>
            <w:r>
              <w:rPr>
                <w:spacing w:val="-2"/>
              </w:rPr>
              <w:t>英文</w:t>
            </w:r>
          </w:p>
        </w:tc>
        <w:tc>
          <w:tcPr>
            <w:tcW w:w="6953" w:type="dxa"/>
            <w:gridSpan w:val="3"/>
          </w:tcPr>
          <w:p w14:paraId="3B16C1E7">
            <w:pPr>
              <w:spacing w:before="86" w:line="191" w:lineRule="auto"/>
              <w:ind w:left="111"/>
              <w:rPr>
                <w:rFonts w:ascii="Times New Roman" w:hAnsi="Times New Roman" w:eastAsia="Times New Roman" w:cs="Times New Roman"/>
              </w:rPr>
            </w:pPr>
            <w:r>
              <w:rPr>
                <w:rFonts w:hint="eastAsia" w:ascii="Times New Roman" w:hAnsi="Times New Roman" w:eastAsia="Times New Roman" w:cs="Times New Roman"/>
              </w:rPr>
              <w:t>Evaluation of ecological product—Part 1 : General principles</w:t>
            </w:r>
          </w:p>
        </w:tc>
      </w:tr>
      <w:tr w14:paraId="669F34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538" w:type="dxa"/>
          </w:tcPr>
          <w:p w14:paraId="36AC10D0">
            <w:pPr>
              <w:pStyle w:val="7"/>
              <w:spacing w:before="208" w:line="221" w:lineRule="auto"/>
              <w:ind w:left="119"/>
              <w:rPr>
                <w:rFonts w:hint="eastAsia"/>
              </w:rPr>
            </w:pPr>
            <w:r>
              <w:rPr>
                <w:spacing w:val="-3"/>
              </w:rPr>
              <w:t>项目类型</w:t>
            </w:r>
          </w:p>
        </w:tc>
        <w:tc>
          <w:tcPr>
            <w:tcW w:w="4280" w:type="dxa"/>
            <w:gridSpan w:val="3"/>
          </w:tcPr>
          <w:p w14:paraId="020DDC99">
            <w:pPr>
              <w:pStyle w:val="7"/>
              <w:spacing w:before="53" w:line="234" w:lineRule="auto"/>
              <w:ind w:left="121"/>
              <w:rPr>
                <w:rFonts w:hint="eastAsia"/>
                <w:lang w:eastAsia="zh-CN"/>
              </w:rPr>
            </w:pPr>
            <w:r>
              <w:rPr>
                <w:spacing w:val="-9"/>
              </w:rPr>
              <w:sym w:font="Wingdings 2" w:char="0052"/>
            </w:r>
            <w:r>
              <w:rPr>
                <w:spacing w:val="-9"/>
                <w:lang w:eastAsia="zh-CN"/>
              </w:rPr>
              <w:t>制定</w:t>
            </w:r>
            <w:r>
              <w:rPr>
                <w:spacing w:val="3"/>
                <w:lang w:eastAsia="zh-CN"/>
              </w:rPr>
              <w:t xml:space="preserve">    </w:t>
            </w:r>
            <w:r>
              <w:rPr>
                <w:rFonts w:hint="eastAsia"/>
                <w:spacing w:val="3"/>
                <w:lang w:eastAsia="zh-CN"/>
              </w:rPr>
              <w:t>☐</w:t>
            </w:r>
            <w:r>
              <w:rPr>
                <w:spacing w:val="-9"/>
                <w:lang w:eastAsia="zh-CN"/>
              </w:rPr>
              <w:t>修订</w:t>
            </w:r>
          </w:p>
          <w:p w14:paraId="68D495AC">
            <w:pPr>
              <w:pStyle w:val="7"/>
              <w:spacing w:before="44" w:line="221" w:lineRule="auto"/>
              <w:ind w:left="259"/>
              <w:rPr>
                <w:rFonts w:hint="eastAsia"/>
                <w:lang w:eastAsia="zh-CN"/>
              </w:rPr>
            </w:pPr>
            <w:r>
              <w:rPr>
                <w:spacing w:val="-1"/>
                <w:lang w:eastAsia="zh-CN"/>
              </w:rPr>
              <w:t>（被修订标准名称及编号：</w:t>
            </w:r>
            <w:r>
              <w:rPr>
                <w:lang w:eastAsia="zh-CN"/>
              </w:rPr>
              <w:t xml:space="preserve">   </w:t>
            </w:r>
            <w:r>
              <w:rPr>
                <w:rFonts w:hint="eastAsia"/>
                <w:lang w:eastAsia="zh-CN"/>
              </w:rPr>
              <w:t>/</w:t>
            </w:r>
            <w:r>
              <w:rPr>
                <w:lang w:eastAsia="zh-CN"/>
              </w:rPr>
              <w:t xml:space="preserve">       </w:t>
            </w:r>
            <w:r>
              <w:rPr>
                <w:spacing w:val="-1"/>
                <w:lang w:eastAsia="zh-CN"/>
              </w:rPr>
              <w:t>）</w:t>
            </w:r>
          </w:p>
        </w:tc>
        <w:tc>
          <w:tcPr>
            <w:tcW w:w="1274" w:type="dxa"/>
          </w:tcPr>
          <w:p w14:paraId="3E7EDB40">
            <w:pPr>
              <w:pStyle w:val="7"/>
              <w:spacing w:before="52" w:line="221" w:lineRule="auto"/>
              <w:ind w:left="224"/>
              <w:rPr>
                <w:rFonts w:hint="eastAsia"/>
              </w:rPr>
            </w:pPr>
            <w:r>
              <w:rPr>
                <w:spacing w:val="-2"/>
              </w:rPr>
              <w:t>计划编号</w:t>
            </w:r>
          </w:p>
        </w:tc>
        <w:tc>
          <w:tcPr>
            <w:tcW w:w="2130" w:type="dxa"/>
          </w:tcPr>
          <w:p w14:paraId="23AE0915">
            <w:pPr>
              <w:spacing w:before="89" w:line="189" w:lineRule="auto"/>
              <w:ind w:left="111"/>
              <w:rPr>
                <w:rFonts w:ascii="Times New Roman" w:hAnsi="Times New Roman" w:eastAsia="Times New Roman" w:cs="Times New Roman"/>
              </w:rPr>
            </w:pPr>
            <w:r>
              <w:rPr>
                <w:rFonts w:hint="eastAsia" w:ascii="Times New Roman" w:hAnsi="Times New Roman" w:eastAsia="Times New Roman" w:cs="Times New Roman"/>
                <w:spacing w:val="-1"/>
              </w:rPr>
              <w:t>2025TB017</w:t>
            </w:r>
          </w:p>
        </w:tc>
      </w:tr>
      <w:tr w14:paraId="153096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538" w:type="dxa"/>
          </w:tcPr>
          <w:p w14:paraId="04AE3CD1">
            <w:pPr>
              <w:pStyle w:val="7"/>
              <w:spacing w:before="51" w:line="221" w:lineRule="auto"/>
              <w:ind w:left="116"/>
              <w:rPr>
                <w:rFonts w:hint="eastAsia"/>
              </w:rPr>
            </w:pPr>
            <w:r>
              <w:rPr>
                <w:spacing w:val="-2"/>
              </w:rPr>
              <w:t>起止时间</w:t>
            </w:r>
          </w:p>
        </w:tc>
        <w:tc>
          <w:tcPr>
            <w:tcW w:w="7684" w:type="dxa"/>
            <w:gridSpan w:val="5"/>
          </w:tcPr>
          <w:p w14:paraId="2B5FCC62">
            <w:pPr>
              <w:pStyle w:val="7"/>
              <w:spacing w:before="51" w:line="225" w:lineRule="auto"/>
              <w:ind w:left="2477"/>
              <w:rPr>
                <w:rFonts w:hint="eastAsia"/>
              </w:rPr>
            </w:pPr>
            <w:r>
              <w:rPr>
                <w:rFonts w:ascii="Times New Roman" w:hAnsi="Times New Roman" w:eastAsia="Times New Roman" w:cs="Times New Roman"/>
                <w:spacing w:val="-3"/>
              </w:rPr>
              <w:t>202</w:t>
            </w:r>
            <w:r>
              <w:rPr>
                <w:rFonts w:hint="eastAsia" w:ascii="Times New Roman" w:hAnsi="Times New Roman" w:cs="Times New Roman"/>
                <w:spacing w:val="-3"/>
                <w:lang w:eastAsia="zh-CN"/>
              </w:rPr>
              <w:t>5</w:t>
            </w:r>
            <w:r>
              <w:rPr>
                <w:spacing w:val="-3"/>
              </w:rPr>
              <w:t>年</w:t>
            </w:r>
            <w:r>
              <w:rPr>
                <w:rFonts w:hint="eastAsia"/>
                <w:spacing w:val="-32"/>
                <w:lang w:eastAsia="zh-CN"/>
              </w:rPr>
              <w:t>1</w:t>
            </w:r>
            <w:r>
              <w:rPr>
                <w:rFonts w:ascii="Times New Roman" w:hAnsi="Times New Roman" w:eastAsia="Times New Roman" w:cs="Times New Roman"/>
                <w:spacing w:val="11"/>
              </w:rPr>
              <w:t xml:space="preserve"> </w:t>
            </w:r>
            <w:r>
              <w:rPr>
                <w:spacing w:val="-3"/>
              </w:rPr>
              <w:t>月</w:t>
            </w:r>
            <w:r>
              <w:rPr>
                <w:rFonts w:hint="eastAsia" w:ascii="Times New Roman" w:hAnsi="Times New Roman" w:cs="Times New Roman"/>
                <w:spacing w:val="-3"/>
                <w:lang w:eastAsia="zh-CN"/>
              </w:rPr>
              <w:t>--</w:t>
            </w:r>
            <w:r>
              <w:rPr>
                <w:rFonts w:ascii="Times New Roman" w:hAnsi="Times New Roman" w:eastAsia="Times New Roman" w:cs="Times New Roman"/>
                <w:spacing w:val="-3"/>
              </w:rPr>
              <w:t xml:space="preserve">  202</w:t>
            </w:r>
            <w:r>
              <w:rPr>
                <w:rFonts w:hint="eastAsia" w:ascii="Times New Roman" w:hAnsi="Times New Roman" w:cs="Times New Roman"/>
                <w:spacing w:val="-3"/>
                <w:lang w:eastAsia="zh-CN"/>
              </w:rPr>
              <w:t>5</w:t>
            </w:r>
            <w:r>
              <w:rPr>
                <w:spacing w:val="-3"/>
              </w:rPr>
              <w:t>年</w:t>
            </w:r>
            <w:r>
              <w:rPr>
                <w:spacing w:val="-30"/>
              </w:rPr>
              <w:t xml:space="preserve"> </w:t>
            </w:r>
            <w:r>
              <w:rPr>
                <w:rFonts w:ascii="Times New Roman" w:hAnsi="Times New Roman" w:eastAsia="Times New Roman" w:cs="Times New Roman"/>
                <w:spacing w:val="-3"/>
              </w:rPr>
              <w:t>12</w:t>
            </w:r>
            <w:r>
              <w:rPr>
                <w:rFonts w:ascii="Times New Roman" w:hAnsi="Times New Roman" w:eastAsia="Times New Roman" w:cs="Times New Roman"/>
                <w:spacing w:val="14"/>
              </w:rPr>
              <w:t xml:space="preserve"> </w:t>
            </w:r>
            <w:r>
              <w:rPr>
                <w:spacing w:val="-3"/>
              </w:rPr>
              <w:t>月</w:t>
            </w:r>
          </w:p>
        </w:tc>
      </w:tr>
      <w:tr w14:paraId="631657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89" w:hRule="atLeast"/>
        </w:trPr>
        <w:tc>
          <w:tcPr>
            <w:tcW w:w="1538" w:type="dxa"/>
            <w:vAlign w:val="center"/>
          </w:tcPr>
          <w:p w14:paraId="04144B13">
            <w:pPr>
              <w:pStyle w:val="7"/>
              <w:spacing w:before="68" w:line="221" w:lineRule="auto"/>
              <w:jc w:val="center"/>
              <w:rPr>
                <w:rFonts w:hint="eastAsia"/>
              </w:rPr>
            </w:pPr>
            <w:r>
              <w:rPr>
                <w:spacing w:val="-1"/>
              </w:rPr>
              <w:t>标准起草单位</w:t>
            </w:r>
          </w:p>
        </w:tc>
        <w:tc>
          <w:tcPr>
            <w:tcW w:w="7684" w:type="dxa"/>
            <w:gridSpan w:val="5"/>
          </w:tcPr>
          <w:p w14:paraId="1990CD07">
            <w:pPr>
              <w:pStyle w:val="7"/>
              <w:spacing w:before="50" w:line="266" w:lineRule="auto"/>
              <w:ind w:left="111" w:right="218" w:firstLine="19"/>
              <w:jc w:val="both"/>
              <w:rPr>
                <w:rFonts w:hint="eastAsia"/>
                <w:lang w:eastAsia="zh-CN"/>
              </w:rPr>
            </w:pPr>
            <w:r>
              <w:rPr>
                <w:rFonts w:hint="eastAsia"/>
                <w:lang w:eastAsia="zh-CN"/>
              </w:rPr>
              <w:t>北京中认科进技术服务有限公司、中国质量认证中心有限公司、中国科学院地理科学与资源研究所、中国生物多样性保护与绿色发展基金会生态文明专项基金、贵州绿色产业技术研究院、福智生（北京）科技有限公司、中检科创（北京）测试认证有限责任公司、中关村认同应用技术跨界创新联盟绿色低碳科技产业发展中心。</w:t>
            </w:r>
          </w:p>
        </w:tc>
      </w:tr>
      <w:tr w14:paraId="1574BD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538" w:type="dxa"/>
          </w:tcPr>
          <w:p w14:paraId="6B16F2A0">
            <w:pPr>
              <w:pStyle w:val="7"/>
              <w:spacing w:before="207" w:line="221" w:lineRule="auto"/>
              <w:ind w:left="116"/>
              <w:rPr>
                <w:rFonts w:hint="eastAsia"/>
              </w:rPr>
            </w:pPr>
            <w:r>
              <w:rPr>
                <w:spacing w:val="-2"/>
              </w:rPr>
              <w:t>起草组成员</w:t>
            </w:r>
          </w:p>
        </w:tc>
        <w:tc>
          <w:tcPr>
            <w:tcW w:w="7684" w:type="dxa"/>
            <w:gridSpan w:val="5"/>
          </w:tcPr>
          <w:p w14:paraId="46ADD297">
            <w:pPr>
              <w:pStyle w:val="7"/>
              <w:spacing w:before="51" w:line="249" w:lineRule="auto"/>
              <w:ind w:right="103"/>
              <w:rPr>
                <w:rFonts w:hint="eastAsia"/>
                <w:lang w:eastAsia="zh-CN"/>
              </w:rPr>
            </w:pPr>
            <w:r>
              <w:rPr>
                <w:rFonts w:hint="eastAsia"/>
                <w:lang w:eastAsia="zh-CN"/>
              </w:rPr>
              <w:t>刘钢、张玉珂、胡承志、冯健伟、史寅虎、曾召锋、吕艳、邢慧洁、姜南、王志强、罗佳妮、黄玫、曹旸、李永、张浩、张韵、张洋、</w:t>
            </w:r>
            <w:r>
              <w:rPr>
                <w:rFonts w:hint="eastAsia"/>
                <w:spacing w:val="-6"/>
                <w:lang w:eastAsia="zh-CN"/>
              </w:rPr>
              <w:t>张宁旭、张紫钰、曹江龙、</w:t>
            </w:r>
            <w:r>
              <w:rPr>
                <w:rFonts w:hint="eastAsia"/>
                <w:lang w:eastAsia="zh-CN"/>
              </w:rPr>
              <w:t>别致、杨光、李新实、彭公炳。</w:t>
            </w:r>
          </w:p>
          <w:p w14:paraId="77ADD89D">
            <w:pPr>
              <w:pStyle w:val="7"/>
              <w:spacing w:before="51" w:line="249" w:lineRule="auto"/>
              <w:ind w:right="103"/>
              <w:rPr>
                <w:rFonts w:hint="eastAsia"/>
                <w:lang w:eastAsia="zh-CN"/>
              </w:rPr>
            </w:pPr>
            <w:bookmarkStart w:id="0" w:name="_GoBack"/>
            <w:bookmarkEnd w:id="0"/>
          </w:p>
        </w:tc>
      </w:tr>
      <w:tr w14:paraId="2806CE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5" w:hRule="atLeast"/>
        </w:trPr>
        <w:tc>
          <w:tcPr>
            <w:tcW w:w="1538" w:type="dxa"/>
            <w:vAlign w:val="center"/>
          </w:tcPr>
          <w:p w14:paraId="3A8B3F45">
            <w:pPr>
              <w:pStyle w:val="7"/>
              <w:spacing w:before="208" w:line="221" w:lineRule="auto"/>
              <w:ind w:left="119"/>
              <w:jc w:val="both"/>
              <w:rPr>
                <w:rFonts w:hint="eastAsia"/>
              </w:rPr>
            </w:pPr>
            <w:r>
              <w:rPr>
                <w:spacing w:val="-2"/>
              </w:rPr>
              <w:t>项目调整情况</w:t>
            </w:r>
          </w:p>
        </w:tc>
        <w:tc>
          <w:tcPr>
            <w:tcW w:w="7684" w:type="dxa"/>
            <w:gridSpan w:val="5"/>
            <w:vAlign w:val="center"/>
          </w:tcPr>
          <w:p w14:paraId="0B070992">
            <w:pPr>
              <w:pStyle w:val="7"/>
              <w:spacing w:before="51" w:line="249" w:lineRule="auto"/>
              <w:ind w:left="113" w:right="217" w:firstLine="1"/>
              <w:jc w:val="both"/>
              <w:rPr>
                <w:rFonts w:hint="eastAsia"/>
                <w:lang w:eastAsia="zh-CN"/>
              </w:rPr>
            </w:pPr>
            <w:r>
              <w:rPr>
                <w:rFonts w:hint="eastAsia"/>
                <w:lang w:eastAsia="zh-CN"/>
              </w:rPr>
              <w:t>无</w:t>
            </w:r>
          </w:p>
        </w:tc>
      </w:tr>
      <w:tr w14:paraId="15F2A3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222" w:type="dxa"/>
            <w:gridSpan w:val="6"/>
          </w:tcPr>
          <w:p w14:paraId="2838611F">
            <w:pPr>
              <w:pStyle w:val="7"/>
              <w:spacing w:before="173" w:line="220" w:lineRule="auto"/>
              <w:ind w:left="3498"/>
              <w:rPr>
                <w:rFonts w:hint="eastAsia"/>
                <w:sz w:val="28"/>
                <w:szCs w:val="28"/>
              </w:rPr>
            </w:pPr>
            <w:r>
              <w:rPr>
                <w:b/>
                <w:bCs/>
                <w:spacing w:val="-4"/>
                <w:sz w:val="28"/>
                <w:szCs w:val="28"/>
              </w:rPr>
              <w:t>背景、目的和意义</w:t>
            </w:r>
          </w:p>
        </w:tc>
      </w:tr>
      <w:tr w14:paraId="2281B2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1" w:hRule="atLeast"/>
        </w:trPr>
        <w:tc>
          <w:tcPr>
            <w:tcW w:w="1538" w:type="dxa"/>
            <w:vAlign w:val="center"/>
          </w:tcPr>
          <w:p w14:paraId="1869CE2F">
            <w:pPr>
              <w:spacing w:line="305" w:lineRule="auto"/>
              <w:jc w:val="center"/>
            </w:pPr>
          </w:p>
          <w:p w14:paraId="2E17B1B3">
            <w:pPr>
              <w:spacing w:line="306" w:lineRule="auto"/>
              <w:jc w:val="center"/>
            </w:pPr>
          </w:p>
          <w:p w14:paraId="5E08E496">
            <w:pPr>
              <w:spacing w:line="306" w:lineRule="auto"/>
              <w:jc w:val="center"/>
            </w:pPr>
          </w:p>
          <w:p w14:paraId="1636300D">
            <w:pPr>
              <w:pStyle w:val="7"/>
              <w:spacing w:before="69" w:line="221" w:lineRule="auto"/>
              <w:ind w:left="119"/>
              <w:jc w:val="center"/>
              <w:rPr>
                <w:rFonts w:hint="eastAsia"/>
              </w:rPr>
            </w:pPr>
            <w:r>
              <w:rPr>
                <w:spacing w:val="-3"/>
              </w:rPr>
              <w:t>背景</w:t>
            </w:r>
          </w:p>
        </w:tc>
        <w:tc>
          <w:tcPr>
            <w:tcW w:w="7684" w:type="dxa"/>
            <w:gridSpan w:val="5"/>
          </w:tcPr>
          <w:p w14:paraId="37DE293B">
            <w:pPr>
              <w:pStyle w:val="7"/>
              <w:spacing w:before="59" w:line="261" w:lineRule="auto"/>
              <w:ind w:left="109" w:right="218" w:firstLine="420"/>
              <w:jc w:val="both"/>
              <w:rPr>
                <w:rFonts w:hint="eastAsia"/>
                <w:lang w:eastAsia="zh-CN"/>
              </w:rPr>
            </w:pPr>
            <w:r>
              <w:rPr>
                <w:rFonts w:hint="eastAsia"/>
                <w:lang w:eastAsia="zh-CN"/>
              </w:rPr>
              <w:t>“建立和规范生态产品认证评价标准，构建具有中国特色的生态产品认证体系”作为国家加快推进生态产品价值实现的重要抓手，被明确写入2021年的中共中央、国务院印发的《关于建立健全生态产品价值实现机制的意见》（简称：《意见》文件之中，并占据重要位置；2024年国家发改委《关于加快建立生态产品价值实现机制的实施方案》相关要求，构建具有中国特色的生态产品认证体系主要目标任务是：建立和规范生态产品认证评价标准，制定分级分类的生态产品认证评价标准细则，建立完善相应认证规范程序，相关内容为生态产品评价标准研制提供了具体方向指导。</w:t>
            </w:r>
          </w:p>
          <w:p w14:paraId="60E09359">
            <w:pPr>
              <w:pStyle w:val="7"/>
              <w:spacing w:before="59" w:line="261" w:lineRule="auto"/>
              <w:ind w:left="109" w:right="218" w:firstLine="420"/>
              <w:jc w:val="both"/>
              <w:rPr>
                <w:rFonts w:hint="eastAsia"/>
                <w:lang w:eastAsia="zh-CN"/>
              </w:rPr>
            </w:pPr>
            <w:r>
              <w:rPr>
                <w:rFonts w:hint="eastAsia"/>
                <w:lang w:eastAsia="zh-CN"/>
              </w:rPr>
              <w:t>《意见》印发以来，生态产品价值实现工作已全面融入各项国家战略等顶层设计文件，国家发改委、自然资源部、生态环境部、国家林草局等13个部委已将生态产品价值实现相关工作纳入工作日程。生态产品是我国生态文明建设的一个独特概念，各部门、各地区、各相关机构结合工作职能定位，推进了一系列新型生态产品评价相关研究及实践探索工作，如国家发改委、国家统计局联合发布了《生态产品总值核算规范（试行）》，中国林业产业联合会推进了森林生态标志产品认定、江西省实施了“江西绿色生态”产品认证，贵州省开展了贵州生态产品（物质供给类）评价等评价工作，相关工作为建立生态产品评价系列标准提供了有力的支撑保障。但相关标准或评价规范均只聚焦价值核算、或产品品质评价等单一维度，未聚焦区域生产产品价值、生态系统和谐等内容开展生态产品界定，建立系统的生态产品价值核算与具体产品评价相衔接的生态产品评价体系，不能有效识别强调产品生产经营过程对自然的低扰动性和品质的生态性，进而无法通过供需精准对接等模式彰显产品中蕴含的生态价值。</w:t>
            </w:r>
          </w:p>
        </w:tc>
      </w:tr>
      <w:tr w14:paraId="5DA24A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538" w:type="dxa"/>
            <w:vAlign w:val="center"/>
          </w:tcPr>
          <w:p w14:paraId="649C1619">
            <w:pPr>
              <w:spacing w:line="372" w:lineRule="auto"/>
              <w:jc w:val="center"/>
              <w:rPr>
                <w:lang w:eastAsia="zh-CN"/>
              </w:rPr>
            </w:pPr>
          </w:p>
          <w:p w14:paraId="5308A30F">
            <w:pPr>
              <w:pStyle w:val="7"/>
              <w:spacing w:before="68" w:line="223" w:lineRule="auto"/>
              <w:ind w:left="156"/>
              <w:jc w:val="center"/>
              <w:rPr>
                <w:rFonts w:hint="eastAsia"/>
              </w:rPr>
            </w:pPr>
            <w:r>
              <w:rPr>
                <w:spacing w:val="-12"/>
              </w:rPr>
              <w:t>目的</w:t>
            </w:r>
          </w:p>
        </w:tc>
        <w:tc>
          <w:tcPr>
            <w:tcW w:w="7684" w:type="dxa"/>
            <w:gridSpan w:val="5"/>
          </w:tcPr>
          <w:p w14:paraId="0D645875">
            <w:pPr>
              <w:pStyle w:val="7"/>
              <w:spacing w:before="52" w:line="276" w:lineRule="auto"/>
              <w:ind w:left="112" w:right="57" w:firstLine="421"/>
              <w:jc w:val="both"/>
              <w:rPr>
                <w:rFonts w:hint="eastAsia"/>
                <w:lang w:eastAsia="zh-CN"/>
              </w:rPr>
            </w:pPr>
            <w:r>
              <w:rPr>
                <w:rFonts w:hint="eastAsia"/>
                <w:spacing w:val="-3"/>
                <w:lang w:eastAsia="zh-CN"/>
              </w:rPr>
              <w:t>通过</w:t>
            </w:r>
            <w:r>
              <w:rPr>
                <w:spacing w:val="-3"/>
                <w:lang w:eastAsia="zh-CN"/>
              </w:rPr>
              <w:t>建立系统的生态产品价值核算与具体产品评价相衔接的生态产品评价</w:t>
            </w:r>
            <w:r>
              <w:rPr>
                <w:rFonts w:hint="eastAsia"/>
                <w:spacing w:val="-3"/>
                <w:lang w:eastAsia="zh-CN"/>
              </w:rPr>
              <w:t>系列标准，把提升特定区域生态产品价值与专项生态产品评价工作有机衔接，解决生态产品评价范围不明确、方法不量化、价值与产品不衔接相关问题。本文件是生态产品评价系列标准的第1部分（总则），目的在于确立实施生态产品评价的总体要求，并规范生态产品评价基本要求和工作过程，对开展生态产品评价的总体原则、评价基本条件、评价类别及模式、评价流程及评价证书和标志使用进行了规定，为另三个文件的编制及实施奠定了基础。</w:t>
            </w:r>
          </w:p>
        </w:tc>
      </w:tr>
      <w:tr w14:paraId="310988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05" w:hRule="atLeast"/>
        </w:trPr>
        <w:tc>
          <w:tcPr>
            <w:tcW w:w="1538" w:type="dxa"/>
            <w:vAlign w:val="center"/>
          </w:tcPr>
          <w:p w14:paraId="360F4F0F">
            <w:pPr>
              <w:spacing w:line="254" w:lineRule="auto"/>
              <w:jc w:val="center"/>
              <w:rPr>
                <w:lang w:eastAsia="zh-CN"/>
              </w:rPr>
            </w:pPr>
          </w:p>
          <w:p w14:paraId="0458C327">
            <w:pPr>
              <w:spacing w:line="254" w:lineRule="auto"/>
              <w:jc w:val="center"/>
              <w:rPr>
                <w:lang w:eastAsia="zh-CN"/>
              </w:rPr>
            </w:pPr>
          </w:p>
          <w:p w14:paraId="5C435455">
            <w:pPr>
              <w:spacing w:line="254" w:lineRule="auto"/>
              <w:jc w:val="center"/>
              <w:rPr>
                <w:lang w:eastAsia="zh-CN"/>
              </w:rPr>
            </w:pPr>
          </w:p>
          <w:p w14:paraId="1E071E51">
            <w:pPr>
              <w:pStyle w:val="7"/>
              <w:spacing w:before="68" w:line="221" w:lineRule="auto"/>
              <w:ind w:left="121"/>
              <w:jc w:val="center"/>
              <w:rPr>
                <w:rFonts w:hint="eastAsia"/>
              </w:rPr>
            </w:pPr>
            <w:r>
              <w:rPr>
                <w:spacing w:val="-3"/>
              </w:rPr>
              <w:t>意义</w:t>
            </w:r>
          </w:p>
        </w:tc>
        <w:tc>
          <w:tcPr>
            <w:tcW w:w="7684" w:type="dxa"/>
            <w:gridSpan w:val="5"/>
          </w:tcPr>
          <w:p w14:paraId="1222D050">
            <w:pPr>
              <w:pStyle w:val="7"/>
              <w:spacing w:before="56" w:line="274" w:lineRule="auto"/>
              <w:ind w:left="110" w:right="217" w:firstLine="421"/>
              <w:rPr>
                <w:rFonts w:hint="eastAsia"/>
                <w:lang w:eastAsia="zh-CN"/>
              </w:rPr>
            </w:pPr>
            <w:r>
              <w:rPr>
                <w:rFonts w:hint="eastAsia"/>
                <w:lang w:eastAsia="zh-CN"/>
              </w:rPr>
              <w:t>生态产品评价系列标准对特定区域的生态产品的评价总体要求、生态产品价值、物质供给类和文化服务类生态产品的界定提出系统的评价要求，把提升特定区域生态产品价值与专项生态产品评价工作有机衔接，给各特定地域、生态产品贴上独特生态标签，将有效为生态产品溢价增值、市场化交易提供科学依据，有力促进区域生态文明建设高质量发展，这既是全面贯彻落实习近平生态文明思想的重要探索，也是践行“绿水青山就是金山银山”的理念的生动实践。</w:t>
            </w:r>
          </w:p>
          <w:p w14:paraId="5C9E3A18">
            <w:pPr>
              <w:pStyle w:val="7"/>
              <w:spacing w:before="56" w:line="274" w:lineRule="auto"/>
              <w:ind w:left="110" w:right="217" w:firstLine="421"/>
              <w:rPr>
                <w:rFonts w:hint="eastAsia"/>
                <w:lang w:eastAsia="zh-CN"/>
              </w:rPr>
            </w:pPr>
            <w:r>
              <w:rPr>
                <w:rFonts w:hint="eastAsia"/>
                <w:lang w:eastAsia="zh-CN"/>
              </w:rPr>
              <w:t>本文件是生态产品评价系列标准的第1部分（总则），通过明确开展生态产品评价的基本条件、评价形式、流程、证书和标志等内容要求，既是落实国家发改委《关于加快建立生态产品价值实现机制的实施方案》“建立完善相应认证规范程序”要求的重要环节，也是规范、持续推进生态产品评价的前提和条件，将推动各方有序融入生态产品评价行业，为生态产品评价行业高质量发展提供有力支撑。</w:t>
            </w:r>
          </w:p>
          <w:p w14:paraId="3D278AED">
            <w:pPr>
              <w:pStyle w:val="7"/>
              <w:spacing w:line="219" w:lineRule="auto"/>
              <w:ind w:left="113"/>
              <w:rPr>
                <w:rFonts w:hint="eastAsia"/>
                <w:lang w:eastAsia="zh-CN"/>
              </w:rPr>
            </w:pPr>
          </w:p>
        </w:tc>
      </w:tr>
      <w:tr w14:paraId="75B62B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222" w:type="dxa"/>
            <w:gridSpan w:val="6"/>
          </w:tcPr>
          <w:p w14:paraId="55CB5CDB">
            <w:pPr>
              <w:pStyle w:val="7"/>
              <w:spacing w:before="176" w:line="219" w:lineRule="auto"/>
              <w:ind w:left="4058"/>
              <w:rPr>
                <w:rFonts w:hint="eastAsia"/>
                <w:sz w:val="28"/>
                <w:szCs w:val="28"/>
              </w:rPr>
            </w:pPr>
            <w:r>
              <w:rPr>
                <w:b/>
                <w:bCs/>
                <w:spacing w:val="-6"/>
                <w:sz w:val="28"/>
                <w:szCs w:val="28"/>
              </w:rPr>
              <w:t>工作简况</w:t>
            </w:r>
          </w:p>
        </w:tc>
      </w:tr>
      <w:tr w14:paraId="584BE7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1" w:hRule="atLeast"/>
        </w:trPr>
        <w:tc>
          <w:tcPr>
            <w:tcW w:w="1708" w:type="dxa"/>
            <w:gridSpan w:val="2"/>
          </w:tcPr>
          <w:p w14:paraId="68B492CE">
            <w:pPr>
              <w:pStyle w:val="7"/>
              <w:spacing w:before="290" w:line="221" w:lineRule="auto"/>
              <w:ind w:left="116"/>
              <w:rPr>
                <w:rFonts w:hint="eastAsia"/>
                <w:lang w:eastAsia="zh-CN"/>
              </w:rPr>
            </w:pPr>
            <w:r>
              <w:rPr>
                <w:spacing w:val="1"/>
                <w:lang w:eastAsia="zh-CN"/>
              </w:rPr>
              <w:t>标准主要起草人</w:t>
            </w:r>
          </w:p>
          <w:p w14:paraId="7270E870">
            <w:pPr>
              <w:pStyle w:val="7"/>
              <w:spacing w:before="60" w:line="221" w:lineRule="auto"/>
              <w:ind w:left="115"/>
              <w:rPr>
                <w:rFonts w:hint="eastAsia"/>
                <w:lang w:eastAsia="zh-CN"/>
              </w:rPr>
            </w:pPr>
            <w:r>
              <w:rPr>
                <w:spacing w:val="-1"/>
                <w:lang w:eastAsia="zh-CN"/>
              </w:rPr>
              <w:t>任务分工</w:t>
            </w:r>
          </w:p>
        </w:tc>
        <w:tc>
          <w:tcPr>
            <w:tcW w:w="7514" w:type="dxa"/>
            <w:gridSpan w:val="4"/>
          </w:tcPr>
          <w:p w14:paraId="5B7FFE4E">
            <w:pPr>
              <w:pStyle w:val="7"/>
              <w:spacing w:before="210" w:line="258" w:lineRule="auto"/>
              <w:ind w:right="28"/>
              <w:jc w:val="both"/>
              <w:rPr>
                <w:rFonts w:hint="eastAsia"/>
                <w:spacing w:val="-6"/>
                <w:lang w:eastAsia="zh-CN"/>
              </w:rPr>
            </w:pPr>
            <w:r>
              <w:rPr>
                <w:rFonts w:hint="eastAsia"/>
                <w:spacing w:val="-6"/>
                <w:lang w:eastAsia="zh-CN"/>
              </w:rPr>
              <w:t>标准架构定位，由</w:t>
            </w:r>
            <w:r>
              <w:rPr>
                <w:rFonts w:hint="eastAsia"/>
                <w:lang w:eastAsia="zh-CN"/>
              </w:rPr>
              <w:t>刘钢、胡承志、张玉珂、李新实、彭公炳等负责；</w:t>
            </w:r>
            <w:r>
              <w:rPr>
                <w:rFonts w:hint="eastAsia"/>
                <w:spacing w:val="-6"/>
                <w:lang w:eastAsia="zh-CN"/>
              </w:rPr>
              <w:t>标准起草及整体把控：由姜南、王志强、黄玫、吕艳、冯健伟等负责；标准“术语与定义”章节起草及修改，由邢慧洁、张韵等负责；标准“总体原则、基本条件、评价类别及形式”章节起草及修改，由黄玫、邢慧洁、姜南、李永、张韵等负责；标准“评价流程、评价证书和标志”章节起草及修改，由姜南、吕艳、邢慧洁、张洋等负责；标准意见建议提出及整体审查，由史寅虎、张浩、曾召锋等负责。</w:t>
            </w:r>
          </w:p>
        </w:tc>
      </w:tr>
    </w:tbl>
    <w:p w14:paraId="730D5705">
      <w:pPr>
        <w:spacing w:line="91" w:lineRule="auto"/>
        <w:rPr>
          <w:sz w:val="2"/>
          <w:lang w:eastAsia="zh-CN"/>
        </w:rPr>
      </w:pPr>
    </w:p>
    <w:tbl>
      <w:tblPr>
        <w:tblStyle w:val="6"/>
        <w:tblW w:w="937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08"/>
        <w:gridCol w:w="7666"/>
      </w:tblGrid>
      <w:tr w14:paraId="336DD8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2" w:hRule="atLeast"/>
        </w:trPr>
        <w:tc>
          <w:tcPr>
            <w:tcW w:w="1708" w:type="dxa"/>
          </w:tcPr>
          <w:p w14:paraId="61D0588B">
            <w:pPr>
              <w:spacing w:line="279" w:lineRule="auto"/>
              <w:rPr>
                <w:lang w:eastAsia="zh-CN"/>
              </w:rPr>
            </w:pPr>
          </w:p>
          <w:p w14:paraId="10E1C4E9">
            <w:pPr>
              <w:spacing w:line="279" w:lineRule="auto"/>
              <w:rPr>
                <w:lang w:eastAsia="zh-CN"/>
              </w:rPr>
            </w:pPr>
          </w:p>
          <w:p w14:paraId="404BCE26">
            <w:pPr>
              <w:spacing w:line="280" w:lineRule="auto"/>
              <w:rPr>
                <w:lang w:eastAsia="zh-CN"/>
              </w:rPr>
            </w:pPr>
          </w:p>
          <w:p w14:paraId="373067CA">
            <w:pPr>
              <w:pStyle w:val="7"/>
              <w:spacing w:before="68" w:line="221" w:lineRule="auto"/>
              <w:ind w:left="117"/>
              <w:rPr>
                <w:rFonts w:hint="eastAsia"/>
              </w:rPr>
            </w:pPr>
            <w:r>
              <w:rPr>
                <w:spacing w:val="-2"/>
              </w:rPr>
              <w:t>主要工作过程</w:t>
            </w:r>
          </w:p>
        </w:tc>
        <w:tc>
          <w:tcPr>
            <w:tcW w:w="7666" w:type="dxa"/>
          </w:tcPr>
          <w:p w14:paraId="570A7E02">
            <w:pPr>
              <w:pStyle w:val="7"/>
              <w:numPr>
                <w:ilvl w:val="0"/>
                <w:numId w:val="1"/>
              </w:numPr>
              <w:spacing w:before="210" w:line="258" w:lineRule="auto"/>
              <w:ind w:right="28"/>
              <w:jc w:val="both"/>
              <w:rPr>
                <w:rFonts w:hint="eastAsia"/>
                <w:spacing w:val="-2"/>
                <w:lang w:eastAsia="zh-CN"/>
              </w:rPr>
            </w:pPr>
            <w:r>
              <w:rPr>
                <w:rFonts w:ascii="Times New Roman" w:hAnsi="Times New Roman" w:eastAsia="Times New Roman" w:cs="Times New Roman"/>
                <w:spacing w:val="-2"/>
                <w:lang w:eastAsia="zh-CN"/>
              </w:rPr>
              <w:t>202</w:t>
            </w:r>
            <w:r>
              <w:rPr>
                <w:rFonts w:hint="eastAsia" w:ascii="Times New Roman" w:hAnsi="Times New Roman" w:cs="Times New Roman"/>
                <w:spacing w:val="-2"/>
                <w:lang w:eastAsia="zh-CN"/>
              </w:rPr>
              <w:t>4</w:t>
            </w:r>
            <w:r>
              <w:rPr>
                <w:spacing w:val="-2"/>
                <w:lang w:eastAsia="zh-CN"/>
              </w:rPr>
              <w:t>年</w:t>
            </w:r>
            <w:r>
              <w:rPr>
                <w:rFonts w:hint="eastAsia"/>
                <w:spacing w:val="-21"/>
                <w:lang w:eastAsia="zh-CN"/>
              </w:rPr>
              <w:t>11</w:t>
            </w:r>
            <w:r>
              <w:rPr>
                <w:rFonts w:hint="eastAsia" w:ascii="Times New Roman" w:hAnsi="Times New Roman" w:cs="Times New Roman"/>
                <w:spacing w:val="-2"/>
                <w:lang w:eastAsia="zh-CN"/>
              </w:rPr>
              <w:t>月29日及12月9日</w:t>
            </w:r>
            <w:r>
              <w:rPr>
                <w:rFonts w:hint="eastAsia"/>
                <w:spacing w:val="-2"/>
                <w:lang w:eastAsia="zh-CN"/>
              </w:rPr>
              <w:t>：召开生态产品评价体系沟通工作沟通交流会，酝酿生态产品评价系列标准立项计划，讨论草案框架；</w:t>
            </w:r>
          </w:p>
          <w:p w14:paraId="4890F375">
            <w:pPr>
              <w:pStyle w:val="7"/>
              <w:numPr>
                <w:ilvl w:val="0"/>
                <w:numId w:val="1"/>
              </w:numPr>
              <w:spacing w:before="210" w:line="258" w:lineRule="auto"/>
              <w:ind w:right="28"/>
              <w:jc w:val="both"/>
              <w:rPr>
                <w:rFonts w:hint="eastAsia"/>
                <w:lang w:eastAsia="zh-CN"/>
              </w:rPr>
            </w:pPr>
            <w:r>
              <w:rPr>
                <w:rFonts w:hint="eastAsia"/>
                <w:spacing w:val="-2"/>
                <w:lang w:eastAsia="zh-CN"/>
              </w:rPr>
              <w:t>2024年12月-2025年1月7日：成立标准起草小组，开展</w:t>
            </w:r>
            <w:r>
              <w:rPr>
                <w:spacing w:val="-2"/>
                <w:lang w:eastAsia="zh-CN"/>
              </w:rPr>
              <w:t>资料和实际调研；</w:t>
            </w:r>
          </w:p>
          <w:p w14:paraId="7BD8BC72">
            <w:pPr>
              <w:pStyle w:val="7"/>
              <w:numPr>
                <w:ilvl w:val="0"/>
                <w:numId w:val="1"/>
              </w:numPr>
              <w:spacing w:before="210" w:line="258" w:lineRule="auto"/>
              <w:ind w:right="28"/>
              <w:jc w:val="both"/>
              <w:rPr>
                <w:rFonts w:hint="eastAsia"/>
                <w:lang w:eastAsia="zh-CN"/>
              </w:rPr>
            </w:pPr>
            <w:r>
              <w:rPr>
                <w:rFonts w:hint="eastAsia"/>
                <w:spacing w:val="-2"/>
                <w:lang w:eastAsia="zh-CN"/>
              </w:rPr>
              <w:t>2025年1月8日-9日：召开生态产品评价标准研讨会议，系统明确系列标准结构框架及内容方向；</w:t>
            </w:r>
          </w:p>
          <w:p w14:paraId="44C265AA">
            <w:pPr>
              <w:pStyle w:val="7"/>
              <w:numPr>
                <w:ilvl w:val="0"/>
                <w:numId w:val="1"/>
              </w:numPr>
              <w:spacing w:before="210" w:line="258" w:lineRule="auto"/>
              <w:ind w:right="28"/>
              <w:jc w:val="both"/>
              <w:rPr>
                <w:rFonts w:hint="eastAsia"/>
                <w:lang w:eastAsia="zh-CN"/>
              </w:rPr>
            </w:pPr>
            <w:r>
              <w:rPr>
                <w:rFonts w:hint="eastAsia"/>
                <w:spacing w:val="-2"/>
                <w:lang w:eastAsia="zh-CN"/>
              </w:rPr>
              <w:t>2025年1月10日-2月19日：起草标准（草案稿）、编制标准立项文件；召开起草组内部工作会议，开展生态产品评价标准（草案稿）研讨；</w:t>
            </w:r>
          </w:p>
          <w:p w14:paraId="70C2F529">
            <w:pPr>
              <w:pStyle w:val="7"/>
              <w:numPr>
                <w:ilvl w:val="0"/>
                <w:numId w:val="1"/>
              </w:numPr>
              <w:spacing w:before="210" w:line="258" w:lineRule="auto"/>
              <w:ind w:right="28"/>
              <w:jc w:val="both"/>
              <w:rPr>
                <w:rFonts w:hint="eastAsia"/>
                <w:lang w:eastAsia="zh-CN"/>
              </w:rPr>
            </w:pPr>
            <w:r>
              <w:rPr>
                <w:rFonts w:hint="eastAsia"/>
                <w:lang w:eastAsia="zh-CN"/>
              </w:rPr>
              <w:t>2025年2月20日-3月10日：根据起草组讨论修改意见，修改完善标准草案稿；在此基础上形成标准立项建议书；</w:t>
            </w:r>
          </w:p>
          <w:p w14:paraId="02440DE6">
            <w:pPr>
              <w:pStyle w:val="7"/>
              <w:numPr>
                <w:ilvl w:val="0"/>
                <w:numId w:val="1"/>
              </w:numPr>
              <w:spacing w:before="210" w:line="258" w:lineRule="auto"/>
              <w:ind w:right="28"/>
              <w:jc w:val="both"/>
              <w:rPr>
                <w:rFonts w:hint="eastAsia"/>
                <w:lang w:eastAsia="zh-CN"/>
              </w:rPr>
            </w:pPr>
            <w:r>
              <w:rPr>
                <w:rFonts w:hint="eastAsia"/>
                <w:lang w:eastAsia="zh-CN"/>
              </w:rPr>
              <w:t>2025年3月11日-4月20日：标准草案稿的基础上编写生态产品评价实施配套表单，并根据起草组内容交叉审核意见修改标准文本；</w:t>
            </w:r>
          </w:p>
          <w:p w14:paraId="07D5E888">
            <w:pPr>
              <w:pStyle w:val="7"/>
              <w:numPr>
                <w:ilvl w:val="0"/>
                <w:numId w:val="1"/>
              </w:numPr>
              <w:spacing w:before="210" w:line="258" w:lineRule="auto"/>
              <w:ind w:right="28"/>
              <w:jc w:val="both"/>
              <w:rPr>
                <w:rFonts w:hint="eastAsia"/>
                <w:lang w:eastAsia="zh-CN"/>
              </w:rPr>
            </w:pPr>
            <w:r>
              <w:rPr>
                <w:rFonts w:hint="eastAsia"/>
                <w:lang w:eastAsia="zh-CN"/>
              </w:rPr>
              <w:t>2025年4月21日-6月20日：标准文本内部评审，并依托铜仁抹茶项目开展生态产品评价验证；</w:t>
            </w:r>
          </w:p>
          <w:p w14:paraId="344650D2">
            <w:pPr>
              <w:pStyle w:val="7"/>
              <w:numPr>
                <w:ilvl w:val="0"/>
                <w:numId w:val="1"/>
              </w:numPr>
              <w:spacing w:before="210" w:line="258" w:lineRule="auto"/>
              <w:ind w:right="28"/>
              <w:jc w:val="both"/>
              <w:rPr>
                <w:rFonts w:hint="eastAsia"/>
                <w:lang w:eastAsia="zh-CN"/>
              </w:rPr>
            </w:pPr>
            <w:r>
              <w:rPr>
                <w:rFonts w:hint="eastAsia"/>
                <w:lang w:eastAsia="zh-CN"/>
              </w:rPr>
              <w:t>2025年6月21日-7月31日：推进标准立项评审并完成立项，根据项目验证情况及标准立项评审反馈意见，进一步细化修改标准文本，形成标准征求意见稿。</w:t>
            </w:r>
          </w:p>
          <w:p w14:paraId="08976798">
            <w:pPr>
              <w:pStyle w:val="7"/>
              <w:spacing w:before="45" w:line="234" w:lineRule="auto"/>
              <w:rPr>
                <w:rFonts w:hint="eastAsia"/>
                <w:lang w:eastAsia="zh-CN"/>
              </w:rPr>
            </w:pPr>
          </w:p>
        </w:tc>
      </w:tr>
      <w:tr w14:paraId="612110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374" w:type="dxa"/>
            <w:gridSpan w:val="2"/>
          </w:tcPr>
          <w:p w14:paraId="180DB68D">
            <w:pPr>
              <w:pStyle w:val="7"/>
              <w:spacing w:before="172" w:line="220" w:lineRule="auto"/>
              <w:ind w:left="2090"/>
              <w:rPr>
                <w:rFonts w:hint="eastAsia"/>
                <w:sz w:val="28"/>
                <w:szCs w:val="28"/>
                <w:lang w:eastAsia="zh-CN"/>
              </w:rPr>
            </w:pPr>
            <w:r>
              <w:rPr>
                <w:b/>
                <w:bCs/>
                <w:spacing w:val="-3"/>
                <w:sz w:val="28"/>
                <w:szCs w:val="28"/>
                <w:lang w:eastAsia="zh-CN"/>
              </w:rPr>
              <w:t>标准编制原则和确定标准主要内容的论据</w:t>
            </w:r>
          </w:p>
        </w:tc>
      </w:tr>
      <w:tr w14:paraId="01A024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2" w:hRule="atLeast"/>
        </w:trPr>
        <w:tc>
          <w:tcPr>
            <w:tcW w:w="1708" w:type="dxa"/>
          </w:tcPr>
          <w:p w14:paraId="4C798BAE">
            <w:pPr>
              <w:spacing w:line="248" w:lineRule="auto"/>
              <w:rPr>
                <w:lang w:eastAsia="zh-CN"/>
              </w:rPr>
            </w:pPr>
          </w:p>
          <w:p w14:paraId="6DF07052">
            <w:pPr>
              <w:spacing w:line="248" w:lineRule="auto"/>
              <w:rPr>
                <w:lang w:eastAsia="zh-CN"/>
              </w:rPr>
            </w:pPr>
          </w:p>
          <w:p w14:paraId="3C11D906">
            <w:pPr>
              <w:spacing w:line="248" w:lineRule="auto"/>
              <w:rPr>
                <w:lang w:eastAsia="zh-CN"/>
              </w:rPr>
            </w:pPr>
          </w:p>
          <w:p w14:paraId="13BF8FED">
            <w:pPr>
              <w:spacing w:line="248" w:lineRule="auto"/>
              <w:rPr>
                <w:lang w:eastAsia="zh-CN"/>
              </w:rPr>
            </w:pPr>
          </w:p>
          <w:p w14:paraId="37013B49">
            <w:pPr>
              <w:spacing w:line="248" w:lineRule="auto"/>
              <w:rPr>
                <w:lang w:eastAsia="zh-CN"/>
              </w:rPr>
            </w:pPr>
          </w:p>
          <w:p w14:paraId="454C1E3C">
            <w:pPr>
              <w:spacing w:line="248" w:lineRule="auto"/>
              <w:rPr>
                <w:lang w:eastAsia="zh-CN"/>
              </w:rPr>
            </w:pPr>
          </w:p>
          <w:p w14:paraId="1430BEEA">
            <w:pPr>
              <w:spacing w:line="248" w:lineRule="auto"/>
              <w:rPr>
                <w:lang w:eastAsia="zh-CN"/>
              </w:rPr>
            </w:pPr>
          </w:p>
          <w:p w14:paraId="2D18C5B1">
            <w:pPr>
              <w:spacing w:line="249" w:lineRule="auto"/>
              <w:rPr>
                <w:lang w:eastAsia="zh-CN"/>
              </w:rPr>
            </w:pPr>
          </w:p>
          <w:p w14:paraId="2A64D0FF">
            <w:pPr>
              <w:spacing w:line="249" w:lineRule="auto"/>
              <w:rPr>
                <w:lang w:eastAsia="zh-CN"/>
              </w:rPr>
            </w:pPr>
          </w:p>
          <w:p w14:paraId="78B29B3A">
            <w:pPr>
              <w:pStyle w:val="7"/>
              <w:spacing w:before="68" w:line="221" w:lineRule="auto"/>
              <w:ind w:left="116"/>
              <w:rPr>
                <w:rFonts w:hint="eastAsia"/>
              </w:rPr>
            </w:pPr>
            <w:r>
              <w:rPr>
                <w:spacing w:val="-1"/>
              </w:rPr>
              <w:t>标准编制原则</w:t>
            </w:r>
          </w:p>
        </w:tc>
        <w:tc>
          <w:tcPr>
            <w:tcW w:w="7666" w:type="dxa"/>
          </w:tcPr>
          <w:p w14:paraId="76FA030B">
            <w:pPr>
              <w:pStyle w:val="7"/>
              <w:spacing w:before="212" w:line="234" w:lineRule="auto"/>
              <w:ind w:left="128"/>
              <w:rPr>
                <w:rFonts w:hint="eastAsia"/>
                <w:lang w:eastAsia="zh-CN"/>
              </w:rPr>
            </w:pPr>
            <w:r>
              <w:rPr>
                <w:rFonts w:ascii="Times New Roman" w:hAnsi="Times New Roman" w:eastAsia="Times New Roman" w:cs="Times New Roman"/>
                <w:spacing w:val="-5"/>
                <w:lang w:eastAsia="zh-CN"/>
              </w:rPr>
              <w:t>1</w:t>
            </w:r>
            <w:r>
              <w:rPr>
                <w:rFonts w:ascii="Times New Roman" w:hAnsi="Times New Roman" w:eastAsia="Times New Roman" w:cs="Times New Roman"/>
                <w:spacing w:val="-22"/>
                <w:lang w:eastAsia="zh-CN"/>
              </w:rPr>
              <w:t xml:space="preserve"> </w:t>
            </w:r>
            <w:r>
              <w:rPr>
                <w:spacing w:val="-5"/>
                <w:lang w:eastAsia="zh-CN"/>
              </w:rPr>
              <w:t>、</w:t>
            </w:r>
            <w:r>
              <w:rPr>
                <w:spacing w:val="-50"/>
                <w:lang w:eastAsia="zh-CN"/>
              </w:rPr>
              <w:t xml:space="preserve"> </w:t>
            </w:r>
            <w:r>
              <w:rPr>
                <w:spacing w:val="-5"/>
                <w:lang w:eastAsia="zh-CN"/>
              </w:rPr>
              <w:t>与</w:t>
            </w:r>
            <w:r>
              <w:rPr>
                <w:rFonts w:hint="eastAsia"/>
                <w:spacing w:val="-5"/>
                <w:lang w:eastAsia="zh-CN"/>
              </w:rPr>
              <w:t>国家生态产品核算相关标准</w:t>
            </w:r>
            <w:r>
              <w:rPr>
                <w:spacing w:val="-5"/>
                <w:lang w:eastAsia="zh-CN"/>
              </w:rPr>
              <w:t>衔接</w:t>
            </w:r>
          </w:p>
          <w:p w14:paraId="7053AA50">
            <w:pPr>
              <w:pStyle w:val="7"/>
              <w:spacing w:before="202" w:line="275" w:lineRule="auto"/>
              <w:ind w:left="111" w:right="45" w:firstLine="482"/>
              <w:jc w:val="both"/>
              <w:rPr>
                <w:rFonts w:hint="eastAsia"/>
                <w:lang w:eastAsia="zh-CN"/>
              </w:rPr>
            </w:pPr>
            <w:r>
              <w:rPr>
                <w:rFonts w:hint="eastAsia"/>
                <w:spacing w:val="-2"/>
                <w:lang w:eastAsia="zh-CN"/>
              </w:rPr>
              <w:t>标准术语定义、价值核算等</w:t>
            </w:r>
            <w:r>
              <w:rPr>
                <w:spacing w:val="-2"/>
                <w:lang w:eastAsia="zh-CN"/>
              </w:rPr>
              <w:t>内容与</w:t>
            </w:r>
            <w:r>
              <w:rPr>
                <w:rFonts w:hint="eastAsia"/>
                <w:spacing w:val="-2"/>
                <w:lang w:eastAsia="zh-CN"/>
              </w:rPr>
              <w:t>国家发改委、国家统计局《生态产品总值核算规范（试行）》等相</w:t>
            </w:r>
            <w:r>
              <w:rPr>
                <w:spacing w:val="-2"/>
                <w:lang w:eastAsia="zh-CN"/>
              </w:rPr>
              <w:t>衔接</w:t>
            </w:r>
            <w:r>
              <w:rPr>
                <w:rFonts w:hint="eastAsia"/>
                <w:spacing w:val="-2"/>
                <w:lang w:eastAsia="zh-CN"/>
              </w:rPr>
              <w:t>，并细化规定了相关功能量、价值量的数据来源和计算方法；《生态产品评价 第1部分：总则》与国家合格评定关于审核、评价相关标准要求相衔接，并引用了《合格评定 第三方符合性标志的通用要求》（GB/T 27030 ）相关规定</w:t>
            </w:r>
            <w:r>
              <w:rPr>
                <w:spacing w:val="-2"/>
                <w:lang w:eastAsia="zh-CN"/>
              </w:rPr>
              <w:t>。本</w:t>
            </w:r>
            <w:r>
              <w:rPr>
                <w:spacing w:val="-6"/>
                <w:lang w:eastAsia="zh-CN"/>
              </w:rPr>
              <w:t>标准制定前，标准编制组对现行法律法规、标准、导则进行了系统的梳理和整合，</w:t>
            </w:r>
            <w:r>
              <w:rPr>
                <w:spacing w:val="-1"/>
                <w:lang w:eastAsia="zh-CN"/>
              </w:rPr>
              <w:t>在此基础上制定了本标准。</w:t>
            </w:r>
          </w:p>
          <w:p w14:paraId="54B9BFDD">
            <w:pPr>
              <w:pStyle w:val="7"/>
              <w:spacing w:before="152" w:line="235" w:lineRule="auto"/>
              <w:ind w:left="108"/>
              <w:rPr>
                <w:rFonts w:hint="eastAsia"/>
                <w:spacing w:val="-7"/>
                <w:lang w:eastAsia="zh-CN"/>
              </w:rPr>
            </w:pPr>
            <w:r>
              <w:rPr>
                <w:spacing w:val="-7"/>
                <w:lang w:eastAsia="zh-CN"/>
              </w:rPr>
              <w:t>2 、</w:t>
            </w:r>
            <w:r>
              <w:rPr>
                <w:rFonts w:hint="eastAsia"/>
                <w:spacing w:val="-7"/>
                <w:lang w:eastAsia="zh-CN"/>
              </w:rPr>
              <w:t>生态导向原则</w:t>
            </w:r>
          </w:p>
          <w:p w14:paraId="7502646A">
            <w:pPr>
              <w:pStyle w:val="7"/>
              <w:spacing w:before="202" w:line="275" w:lineRule="auto"/>
              <w:ind w:left="111" w:right="45" w:firstLine="482"/>
              <w:jc w:val="both"/>
              <w:rPr>
                <w:rFonts w:hint="eastAsia"/>
                <w:spacing w:val="-2"/>
                <w:lang w:eastAsia="zh-CN"/>
              </w:rPr>
            </w:pPr>
            <w:r>
              <w:rPr>
                <w:spacing w:val="-2"/>
                <w:lang w:eastAsia="zh-CN"/>
              </w:rPr>
              <w:t>以遵循自然规律、保护优良原生环境为前提，以实现人与自然和谐共生为准则，以可持续经营开发为统领，构建生态产品评价体系，推动生态优势转化为产业优势，提高生态产品附加值和溢价能力</w:t>
            </w:r>
            <w:r>
              <w:rPr>
                <w:rFonts w:hint="eastAsia"/>
                <w:spacing w:val="-2"/>
                <w:lang w:eastAsia="zh-CN"/>
              </w:rPr>
              <w:t>。</w:t>
            </w:r>
          </w:p>
          <w:p w14:paraId="77D31C42">
            <w:pPr>
              <w:pStyle w:val="7"/>
              <w:spacing w:before="152" w:line="235" w:lineRule="auto"/>
              <w:ind w:left="108"/>
              <w:rPr>
                <w:rFonts w:hint="eastAsia"/>
                <w:lang w:eastAsia="zh-CN"/>
              </w:rPr>
            </w:pPr>
            <w:r>
              <w:rPr>
                <w:rFonts w:hint="eastAsia"/>
                <w:spacing w:val="-50"/>
                <w:lang w:eastAsia="zh-CN"/>
              </w:rPr>
              <w:t>3 、</w:t>
            </w:r>
            <w:r>
              <w:rPr>
                <w:spacing w:val="-7"/>
                <w:lang w:eastAsia="zh-CN"/>
              </w:rPr>
              <w:t>结构合理</w:t>
            </w:r>
          </w:p>
          <w:p w14:paraId="78F00396">
            <w:pPr>
              <w:pStyle w:val="7"/>
              <w:spacing w:before="198" w:line="274" w:lineRule="auto"/>
              <w:ind w:left="114" w:right="97" w:firstLine="478"/>
              <w:jc w:val="both"/>
              <w:rPr>
                <w:rFonts w:hint="eastAsia"/>
                <w:lang w:eastAsia="zh-CN"/>
              </w:rPr>
            </w:pPr>
            <w:r>
              <w:rPr>
                <w:spacing w:val="-1"/>
                <w:lang w:eastAsia="zh-CN"/>
              </w:rPr>
              <w:t>本文件结合</w:t>
            </w:r>
            <w:r>
              <w:rPr>
                <w:spacing w:val="-45"/>
                <w:lang w:eastAsia="zh-CN"/>
              </w:rPr>
              <w:t xml:space="preserve"> </w:t>
            </w:r>
            <w:r>
              <w:rPr>
                <w:rFonts w:ascii="Times New Roman" w:hAnsi="Times New Roman" w:eastAsia="Times New Roman" w:cs="Times New Roman"/>
                <w:spacing w:val="-1"/>
                <w:lang w:eastAsia="zh-CN"/>
              </w:rPr>
              <w:t>GB/T 1.1</w:t>
            </w:r>
            <w:r>
              <w:rPr>
                <w:spacing w:val="-1"/>
                <w:lang w:eastAsia="zh-CN"/>
              </w:rPr>
              <w:t>—</w:t>
            </w:r>
            <w:r>
              <w:rPr>
                <w:rFonts w:ascii="Times New Roman" w:hAnsi="Times New Roman" w:eastAsia="Times New Roman" w:cs="Times New Roman"/>
                <w:spacing w:val="-1"/>
                <w:lang w:eastAsia="zh-CN"/>
              </w:rPr>
              <w:t>2020</w:t>
            </w:r>
            <w:r>
              <w:rPr>
                <w:spacing w:val="-1"/>
                <w:lang w:eastAsia="zh-CN"/>
              </w:rPr>
              <w:t>《标准化工作导则 第</w:t>
            </w:r>
            <w:r>
              <w:rPr>
                <w:spacing w:val="-27"/>
                <w:lang w:eastAsia="zh-CN"/>
              </w:rPr>
              <w:t xml:space="preserve"> </w:t>
            </w:r>
            <w:r>
              <w:rPr>
                <w:rFonts w:ascii="Times New Roman" w:hAnsi="Times New Roman" w:eastAsia="Times New Roman" w:cs="Times New Roman"/>
                <w:spacing w:val="-2"/>
                <w:lang w:eastAsia="zh-CN"/>
              </w:rPr>
              <w:t xml:space="preserve">1 </w:t>
            </w:r>
            <w:r>
              <w:rPr>
                <w:spacing w:val="-2"/>
                <w:lang w:eastAsia="zh-CN"/>
              </w:rPr>
              <w:t>部分：标准化文件的结</w:t>
            </w:r>
            <w:r>
              <w:rPr>
                <w:lang w:eastAsia="zh-CN"/>
              </w:rPr>
              <w:t xml:space="preserve"> </w:t>
            </w:r>
            <w:r>
              <w:rPr>
                <w:spacing w:val="-2"/>
                <w:lang w:eastAsia="zh-CN"/>
              </w:rPr>
              <w:t>构和起草规则》的规定和国家职业资格标准的内容格式进行了进行编写和表述，</w:t>
            </w:r>
            <w:r>
              <w:rPr>
                <w:spacing w:val="15"/>
                <w:lang w:eastAsia="zh-CN"/>
              </w:rPr>
              <w:t xml:space="preserve"> </w:t>
            </w:r>
            <w:r>
              <w:rPr>
                <w:spacing w:val="-1"/>
                <w:lang w:eastAsia="zh-CN"/>
              </w:rPr>
              <w:t>力求做到</w:t>
            </w:r>
            <w:r>
              <w:rPr>
                <w:rFonts w:ascii="Times New Roman" w:hAnsi="Times New Roman" w:eastAsia="Times New Roman" w:cs="Times New Roman"/>
                <w:spacing w:val="-1"/>
                <w:lang w:eastAsia="zh-CN"/>
              </w:rPr>
              <w:t>“</w:t>
            </w:r>
            <w:r>
              <w:rPr>
                <w:spacing w:val="-1"/>
                <w:lang w:eastAsia="zh-CN"/>
              </w:rPr>
              <w:t>统一性、协调性、适用性、一致性、规范性</w:t>
            </w:r>
            <w:r>
              <w:rPr>
                <w:rFonts w:ascii="Times New Roman" w:hAnsi="Times New Roman" w:eastAsia="Times New Roman" w:cs="Times New Roman"/>
                <w:spacing w:val="-1"/>
                <w:lang w:eastAsia="zh-CN"/>
              </w:rPr>
              <w:t>”</w:t>
            </w:r>
            <w:r>
              <w:rPr>
                <w:spacing w:val="-1"/>
                <w:lang w:eastAsia="zh-CN"/>
              </w:rPr>
              <w:t>。</w:t>
            </w:r>
          </w:p>
          <w:p w14:paraId="2AC69C30">
            <w:pPr>
              <w:pStyle w:val="7"/>
              <w:spacing w:before="159" w:line="234" w:lineRule="auto"/>
              <w:ind w:left="112"/>
              <w:rPr>
                <w:rFonts w:hint="eastAsia"/>
                <w:lang w:eastAsia="zh-CN"/>
              </w:rPr>
            </w:pPr>
            <w:r>
              <w:rPr>
                <w:rFonts w:hint="eastAsia" w:ascii="Times New Roman" w:hAnsi="Times New Roman" w:cs="Times New Roman"/>
                <w:spacing w:val="-5"/>
                <w:lang w:eastAsia="zh-CN"/>
              </w:rPr>
              <w:t>4</w:t>
            </w:r>
            <w:r>
              <w:rPr>
                <w:rFonts w:ascii="Times New Roman" w:hAnsi="Times New Roman" w:eastAsia="Times New Roman" w:cs="Times New Roman"/>
                <w:spacing w:val="-30"/>
                <w:lang w:eastAsia="zh-CN"/>
              </w:rPr>
              <w:t xml:space="preserve"> </w:t>
            </w:r>
            <w:r>
              <w:rPr>
                <w:spacing w:val="-5"/>
                <w:lang w:eastAsia="zh-CN"/>
              </w:rPr>
              <w:t>、</w:t>
            </w:r>
            <w:r>
              <w:rPr>
                <w:spacing w:val="-51"/>
                <w:lang w:eastAsia="zh-CN"/>
              </w:rPr>
              <w:t xml:space="preserve"> </w:t>
            </w:r>
            <w:r>
              <w:rPr>
                <w:spacing w:val="-5"/>
                <w:lang w:eastAsia="zh-CN"/>
              </w:rPr>
              <w:t>具有可操作性</w:t>
            </w:r>
          </w:p>
          <w:p w14:paraId="2062994F">
            <w:pPr>
              <w:pStyle w:val="7"/>
              <w:spacing w:before="202" w:line="276" w:lineRule="auto"/>
              <w:ind w:left="112" w:right="102" w:firstLine="420"/>
              <w:rPr>
                <w:rFonts w:hint="eastAsia"/>
                <w:lang w:eastAsia="zh-CN"/>
              </w:rPr>
            </w:pPr>
            <w:r>
              <w:rPr>
                <w:spacing w:val="-2"/>
                <w:lang w:eastAsia="zh-CN"/>
              </w:rPr>
              <w:t>本标准内容给出</w:t>
            </w:r>
            <w:r>
              <w:rPr>
                <w:rFonts w:hint="eastAsia"/>
                <w:spacing w:val="-2"/>
                <w:lang w:eastAsia="zh-CN"/>
              </w:rPr>
              <w:t>生态产品评价的总体原则、评价基本条件、评价类别及模式、评价流程及评价证书和标志使用进行了规定，</w:t>
            </w:r>
            <w:r>
              <w:rPr>
                <w:spacing w:val="-1"/>
                <w:lang w:eastAsia="zh-CN"/>
              </w:rPr>
              <w:t>并给出详细的</w:t>
            </w:r>
            <w:r>
              <w:rPr>
                <w:rFonts w:hint="eastAsia"/>
                <w:spacing w:val="-1"/>
                <w:lang w:eastAsia="zh-CN"/>
              </w:rPr>
              <w:t>流程要求</w:t>
            </w:r>
            <w:r>
              <w:rPr>
                <w:spacing w:val="-1"/>
                <w:lang w:eastAsia="zh-CN"/>
              </w:rPr>
              <w:t>，具有</w:t>
            </w:r>
            <w:r>
              <w:rPr>
                <w:rFonts w:hint="eastAsia"/>
                <w:spacing w:val="-1"/>
                <w:lang w:eastAsia="zh-CN"/>
              </w:rPr>
              <w:t>较强</w:t>
            </w:r>
            <w:r>
              <w:rPr>
                <w:spacing w:val="-1"/>
                <w:lang w:eastAsia="zh-CN"/>
              </w:rPr>
              <w:t>的可操作性。</w:t>
            </w:r>
          </w:p>
        </w:tc>
      </w:tr>
      <w:tr w14:paraId="758782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6" w:hRule="atLeast"/>
        </w:trPr>
        <w:tc>
          <w:tcPr>
            <w:tcW w:w="1708" w:type="dxa"/>
          </w:tcPr>
          <w:p w14:paraId="77996A5A">
            <w:pPr>
              <w:spacing w:line="262" w:lineRule="auto"/>
              <w:rPr>
                <w:lang w:eastAsia="zh-CN"/>
              </w:rPr>
            </w:pPr>
          </w:p>
          <w:p w14:paraId="5391F6E1">
            <w:pPr>
              <w:spacing w:line="262" w:lineRule="auto"/>
              <w:rPr>
                <w:lang w:eastAsia="zh-CN"/>
              </w:rPr>
            </w:pPr>
          </w:p>
          <w:p w14:paraId="21B9089B">
            <w:pPr>
              <w:spacing w:line="262" w:lineRule="auto"/>
              <w:rPr>
                <w:lang w:eastAsia="zh-CN"/>
              </w:rPr>
            </w:pPr>
          </w:p>
          <w:p w14:paraId="528BE73E">
            <w:pPr>
              <w:spacing w:line="262" w:lineRule="auto"/>
              <w:rPr>
                <w:lang w:eastAsia="zh-CN"/>
              </w:rPr>
            </w:pPr>
          </w:p>
          <w:p w14:paraId="5C33138F">
            <w:pPr>
              <w:spacing w:line="262" w:lineRule="auto"/>
              <w:rPr>
                <w:lang w:eastAsia="zh-CN"/>
              </w:rPr>
            </w:pPr>
          </w:p>
          <w:p w14:paraId="2E822D37">
            <w:pPr>
              <w:spacing w:line="262" w:lineRule="auto"/>
              <w:rPr>
                <w:lang w:eastAsia="zh-CN"/>
              </w:rPr>
            </w:pPr>
          </w:p>
          <w:p w14:paraId="530D6FC5">
            <w:pPr>
              <w:spacing w:line="262" w:lineRule="auto"/>
              <w:rPr>
                <w:lang w:eastAsia="zh-CN"/>
              </w:rPr>
            </w:pPr>
          </w:p>
          <w:p w14:paraId="4585BBC5">
            <w:pPr>
              <w:spacing w:line="262" w:lineRule="auto"/>
              <w:rPr>
                <w:lang w:eastAsia="zh-CN"/>
              </w:rPr>
            </w:pPr>
          </w:p>
          <w:p w14:paraId="3681614A">
            <w:pPr>
              <w:spacing w:line="263" w:lineRule="auto"/>
              <w:rPr>
                <w:lang w:eastAsia="zh-CN"/>
              </w:rPr>
            </w:pPr>
          </w:p>
          <w:p w14:paraId="1C7E1CDE">
            <w:pPr>
              <w:spacing w:line="263" w:lineRule="auto"/>
              <w:rPr>
                <w:lang w:eastAsia="zh-CN"/>
              </w:rPr>
            </w:pPr>
          </w:p>
          <w:p w14:paraId="2D2620FB">
            <w:pPr>
              <w:pStyle w:val="7"/>
              <w:spacing w:before="69" w:line="221" w:lineRule="auto"/>
              <w:ind w:left="116"/>
              <w:rPr>
                <w:rFonts w:hint="eastAsia"/>
                <w:lang w:eastAsia="zh-CN"/>
              </w:rPr>
            </w:pPr>
            <w:r>
              <w:rPr>
                <w:spacing w:val="1"/>
                <w:lang w:eastAsia="zh-CN"/>
              </w:rPr>
              <w:t>确定标准主要内</w:t>
            </w:r>
          </w:p>
          <w:p w14:paraId="2ACBF6BB">
            <w:pPr>
              <w:pStyle w:val="7"/>
              <w:spacing w:before="60" w:line="221" w:lineRule="auto"/>
              <w:ind w:left="118"/>
              <w:rPr>
                <w:rFonts w:hint="eastAsia"/>
                <w:lang w:eastAsia="zh-CN"/>
              </w:rPr>
            </w:pPr>
            <w:r>
              <w:rPr>
                <w:spacing w:val="-2"/>
                <w:lang w:eastAsia="zh-CN"/>
              </w:rPr>
              <w:t>容的论据</w:t>
            </w:r>
          </w:p>
        </w:tc>
        <w:tc>
          <w:tcPr>
            <w:tcW w:w="7666" w:type="dxa"/>
          </w:tcPr>
          <w:p w14:paraId="6DC52A97">
            <w:pPr>
              <w:pStyle w:val="7"/>
              <w:spacing w:before="211" w:line="235" w:lineRule="auto"/>
              <w:ind w:left="128"/>
              <w:rPr>
                <w:rFonts w:hint="eastAsia"/>
                <w:lang w:eastAsia="zh-CN"/>
              </w:rPr>
            </w:pPr>
            <w:r>
              <w:rPr>
                <w:rFonts w:ascii="Times New Roman" w:hAnsi="Times New Roman" w:eastAsia="Times New Roman" w:cs="Times New Roman"/>
                <w:spacing w:val="-14"/>
                <w:lang w:eastAsia="zh-CN"/>
              </w:rPr>
              <w:t>1</w:t>
            </w:r>
            <w:r>
              <w:rPr>
                <w:rFonts w:ascii="Times New Roman" w:hAnsi="Times New Roman" w:eastAsia="Times New Roman" w:cs="Times New Roman"/>
                <w:spacing w:val="-27"/>
                <w:lang w:eastAsia="zh-CN"/>
              </w:rPr>
              <w:t xml:space="preserve"> </w:t>
            </w:r>
            <w:r>
              <w:rPr>
                <w:spacing w:val="-14"/>
                <w:lang w:eastAsia="zh-CN"/>
              </w:rPr>
              <w:t>、</w:t>
            </w:r>
            <w:r>
              <w:rPr>
                <w:spacing w:val="-50"/>
                <w:lang w:eastAsia="zh-CN"/>
              </w:rPr>
              <w:t xml:space="preserve"> </w:t>
            </w:r>
            <w:r>
              <w:rPr>
                <w:spacing w:val="-14"/>
                <w:lang w:eastAsia="zh-CN"/>
              </w:rPr>
              <w:t>范围</w:t>
            </w:r>
          </w:p>
          <w:p w14:paraId="3FFFC7B6">
            <w:pPr>
              <w:pStyle w:val="7"/>
              <w:spacing w:before="199" w:line="276" w:lineRule="auto"/>
              <w:ind w:left="113" w:right="259" w:firstLine="419"/>
              <w:jc w:val="both"/>
              <w:rPr>
                <w:rFonts w:hint="eastAsia"/>
                <w:lang w:eastAsia="zh-CN"/>
              </w:rPr>
            </w:pPr>
            <w:r>
              <w:rPr>
                <w:lang w:eastAsia="zh-CN"/>
              </w:rPr>
              <w:t>本部分</w:t>
            </w:r>
            <w:r>
              <w:rPr>
                <w:rFonts w:hint="eastAsia"/>
                <w:lang w:eastAsia="zh-CN"/>
              </w:rPr>
              <w:t>结合生态产品评价的总体要求考量，界定了生态产品评价总体要求的内容维度和适用范围。</w:t>
            </w:r>
          </w:p>
          <w:p w14:paraId="529D5779">
            <w:pPr>
              <w:pStyle w:val="7"/>
              <w:spacing w:before="151" w:line="234" w:lineRule="auto"/>
              <w:ind w:left="108"/>
              <w:rPr>
                <w:rFonts w:hint="eastAsia"/>
                <w:lang w:eastAsia="zh-CN"/>
              </w:rPr>
            </w:pPr>
            <w:r>
              <w:rPr>
                <w:rFonts w:ascii="Times New Roman" w:hAnsi="Times New Roman" w:eastAsia="Times New Roman" w:cs="Times New Roman"/>
                <w:spacing w:val="-4"/>
                <w:lang w:eastAsia="zh-CN"/>
              </w:rPr>
              <w:t>2</w:t>
            </w:r>
            <w:r>
              <w:rPr>
                <w:rFonts w:ascii="Times New Roman" w:hAnsi="Times New Roman" w:eastAsia="Times New Roman" w:cs="Times New Roman"/>
                <w:spacing w:val="-27"/>
                <w:lang w:eastAsia="zh-CN"/>
              </w:rPr>
              <w:t xml:space="preserve"> </w:t>
            </w:r>
            <w:r>
              <w:rPr>
                <w:spacing w:val="-4"/>
                <w:lang w:eastAsia="zh-CN"/>
              </w:rPr>
              <w:t>、</w:t>
            </w:r>
            <w:r>
              <w:rPr>
                <w:spacing w:val="-53"/>
                <w:lang w:eastAsia="zh-CN"/>
              </w:rPr>
              <w:t xml:space="preserve"> </w:t>
            </w:r>
            <w:r>
              <w:rPr>
                <w:spacing w:val="-4"/>
                <w:lang w:eastAsia="zh-CN"/>
              </w:rPr>
              <w:t>规范性引用文件</w:t>
            </w:r>
          </w:p>
          <w:p w14:paraId="7931AC4C">
            <w:pPr>
              <w:pStyle w:val="7"/>
              <w:spacing w:before="199" w:line="271" w:lineRule="auto"/>
              <w:ind w:left="108" w:right="102" w:firstLine="426"/>
              <w:jc w:val="both"/>
              <w:rPr>
                <w:rFonts w:hint="eastAsia"/>
                <w:lang w:eastAsia="zh-CN"/>
              </w:rPr>
            </w:pPr>
            <w:r>
              <w:rPr>
                <w:rFonts w:hint="eastAsia"/>
                <w:spacing w:val="-1"/>
                <w:lang w:eastAsia="zh-CN"/>
              </w:rPr>
              <w:t>本文件引用的主要标准是《合格评定 第三方符合性标志的通用要求》（GB/T 27030 ）</w:t>
            </w:r>
            <w:r>
              <w:rPr>
                <w:spacing w:val="-1"/>
                <w:lang w:eastAsia="zh-CN"/>
              </w:rPr>
              <w:t>。</w:t>
            </w:r>
          </w:p>
          <w:p w14:paraId="01ABDCAB">
            <w:pPr>
              <w:pStyle w:val="7"/>
              <w:spacing w:before="170" w:line="234" w:lineRule="auto"/>
              <w:ind w:left="112"/>
              <w:rPr>
                <w:rFonts w:hint="eastAsia"/>
                <w:lang w:eastAsia="zh-CN"/>
              </w:rPr>
            </w:pPr>
            <w:r>
              <w:rPr>
                <w:rFonts w:ascii="Times New Roman" w:hAnsi="Times New Roman" w:eastAsia="Times New Roman" w:cs="Times New Roman"/>
                <w:spacing w:val="-6"/>
                <w:lang w:eastAsia="zh-CN"/>
              </w:rPr>
              <w:t>3</w:t>
            </w:r>
            <w:r>
              <w:rPr>
                <w:rFonts w:ascii="Times New Roman" w:hAnsi="Times New Roman" w:eastAsia="Times New Roman" w:cs="Times New Roman"/>
                <w:spacing w:val="-26"/>
                <w:lang w:eastAsia="zh-CN"/>
              </w:rPr>
              <w:t xml:space="preserve"> </w:t>
            </w:r>
            <w:r>
              <w:rPr>
                <w:spacing w:val="-6"/>
                <w:lang w:eastAsia="zh-CN"/>
              </w:rPr>
              <w:t>、</w:t>
            </w:r>
            <w:r>
              <w:rPr>
                <w:spacing w:val="-53"/>
                <w:lang w:eastAsia="zh-CN"/>
              </w:rPr>
              <w:t xml:space="preserve"> </w:t>
            </w:r>
            <w:r>
              <w:rPr>
                <w:spacing w:val="-6"/>
                <w:lang w:eastAsia="zh-CN"/>
              </w:rPr>
              <w:t>术语和定义</w:t>
            </w:r>
          </w:p>
          <w:p w14:paraId="393D45BE">
            <w:pPr>
              <w:pStyle w:val="7"/>
              <w:spacing w:before="199" w:line="271" w:lineRule="auto"/>
              <w:ind w:left="108" w:right="102" w:firstLine="426"/>
              <w:jc w:val="both"/>
              <w:rPr>
                <w:rFonts w:hint="eastAsia"/>
                <w:lang w:eastAsia="zh-CN"/>
              </w:rPr>
            </w:pPr>
            <w:r>
              <w:rPr>
                <w:rFonts w:hint="eastAsia"/>
                <w:lang w:eastAsia="zh-CN"/>
              </w:rPr>
              <w:t>在</w:t>
            </w:r>
            <w:r>
              <w:rPr>
                <w:lang w:eastAsia="zh-CN"/>
              </w:rPr>
              <w:t>参考</w:t>
            </w:r>
            <w:r>
              <w:rPr>
                <w:rFonts w:hint="eastAsia"/>
                <w:lang w:eastAsia="zh-CN"/>
              </w:rPr>
              <w:t>《生态系统评估 生态系统格局与质量评价方法》（GB/T 42340）、《生态产品总值核算规范（试行）》及各行业、各地生态产品或生态系统服务总值相关标准的基础上，结合前期实践基础，给出了开展生态产品评价相关的通用术语和定义（生态系统、生态产品、生态产品价值、物质供给类产品、调节服务类产品和文化服务类产品）</w:t>
            </w:r>
            <w:r>
              <w:rPr>
                <w:spacing w:val="-1"/>
                <w:lang w:eastAsia="zh-CN"/>
              </w:rPr>
              <w:t>。</w:t>
            </w:r>
          </w:p>
          <w:p w14:paraId="7EA957A6">
            <w:pPr>
              <w:pStyle w:val="7"/>
              <w:spacing w:before="218" w:line="234" w:lineRule="auto"/>
              <w:ind w:left="107"/>
              <w:rPr>
                <w:rFonts w:hint="eastAsia"/>
                <w:lang w:eastAsia="zh-CN"/>
              </w:rPr>
            </w:pPr>
            <w:r>
              <w:rPr>
                <w:rFonts w:ascii="Times New Roman" w:hAnsi="Times New Roman" w:eastAsia="Times New Roman" w:cs="Times New Roman"/>
                <w:spacing w:val="-4"/>
                <w:lang w:eastAsia="zh-CN"/>
              </w:rPr>
              <w:t>4</w:t>
            </w:r>
            <w:r>
              <w:rPr>
                <w:rFonts w:ascii="Times New Roman" w:hAnsi="Times New Roman" w:eastAsia="Times New Roman" w:cs="Times New Roman"/>
                <w:spacing w:val="-25"/>
                <w:lang w:eastAsia="zh-CN"/>
              </w:rPr>
              <w:t xml:space="preserve"> </w:t>
            </w:r>
            <w:r>
              <w:rPr>
                <w:spacing w:val="-4"/>
                <w:lang w:eastAsia="zh-CN"/>
              </w:rPr>
              <w:t>、</w:t>
            </w:r>
            <w:r>
              <w:rPr>
                <w:spacing w:val="-46"/>
                <w:lang w:eastAsia="zh-CN"/>
              </w:rPr>
              <w:t xml:space="preserve"> </w:t>
            </w:r>
            <w:r>
              <w:rPr>
                <w:rFonts w:hint="eastAsia"/>
                <w:spacing w:val="-4"/>
                <w:lang w:eastAsia="zh-CN"/>
              </w:rPr>
              <w:t>总体原则</w:t>
            </w:r>
          </w:p>
          <w:p w14:paraId="4194730A">
            <w:pPr>
              <w:pStyle w:val="7"/>
              <w:spacing w:before="202" w:line="276" w:lineRule="auto"/>
              <w:ind w:left="115" w:right="102" w:firstLine="418"/>
              <w:rPr>
                <w:rFonts w:hint="eastAsia"/>
                <w:lang w:eastAsia="zh-CN"/>
              </w:rPr>
            </w:pPr>
            <w:r>
              <w:rPr>
                <w:rFonts w:hint="eastAsia"/>
                <w:spacing w:val="-1"/>
                <w:lang w:eastAsia="zh-CN"/>
              </w:rPr>
              <w:t>以《关于建立健全生态产品价值实现机制的意见》对生态产品的内涵要求为核心，推出了推进生态产品评价的几大原则，即：生态优先、可持续发展、协调创新、科学客观</w:t>
            </w:r>
            <w:r>
              <w:rPr>
                <w:spacing w:val="-1"/>
                <w:lang w:eastAsia="zh-CN"/>
              </w:rPr>
              <w:t>。</w:t>
            </w:r>
          </w:p>
          <w:p w14:paraId="770E2AA9">
            <w:pPr>
              <w:pStyle w:val="7"/>
              <w:spacing w:before="151" w:line="234" w:lineRule="auto"/>
              <w:ind w:left="113"/>
              <w:rPr>
                <w:rFonts w:hint="eastAsia"/>
                <w:lang w:eastAsia="zh-CN"/>
              </w:rPr>
            </w:pPr>
            <w:r>
              <w:rPr>
                <w:rFonts w:ascii="Times New Roman" w:hAnsi="Times New Roman" w:eastAsia="Times New Roman" w:cs="Times New Roman"/>
                <w:spacing w:val="-2"/>
              </w:rPr>
              <w:t>5</w:t>
            </w:r>
            <w:r>
              <w:rPr>
                <w:spacing w:val="-2"/>
              </w:rPr>
              <w:t>、基本</w:t>
            </w:r>
            <w:r>
              <w:rPr>
                <w:rFonts w:hint="eastAsia"/>
                <w:spacing w:val="-2"/>
                <w:lang w:eastAsia="zh-CN"/>
              </w:rPr>
              <w:t>条件</w:t>
            </w:r>
          </w:p>
        </w:tc>
      </w:tr>
    </w:tbl>
    <w:p w14:paraId="6A94A228"/>
    <w:p w14:paraId="631DC15B">
      <w:pPr>
        <w:sectPr>
          <w:pgSz w:w="11907" w:h="16839"/>
          <w:pgMar w:top="1431" w:right="1310" w:bottom="0" w:left="1368" w:header="0" w:footer="0" w:gutter="0"/>
          <w:cols w:space="720" w:num="1"/>
        </w:sectPr>
      </w:pPr>
    </w:p>
    <w:p w14:paraId="078F9E52">
      <w:pPr>
        <w:spacing w:line="91" w:lineRule="auto"/>
        <w:rPr>
          <w:sz w:val="2"/>
        </w:rPr>
      </w:pPr>
    </w:p>
    <w:tbl>
      <w:tblPr>
        <w:tblStyle w:val="6"/>
        <w:tblW w:w="922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08"/>
        <w:gridCol w:w="7514"/>
      </w:tblGrid>
      <w:tr w14:paraId="2919A2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4" w:hRule="atLeast"/>
        </w:trPr>
        <w:tc>
          <w:tcPr>
            <w:tcW w:w="1708" w:type="dxa"/>
          </w:tcPr>
          <w:p w14:paraId="2BB97699"/>
        </w:tc>
        <w:tc>
          <w:tcPr>
            <w:tcW w:w="7514" w:type="dxa"/>
          </w:tcPr>
          <w:p w14:paraId="05079803">
            <w:pPr>
              <w:pStyle w:val="7"/>
              <w:spacing w:before="57" w:line="274" w:lineRule="auto"/>
              <w:ind w:left="111" w:right="81" w:firstLine="421"/>
              <w:rPr>
                <w:rFonts w:hint="eastAsia"/>
                <w:lang w:eastAsia="zh-CN"/>
              </w:rPr>
            </w:pPr>
            <w:r>
              <w:rPr>
                <w:rFonts w:hint="eastAsia"/>
                <w:spacing w:val="-1"/>
                <w:lang w:eastAsia="zh-CN"/>
              </w:rPr>
              <w:t>从基本资质、资源能力、生态优势、合规经营等角度提出了推进生态产品评价的前提条件</w:t>
            </w:r>
            <w:r>
              <w:rPr>
                <w:spacing w:val="-1"/>
                <w:lang w:eastAsia="zh-CN"/>
              </w:rPr>
              <w:t>。</w:t>
            </w:r>
          </w:p>
          <w:p w14:paraId="0F5F690F">
            <w:pPr>
              <w:pStyle w:val="7"/>
              <w:spacing w:line="235" w:lineRule="auto"/>
              <w:ind w:left="112"/>
              <w:rPr>
                <w:rFonts w:hint="eastAsia"/>
                <w:lang w:eastAsia="zh-CN"/>
              </w:rPr>
            </w:pPr>
            <w:r>
              <w:rPr>
                <w:rFonts w:ascii="Times New Roman" w:hAnsi="Times New Roman" w:eastAsia="Times New Roman" w:cs="Times New Roman"/>
                <w:spacing w:val="-2"/>
                <w:lang w:eastAsia="zh-CN"/>
              </w:rPr>
              <w:t>6</w:t>
            </w:r>
            <w:r>
              <w:rPr>
                <w:spacing w:val="-2"/>
                <w:lang w:eastAsia="zh-CN"/>
              </w:rPr>
              <w:t>、</w:t>
            </w:r>
            <w:r>
              <w:rPr>
                <w:rFonts w:hint="eastAsia"/>
                <w:spacing w:val="-2"/>
                <w:lang w:eastAsia="zh-CN"/>
              </w:rPr>
              <w:t>评价类别及形式</w:t>
            </w:r>
          </w:p>
          <w:p w14:paraId="5A4E203E">
            <w:pPr>
              <w:pStyle w:val="7"/>
              <w:spacing w:before="199" w:line="276" w:lineRule="auto"/>
              <w:ind w:left="112" w:right="45" w:firstLine="420"/>
              <w:jc w:val="both"/>
              <w:rPr>
                <w:rFonts w:hint="eastAsia"/>
                <w:spacing w:val="-1"/>
                <w:lang w:eastAsia="zh-CN"/>
              </w:rPr>
            </w:pPr>
            <w:r>
              <w:rPr>
                <w:rFonts w:hint="eastAsia"/>
                <w:spacing w:val="-1"/>
                <w:lang w:eastAsia="zh-CN"/>
              </w:rPr>
              <w:t>基于生态产品价值核算与具体产品评价相衔接的整体要求，提出了生态产品评级的形式，即“特定生态产品评价+生态产品价值核算”，并给出了各类型评价的内容和评价主要成果</w:t>
            </w:r>
            <w:r>
              <w:rPr>
                <w:spacing w:val="-1"/>
                <w:lang w:eastAsia="zh-CN"/>
              </w:rPr>
              <w:t>。</w:t>
            </w:r>
          </w:p>
          <w:p w14:paraId="0237C26B">
            <w:pPr>
              <w:pStyle w:val="7"/>
              <w:spacing w:before="199" w:line="276" w:lineRule="auto"/>
              <w:ind w:right="45"/>
              <w:jc w:val="both"/>
              <w:rPr>
                <w:rFonts w:hint="eastAsia"/>
                <w:spacing w:val="-1"/>
                <w:lang w:eastAsia="zh-CN"/>
              </w:rPr>
            </w:pPr>
            <w:r>
              <w:rPr>
                <w:rFonts w:hint="eastAsia"/>
                <w:spacing w:val="-1"/>
                <w:lang w:eastAsia="zh-CN"/>
              </w:rPr>
              <w:t>7、评价流程</w:t>
            </w:r>
          </w:p>
          <w:p w14:paraId="302A38D2">
            <w:pPr>
              <w:pStyle w:val="7"/>
              <w:spacing w:before="199" w:line="276" w:lineRule="auto"/>
              <w:ind w:left="112" w:right="45" w:firstLine="420"/>
              <w:jc w:val="both"/>
              <w:rPr>
                <w:rFonts w:hint="eastAsia"/>
                <w:spacing w:val="-1"/>
                <w:lang w:eastAsia="zh-CN"/>
              </w:rPr>
            </w:pPr>
            <w:r>
              <w:rPr>
                <w:rFonts w:hint="eastAsia"/>
                <w:spacing w:val="-1"/>
                <w:lang w:eastAsia="zh-CN"/>
              </w:rPr>
              <w:t>在参考国家合格评定关于审核、评价相关标准要求的基础上，给出了生态产品评价的主要流程（申请意向提出、生态符合性评审、正式申请提交、受理评审、评价实施、评价报告编制、技术复核、评价决定、证书发放、标志标牌使用和获证后监督管理）及相关环节的主要要求。</w:t>
            </w:r>
          </w:p>
          <w:p w14:paraId="5ED2A1BD">
            <w:pPr>
              <w:pStyle w:val="7"/>
              <w:numPr>
                <w:ilvl w:val="0"/>
                <w:numId w:val="2"/>
              </w:numPr>
              <w:spacing w:before="199" w:line="276" w:lineRule="auto"/>
              <w:ind w:right="45"/>
              <w:jc w:val="both"/>
              <w:rPr>
                <w:rFonts w:hint="eastAsia"/>
                <w:spacing w:val="-1"/>
                <w:lang w:eastAsia="zh-CN"/>
              </w:rPr>
            </w:pPr>
            <w:r>
              <w:rPr>
                <w:rFonts w:hint="eastAsia"/>
                <w:spacing w:val="-1"/>
                <w:lang w:eastAsia="zh-CN"/>
              </w:rPr>
              <w:t>评价证书和标志</w:t>
            </w:r>
          </w:p>
          <w:p w14:paraId="5193AB26">
            <w:pPr>
              <w:pStyle w:val="7"/>
              <w:spacing w:before="199" w:line="276" w:lineRule="auto"/>
              <w:ind w:right="45"/>
              <w:jc w:val="both"/>
              <w:rPr>
                <w:rFonts w:hint="eastAsia"/>
                <w:spacing w:val="-1"/>
                <w:lang w:eastAsia="zh-CN"/>
              </w:rPr>
            </w:pPr>
            <w:r>
              <w:rPr>
                <w:rFonts w:hint="eastAsia"/>
                <w:spacing w:val="-1"/>
                <w:lang w:eastAsia="zh-CN"/>
              </w:rPr>
              <w:t xml:space="preserve">    从评价证书和标志两个维度，给出了获证的生态产品标识内容要求和使用管理规定。</w:t>
            </w:r>
          </w:p>
        </w:tc>
      </w:tr>
      <w:tr w14:paraId="478A6F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222" w:type="dxa"/>
            <w:gridSpan w:val="2"/>
          </w:tcPr>
          <w:p w14:paraId="57753BF8">
            <w:pPr>
              <w:pStyle w:val="7"/>
              <w:spacing w:before="173" w:line="220" w:lineRule="auto"/>
              <w:ind w:left="1391"/>
              <w:rPr>
                <w:rFonts w:hint="eastAsia"/>
                <w:sz w:val="28"/>
                <w:szCs w:val="28"/>
                <w:lang w:eastAsia="zh-CN"/>
              </w:rPr>
            </w:pPr>
            <w:r>
              <w:rPr>
                <w:b/>
                <w:bCs/>
                <w:spacing w:val="-3"/>
                <w:sz w:val="28"/>
                <w:szCs w:val="28"/>
                <w:lang w:eastAsia="zh-CN"/>
              </w:rPr>
              <w:t>与现行法律法规、强制性标准和其他有关标准的关系</w:t>
            </w:r>
          </w:p>
        </w:tc>
      </w:tr>
      <w:tr w14:paraId="2D3FAA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58" w:hRule="atLeast"/>
        </w:trPr>
        <w:tc>
          <w:tcPr>
            <w:tcW w:w="1708" w:type="dxa"/>
          </w:tcPr>
          <w:p w14:paraId="24E6B251">
            <w:pPr>
              <w:spacing w:line="249" w:lineRule="auto"/>
              <w:rPr>
                <w:lang w:eastAsia="zh-CN"/>
              </w:rPr>
            </w:pPr>
          </w:p>
          <w:p w14:paraId="4153A072">
            <w:pPr>
              <w:spacing w:line="249" w:lineRule="auto"/>
              <w:rPr>
                <w:lang w:eastAsia="zh-CN"/>
              </w:rPr>
            </w:pPr>
          </w:p>
          <w:p w14:paraId="403F1925">
            <w:pPr>
              <w:pStyle w:val="7"/>
              <w:spacing w:before="68" w:line="277" w:lineRule="auto"/>
              <w:ind w:left="117" w:right="108" w:hanging="1"/>
              <w:rPr>
                <w:rFonts w:hint="eastAsia"/>
                <w:lang w:eastAsia="zh-CN"/>
              </w:rPr>
            </w:pPr>
            <w:r>
              <w:rPr>
                <w:spacing w:val="1"/>
                <w:lang w:eastAsia="zh-CN"/>
              </w:rPr>
              <w:t>法律法规和强制</w:t>
            </w:r>
            <w:r>
              <w:rPr>
                <w:lang w:eastAsia="zh-CN"/>
              </w:rPr>
              <w:t xml:space="preserve"> </w:t>
            </w:r>
            <w:r>
              <w:rPr>
                <w:spacing w:val="-2"/>
                <w:lang w:eastAsia="zh-CN"/>
              </w:rPr>
              <w:t>性标准的关系</w:t>
            </w:r>
          </w:p>
        </w:tc>
        <w:tc>
          <w:tcPr>
            <w:tcW w:w="7514" w:type="dxa"/>
          </w:tcPr>
          <w:p w14:paraId="4FB47137">
            <w:pPr>
              <w:spacing w:line="344" w:lineRule="auto"/>
              <w:rPr>
                <w:lang w:eastAsia="zh-CN"/>
              </w:rPr>
            </w:pPr>
          </w:p>
          <w:p w14:paraId="58681D7A">
            <w:pPr>
              <w:pStyle w:val="7"/>
              <w:spacing w:before="68" w:line="270" w:lineRule="auto"/>
              <w:ind w:left="111" w:right="102" w:firstLine="421"/>
              <w:jc w:val="both"/>
              <w:rPr>
                <w:rFonts w:hint="eastAsia"/>
                <w:lang w:eastAsia="zh-CN"/>
              </w:rPr>
            </w:pPr>
            <w:r>
              <w:rPr>
                <w:spacing w:val="-4"/>
                <w:lang w:eastAsia="zh-CN"/>
              </w:rPr>
              <w:t>本文件的</w:t>
            </w:r>
            <w:r>
              <w:rPr>
                <w:rFonts w:hint="eastAsia"/>
                <w:spacing w:val="-4"/>
                <w:lang w:eastAsia="zh-CN"/>
              </w:rPr>
              <w:t>是在参考国家生态产品总值核算、食品安全、生态环境及国家合格评定相关标准的上制定的，遵循了现行有关的法律法规、价值核算、食品安全国家标准、生态环境相关强制性标准和其他政策文件的规定。</w:t>
            </w:r>
          </w:p>
        </w:tc>
      </w:tr>
      <w:tr w14:paraId="526C66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2" w:hRule="atLeast"/>
        </w:trPr>
        <w:tc>
          <w:tcPr>
            <w:tcW w:w="1708" w:type="dxa"/>
          </w:tcPr>
          <w:p w14:paraId="7E81F678">
            <w:pPr>
              <w:pStyle w:val="7"/>
              <w:spacing w:before="53" w:line="248" w:lineRule="auto"/>
              <w:ind w:left="133" w:right="108" w:hanging="13"/>
              <w:rPr>
                <w:rFonts w:hint="eastAsia"/>
                <w:lang w:eastAsia="zh-CN"/>
              </w:rPr>
            </w:pPr>
          </w:p>
          <w:p w14:paraId="5AD94FD4">
            <w:pPr>
              <w:pStyle w:val="7"/>
              <w:spacing w:before="53" w:line="248" w:lineRule="auto"/>
              <w:ind w:left="133" w:right="108" w:hanging="13"/>
              <w:rPr>
                <w:rFonts w:hint="eastAsia"/>
                <w:lang w:eastAsia="zh-CN"/>
              </w:rPr>
            </w:pPr>
            <w:r>
              <w:rPr>
                <w:lang w:eastAsia="zh-CN"/>
              </w:rPr>
              <w:t>与其他有关标准</w:t>
            </w:r>
            <w:r>
              <w:rPr>
                <w:spacing w:val="3"/>
                <w:lang w:eastAsia="zh-CN"/>
              </w:rPr>
              <w:t xml:space="preserve"> </w:t>
            </w:r>
            <w:r>
              <w:rPr>
                <w:spacing w:val="-5"/>
                <w:lang w:eastAsia="zh-CN"/>
              </w:rPr>
              <w:t>的关系</w:t>
            </w:r>
          </w:p>
        </w:tc>
        <w:tc>
          <w:tcPr>
            <w:tcW w:w="7514" w:type="dxa"/>
          </w:tcPr>
          <w:p w14:paraId="5DD86A21">
            <w:pPr>
              <w:pStyle w:val="7"/>
              <w:spacing w:before="210" w:line="221" w:lineRule="auto"/>
              <w:ind w:firstLine="420" w:firstLineChars="200"/>
              <w:rPr>
                <w:rFonts w:hint="eastAsia"/>
                <w:lang w:eastAsia="zh-CN"/>
              </w:rPr>
            </w:pPr>
            <w:r>
              <w:rPr>
                <w:rFonts w:hint="eastAsia"/>
                <w:lang w:eastAsia="zh-CN"/>
              </w:rPr>
              <w:t>通过检索“国家标准信息公共服务平台”“行业标准信息服务平台”“地方标准信息服务平台”“全国团体标准信息平台”，尚无相关或相似的国家、行业、地方、团体标准。</w:t>
            </w:r>
          </w:p>
        </w:tc>
      </w:tr>
      <w:tr w14:paraId="13706E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9222" w:type="dxa"/>
            <w:gridSpan w:val="2"/>
          </w:tcPr>
          <w:p w14:paraId="239E8566">
            <w:pPr>
              <w:pStyle w:val="7"/>
              <w:spacing w:before="178" w:line="219" w:lineRule="auto"/>
              <w:ind w:left="2652"/>
              <w:rPr>
                <w:rFonts w:hint="eastAsia"/>
                <w:sz w:val="28"/>
                <w:szCs w:val="28"/>
                <w:lang w:eastAsia="zh-CN"/>
              </w:rPr>
            </w:pPr>
            <w:r>
              <w:rPr>
                <w:b/>
                <w:bCs/>
                <w:spacing w:val="-3"/>
                <w:sz w:val="28"/>
                <w:szCs w:val="28"/>
                <w:lang w:eastAsia="zh-CN"/>
              </w:rPr>
              <w:t>重大分歧意见的处理经过和依据</w:t>
            </w:r>
          </w:p>
        </w:tc>
      </w:tr>
      <w:tr w14:paraId="7A033E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222" w:type="dxa"/>
            <w:gridSpan w:val="2"/>
          </w:tcPr>
          <w:p w14:paraId="5B4ED30B">
            <w:pPr>
              <w:pStyle w:val="7"/>
              <w:spacing w:before="56" w:line="221" w:lineRule="auto"/>
              <w:ind w:left="117"/>
              <w:rPr>
                <w:rFonts w:hint="eastAsia"/>
              </w:rPr>
            </w:pPr>
            <w:r>
              <w:t>无</w:t>
            </w:r>
          </w:p>
        </w:tc>
      </w:tr>
      <w:tr w14:paraId="4E4854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222" w:type="dxa"/>
            <w:gridSpan w:val="2"/>
          </w:tcPr>
          <w:p w14:paraId="697F28AD">
            <w:pPr>
              <w:pStyle w:val="7"/>
              <w:spacing w:before="177" w:line="220" w:lineRule="auto"/>
              <w:ind w:left="2797"/>
              <w:rPr>
                <w:rFonts w:hint="eastAsia"/>
                <w:sz w:val="28"/>
                <w:szCs w:val="28"/>
                <w:lang w:eastAsia="zh-CN"/>
              </w:rPr>
            </w:pPr>
            <w:r>
              <w:rPr>
                <w:b/>
                <w:bCs/>
                <w:spacing w:val="-4"/>
                <w:sz w:val="28"/>
                <w:szCs w:val="28"/>
                <w:lang w:eastAsia="zh-CN"/>
              </w:rPr>
              <w:t>贯彻该标准的要求和措施建议</w:t>
            </w:r>
          </w:p>
        </w:tc>
      </w:tr>
      <w:tr w14:paraId="6D7688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9222" w:type="dxa"/>
            <w:gridSpan w:val="2"/>
          </w:tcPr>
          <w:p w14:paraId="47DFBD86">
            <w:pPr>
              <w:pStyle w:val="7"/>
              <w:spacing w:before="57" w:line="268" w:lineRule="auto"/>
              <w:ind w:left="119" w:right="107" w:firstLine="419"/>
              <w:rPr>
                <w:rFonts w:hint="eastAsia"/>
                <w:lang w:eastAsia="zh-CN"/>
              </w:rPr>
            </w:pPr>
            <w:r>
              <w:rPr>
                <w:rFonts w:hint="eastAsia"/>
                <w:lang w:eastAsia="zh-CN"/>
              </w:rPr>
              <w:t>整合生态产品评价相关经营管理主体、技术主体、应用对象主体及主要交易主体立力量，形成生态产品评价专项工作小组，形成评价资源库，推动生态产品评价相关标准宣贯培训。选择区域基础条件好（生态优势明显、具备生态产品交易平台）、当地意愿高、有一定工作基础的项目，推进生态产品评价，对评价结果进行广泛宣传推广，提升生态产品评价的影响力；同时链接交易中心、金融机构等推进生态产品评价结果应用，促进生态产品价值转化。在此过程中，整理、收集相关方对生态产品评价系列标准的意见建议，不断修改完善相关标准，条件合适时将相关标准上升为国家、行业标准，助力生态产品评价规范发展。</w:t>
            </w:r>
          </w:p>
        </w:tc>
      </w:tr>
    </w:tbl>
    <w:p w14:paraId="7760B4DA">
      <w:pPr>
        <w:rPr>
          <w:lang w:eastAsia="zh-CN"/>
        </w:rPr>
      </w:pPr>
    </w:p>
    <w:sectPr>
      <w:pgSz w:w="11907" w:h="16839"/>
      <w:pgMar w:top="1431" w:right="1310" w:bottom="0" w:left="1368"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EF3410"/>
    <w:multiLevelType w:val="singleLevel"/>
    <w:tmpl w:val="AEEF3410"/>
    <w:lvl w:ilvl="0" w:tentative="0">
      <w:start w:val="1"/>
      <w:numFmt w:val="decimal"/>
      <w:lvlText w:val="%1."/>
      <w:lvlJc w:val="left"/>
      <w:pPr>
        <w:ind w:left="425" w:hanging="425"/>
      </w:pPr>
      <w:rPr>
        <w:rFonts w:hint="default"/>
      </w:rPr>
    </w:lvl>
  </w:abstractNum>
  <w:abstractNum w:abstractNumId="1">
    <w:nsid w:val="2A80D471"/>
    <w:multiLevelType w:val="singleLevel"/>
    <w:tmpl w:val="2A80D471"/>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rsids>
    <w:rsidRoot w:val="00256D6E"/>
    <w:rsid w:val="000C276B"/>
    <w:rsid w:val="000D7F05"/>
    <w:rsid w:val="0012033A"/>
    <w:rsid w:val="001D416B"/>
    <w:rsid w:val="001E122A"/>
    <w:rsid w:val="00232541"/>
    <w:rsid w:val="00237F95"/>
    <w:rsid w:val="00256D6E"/>
    <w:rsid w:val="002F2333"/>
    <w:rsid w:val="00424D15"/>
    <w:rsid w:val="004532FB"/>
    <w:rsid w:val="0046628D"/>
    <w:rsid w:val="005E5698"/>
    <w:rsid w:val="00633DDA"/>
    <w:rsid w:val="006F03DF"/>
    <w:rsid w:val="006F670E"/>
    <w:rsid w:val="00753A9C"/>
    <w:rsid w:val="00800390"/>
    <w:rsid w:val="00882350"/>
    <w:rsid w:val="00890AE5"/>
    <w:rsid w:val="009944F0"/>
    <w:rsid w:val="00A27F83"/>
    <w:rsid w:val="00A35B7F"/>
    <w:rsid w:val="00B42FE6"/>
    <w:rsid w:val="00B52752"/>
    <w:rsid w:val="00BD2BA3"/>
    <w:rsid w:val="00BD373D"/>
    <w:rsid w:val="00D66F6D"/>
    <w:rsid w:val="00D7359C"/>
    <w:rsid w:val="00EA1280"/>
    <w:rsid w:val="00FD70E5"/>
    <w:rsid w:val="026C4FD1"/>
    <w:rsid w:val="06E6018A"/>
    <w:rsid w:val="09E57B43"/>
    <w:rsid w:val="0BA53A2D"/>
    <w:rsid w:val="0F7A766B"/>
    <w:rsid w:val="1274141C"/>
    <w:rsid w:val="13F57B76"/>
    <w:rsid w:val="159D4B97"/>
    <w:rsid w:val="1A74451A"/>
    <w:rsid w:val="1B48540F"/>
    <w:rsid w:val="21CC4606"/>
    <w:rsid w:val="242E1C8E"/>
    <w:rsid w:val="29C25353"/>
    <w:rsid w:val="2A856BE0"/>
    <w:rsid w:val="2C351E0C"/>
    <w:rsid w:val="32F860CE"/>
    <w:rsid w:val="366A4DA8"/>
    <w:rsid w:val="36CB6C73"/>
    <w:rsid w:val="379602EB"/>
    <w:rsid w:val="37DE4F22"/>
    <w:rsid w:val="397A6507"/>
    <w:rsid w:val="39D3299A"/>
    <w:rsid w:val="3B7B35B3"/>
    <w:rsid w:val="3FE6685E"/>
    <w:rsid w:val="42660B19"/>
    <w:rsid w:val="49014607"/>
    <w:rsid w:val="493A7349"/>
    <w:rsid w:val="4B225EDD"/>
    <w:rsid w:val="50295917"/>
    <w:rsid w:val="515E4352"/>
    <w:rsid w:val="54462DD4"/>
    <w:rsid w:val="56553C8D"/>
    <w:rsid w:val="59995821"/>
    <w:rsid w:val="5FA90672"/>
    <w:rsid w:val="5FEB1323"/>
    <w:rsid w:val="625E018B"/>
    <w:rsid w:val="6671682D"/>
    <w:rsid w:val="6C6B6BA9"/>
    <w:rsid w:val="6C7D4538"/>
    <w:rsid w:val="73F6144E"/>
    <w:rsid w:val="74B55EA7"/>
    <w:rsid w:val="75BB69C6"/>
    <w:rsid w:val="78994A9D"/>
    <w:rsid w:val="7BF24BF0"/>
    <w:rsid w:val="7CB97D01"/>
    <w:rsid w:val="7DB23DFE"/>
    <w:rsid w:val="7F121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pPr>
    <w:rPr>
      <w:sz w:val="18"/>
      <w:szCs w:val="18"/>
    </w:rPr>
  </w:style>
  <w:style w:type="paragraph" w:styleId="3">
    <w:name w:val="header"/>
    <w:basedOn w:val="1"/>
    <w:link w:val="8"/>
    <w:qFormat/>
    <w:uiPriority w:val="0"/>
    <w:pPr>
      <w:tabs>
        <w:tab w:val="center" w:pos="4153"/>
        <w:tab w:val="right" w:pos="8306"/>
      </w:tabs>
      <w:jc w:val="center"/>
    </w:pPr>
    <w:rPr>
      <w:sz w:val="18"/>
      <w:szCs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rPr>
  </w:style>
  <w:style w:type="character" w:customStyle="1" w:styleId="8">
    <w:name w:val="页眉 字符"/>
    <w:basedOn w:val="5"/>
    <w:link w:val="3"/>
    <w:qFormat/>
    <w:uiPriority w:val="0"/>
    <w:rPr>
      <w:rFonts w:eastAsia="Arial"/>
      <w:snapToGrid w:val="0"/>
      <w:color w:val="000000"/>
      <w:sz w:val="18"/>
      <w:szCs w:val="18"/>
      <w:lang w:eastAsia="en-US"/>
    </w:rPr>
  </w:style>
  <w:style w:type="character" w:customStyle="1" w:styleId="9">
    <w:name w:val="页脚 字符"/>
    <w:basedOn w:val="5"/>
    <w:link w:val="2"/>
    <w:qFormat/>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3953</Words>
  <Characters>4101</Characters>
  <Lines>30</Lines>
  <Paragraphs>8</Paragraphs>
  <TotalTime>219</TotalTime>
  <ScaleCrop>false</ScaleCrop>
  <LinksUpToDate>false</LinksUpToDate>
  <CharactersWithSpaces>4165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2023-11-22T08:47:00Z</dcterms:created>
  <dc:creator>闫 一凡</dc:creator>
  <cp:lastModifiedBy>邢慧洁</cp:lastModifiedBy>
  <dcterms:modified xsi:type="dcterms:W3CDTF">2025-08-11T00:59:03Z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2025-07-30T16:17:43Z</vt:filetime>
  </property>
  <property fmtid="{D5CDD505-2E9C-101B-9397-08002B2CF9AE}" pid="4" name="KSOTemplateDocerSaveRecord">
    <vt:lpwstr>eyJoZGlkIjoiMDliNGJmYTg5ZjJlMWNjYTM0ODI3NDNiODFmYjY1OTMiLCJ1c2VySWQiOiIyNjM5NDU4ODUifQ==</vt:lpwstr>
  </property>
  <property fmtid="{D5CDD505-2E9C-101B-9397-08002B2CF9AE}" pid="5" name="KSOProductBuildVer">
    <vt:lpwstr>2052-12.1.0.22215</vt:lpwstr>
  </property>
  <property fmtid="{D5CDD505-2E9C-101B-9397-08002B2CF9AE}" pid="6" name="ICV">
    <vt:lpwstr>CA1A3BE3109045DAB7F28FDA975A02AC_13</vt:lpwstr>
  </property>
</Properties>
</file>