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955A89" w14:textId="77777777" w:rsidR="009E73DC" w:rsidRDefault="00000000">
      <w:pPr>
        <w:pStyle w:val="affffffb"/>
        <w:framePr w:wrap="around"/>
        <w:rPr>
          <w:rFonts w:ascii="Times New Roman"/>
        </w:rPr>
      </w:pPr>
      <w:r>
        <w:rPr>
          <w:rFonts w:ascii="Times New Roman"/>
        </w:rPr>
        <w:t>ICS 03.120.20</w:t>
      </w:r>
    </w:p>
    <w:p w14:paraId="56BF091E" w14:textId="77777777" w:rsidR="009E73DC" w:rsidRDefault="00000000">
      <w:pPr>
        <w:pStyle w:val="affffffb"/>
        <w:framePr w:wrap="around"/>
        <w:rPr>
          <w:rFonts w:ascii="Times New Roman"/>
        </w:rPr>
      </w:pPr>
      <w:proofErr w:type="gramStart"/>
      <w:r>
        <w:rPr>
          <w:rFonts w:ascii="Times New Roman"/>
        </w:rPr>
        <w:t>CCS  A</w:t>
      </w:r>
      <w:proofErr w:type="gramEnd"/>
      <w:r>
        <w:rPr>
          <w:rFonts w:ascii="Times New Roman"/>
        </w:rPr>
        <w:t xml:space="preserve"> 00</w:t>
      </w:r>
    </w:p>
    <w:tbl>
      <w:tblPr>
        <w:tblStyle w:val="afff2"/>
        <w:tblW w:w="0" w:type="auto"/>
        <w:tblLook w:val="04A0" w:firstRow="1" w:lastRow="0" w:firstColumn="1" w:lastColumn="0" w:noHBand="0" w:noVBand="1"/>
      </w:tblPr>
      <w:tblGrid>
        <w:gridCol w:w="9628"/>
      </w:tblGrid>
      <w:tr w:rsidR="009E73DC" w14:paraId="623735AA" w14:textId="77777777">
        <w:tc>
          <w:tcPr>
            <w:tcW w:w="9628" w:type="dxa"/>
            <w:tcBorders>
              <w:top w:val="nil"/>
              <w:left w:val="nil"/>
              <w:bottom w:val="nil"/>
              <w:right w:val="nil"/>
            </w:tcBorders>
            <w:shd w:val="clear" w:color="auto" w:fill="auto"/>
          </w:tcPr>
          <w:p w14:paraId="79CDAB72" w14:textId="77777777" w:rsidR="009E73DC" w:rsidRDefault="009E73DC">
            <w:pPr>
              <w:pStyle w:val="affffffb"/>
              <w:framePr w:wrap="around"/>
              <w:rPr>
                <w:rFonts w:ascii="Times New Roman"/>
              </w:rPr>
            </w:pPr>
          </w:p>
        </w:tc>
      </w:tr>
    </w:tbl>
    <w:p w14:paraId="7B12A155" w14:textId="77777777" w:rsidR="009E73DC" w:rsidRDefault="00000000">
      <w:pPr>
        <w:pStyle w:val="affffff"/>
        <w:framePr w:wrap="around"/>
        <w:wordWrap w:val="0"/>
      </w:pPr>
      <w:r>
        <w:t xml:space="preserve">  </w:t>
      </w:r>
    </w:p>
    <w:p w14:paraId="14C42D45" w14:textId="77777777" w:rsidR="009E73DC" w:rsidRDefault="00000000">
      <w:pPr>
        <w:pStyle w:val="affffff0"/>
        <w:framePr w:w="8038" w:wrap="around" w:x="2104"/>
        <w:rPr>
          <w:rFonts w:ascii="Times New Roman" w:hAnsi="Times New Roman"/>
          <w:sz w:val="72"/>
          <w:szCs w:val="72"/>
        </w:rPr>
      </w:pPr>
      <w:r>
        <w:rPr>
          <w:rFonts w:ascii="Times New Roman" w:hAnsi="Times New Roman"/>
          <w:sz w:val="72"/>
          <w:szCs w:val="72"/>
        </w:rPr>
        <w:t>团体标准</w:t>
      </w:r>
    </w:p>
    <w:p w14:paraId="45097F6A" w14:textId="77777777" w:rsidR="009E73DC" w:rsidRDefault="00000000">
      <w:pPr>
        <w:pStyle w:val="21"/>
        <w:framePr w:wrap="around"/>
        <w:rPr>
          <w:rFonts w:ascii="Times New Roman"/>
        </w:rPr>
      </w:pPr>
      <w:r>
        <w:rPr>
          <w:rFonts w:ascii="Times New Roman"/>
        </w:rPr>
        <w:t>T/CCAA XX—XXXX</w:t>
      </w:r>
    </w:p>
    <w:tbl>
      <w:tblPr>
        <w:tblStyle w:val="afff2"/>
        <w:tblW w:w="0" w:type="auto"/>
        <w:tblLook w:val="04A0" w:firstRow="1" w:lastRow="0" w:firstColumn="1" w:lastColumn="0" w:noHBand="0" w:noVBand="1"/>
      </w:tblPr>
      <w:tblGrid>
        <w:gridCol w:w="9130"/>
      </w:tblGrid>
      <w:tr w:rsidR="009E73DC" w14:paraId="32B83357" w14:textId="77777777">
        <w:trPr>
          <w:trHeight w:val="90"/>
        </w:trPr>
        <w:tc>
          <w:tcPr>
            <w:tcW w:w="9130" w:type="dxa"/>
            <w:tcBorders>
              <w:top w:val="nil"/>
              <w:left w:val="nil"/>
              <w:bottom w:val="nil"/>
              <w:right w:val="nil"/>
            </w:tcBorders>
            <w:shd w:val="clear" w:color="auto" w:fill="auto"/>
          </w:tcPr>
          <w:p w14:paraId="1869ED10" w14:textId="77777777" w:rsidR="009E73DC" w:rsidRDefault="00000000">
            <w:pPr>
              <w:pStyle w:val="affffd"/>
              <w:framePr w:wrap="around"/>
              <w:rPr>
                <w:rFonts w:ascii="Times New Roman"/>
              </w:rPr>
            </w:pPr>
            <w:r>
              <w:rPr>
                <w:rFonts w:ascii="Times New Roman"/>
                <w:noProof/>
              </w:rPr>
              <mc:AlternateContent>
                <mc:Choice Requires="wps">
                  <w:drawing>
                    <wp:anchor distT="0" distB="0" distL="114300" distR="114300" simplePos="0" relativeHeight="251663360" behindDoc="1" locked="0" layoutInCell="1" allowOverlap="1" wp14:anchorId="21FBC1D4" wp14:editId="5247B303">
                      <wp:simplePos x="0" y="0"/>
                      <wp:positionH relativeFrom="column">
                        <wp:posOffset>4665980</wp:posOffset>
                      </wp:positionH>
                      <wp:positionV relativeFrom="paragraph">
                        <wp:posOffset>34290</wp:posOffset>
                      </wp:positionV>
                      <wp:extent cx="1143000" cy="228600"/>
                      <wp:effectExtent l="0" t="0" r="0" b="0"/>
                      <wp:wrapNone/>
                      <wp:docPr id="5" name="DT"/>
                      <wp:cNvGraphicFramePr/>
                      <a:graphic xmlns:a="http://schemas.openxmlformats.org/drawingml/2006/main">
                        <a:graphicData uri="http://schemas.microsoft.com/office/word/2010/wordprocessingShape">
                          <wps:wsp>
                            <wps:cNvSpPr/>
                            <wps:spPr>
                              <a:xfrm>
                                <a:off x="0" y="0"/>
                                <a:ext cx="1143000" cy="228600"/>
                              </a:xfrm>
                              <a:prstGeom prst="rect">
                                <a:avLst/>
                              </a:prstGeom>
                              <a:solidFill>
                                <a:srgbClr val="FFFFFF"/>
                              </a:solidFill>
                              <a:ln w="25400" cap="flat" cmpd="sng" algn="ctr">
                                <a:noFill/>
                                <a:prstDash val="solid"/>
                              </a:ln>
                              <a:effectLst/>
                            </wps:spPr>
                            <wps:txbx>
                              <w:txbxContent>
                                <w:p w14:paraId="7037D66B" w14:textId="77777777" w:rsidR="009E73DC" w:rsidRDefault="009E73D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1FBC1D4" id="DT" o:spid="_x0000_s1026" style="position:absolute;left:0;text-align:left;margin-left:367.4pt;margin-top:2.7pt;width:90pt;height:18pt;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" stroked="f" strokeweight="2pt">
                      <v:textbox>
                        <w:txbxContent>
                          <w:p w14:paraId="7037D66B" w14:textId="77777777" w:rsidR="009E73DC" w:rsidRDefault="009E73DC">
                            <w:pPr>
                              <w:jc w:val="center"/>
                            </w:pPr>
                          </w:p>
                        </w:txbxContent>
                      </v:textbox>
                    </v:rect>
                  </w:pict>
                </mc:Fallback>
              </mc:AlternateContent>
            </w:r>
          </w:p>
        </w:tc>
      </w:tr>
    </w:tbl>
    <w:p w14:paraId="5F9650BE" w14:textId="77777777" w:rsidR="009E73DC" w:rsidRDefault="009E73DC">
      <w:pPr>
        <w:pStyle w:val="21"/>
        <w:framePr w:wrap="around"/>
        <w:rPr>
          <w:rFonts w:ascii="Times New Roman"/>
        </w:rPr>
      </w:pPr>
    </w:p>
    <w:p w14:paraId="24A47572" w14:textId="77777777" w:rsidR="009E73DC" w:rsidRDefault="009E73DC">
      <w:pPr>
        <w:pStyle w:val="21"/>
        <w:framePr w:wrap="around"/>
        <w:rPr>
          <w:rFonts w:ascii="Times New Roman"/>
        </w:rPr>
      </w:pPr>
    </w:p>
    <w:p w14:paraId="543A69E2" w14:textId="77777777" w:rsidR="009E73DC" w:rsidRDefault="00000000">
      <w:pPr>
        <w:pStyle w:val="affffe"/>
        <w:framePr w:wrap="notBeside"/>
        <w:rPr>
          <w:rFonts w:ascii="Times New Roman"/>
          <w:b/>
          <w:color w:val="000000" w:themeColor="text1"/>
          <w:szCs w:val="48"/>
        </w:rPr>
      </w:pPr>
      <w:r>
        <w:rPr>
          <w:rFonts w:ascii="Times New Roman"/>
          <w:b/>
          <w:color w:val="000000" w:themeColor="text1"/>
          <w:szCs w:val="48"/>
        </w:rPr>
        <w:t>可再生氢生产溯源管理指南</w:t>
      </w:r>
    </w:p>
    <w:p w14:paraId="5FFCEA47" w14:textId="77777777" w:rsidR="009E73DC" w:rsidRDefault="00000000">
      <w:pPr>
        <w:framePr w:w="9639" w:h="6917" w:hRule="exact" w:wrap="notBeside" w:vAnchor="page" w:hAnchor="page" w:xAlign="center" w:y="6408" w:anchorLock="1"/>
        <w:adjustRightInd w:val="0"/>
        <w:snapToGrid w:val="0"/>
        <w:spacing w:beforeLines="20" w:before="62" w:afterLines="20" w:after="62"/>
        <w:jc w:val="center"/>
        <w:rPr>
          <w:b/>
          <w:color w:val="000000" w:themeColor="text1"/>
        </w:rPr>
      </w:pPr>
      <w:r>
        <w:rPr>
          <w:b/>
          <w:color w:val="000000" w:themeColor="text1"/>
        </w:rPr>
        <w:t>Guidelines for the Traceability Management of Renewable Hydrogen Production</w:t>
      </w:r>
    </w:p>
    <w:p w14:paraId="04B48435" w14:textId="77777777" w:rsidR="009E73DC" w:rsidRDefault="009E73DC">
      <w:pPr>
        <w:pStyle w:val="afffff0"/>
        <w:framePr w:wrap="notBeside"/>
        <w:rPr>
          <w:rFonts w:ascii="Times New Roman"/>
        </w:rPr>
      </w:pPr>
    </w:p>
    <w:tbl>
      <w:tblPr>
        <w:tblStyle w:val="afff2"/>
        <w:tblW w:w="0" w:type="auto"/>
        <w:tblLook w:val="04A0" w:firstRow="1" w:lastRow="0" w:firstColumn="1" w:lastColumn="0" w:noHBand="0" w:noVBand="1"/>
      </w:tblPr>
      <w:tblGrid>
        <w:gridCol w:w="9629"/>
      </w:tblGrid>
      <w:tr w:rsidR="009E73DC" w14:paraId="746C9866" w14:textId="77777777">
        <w:tc>
          <w:tcPr>
            <w:tcW w:w="9629" w:type="dxa"/>
            <w:tcBorders>
              <w:top w:val="nil"/>
              <w:left w:val="nil"/>
              <w:bottom w:val="nil"/>
              <w:right w:val="nil"/>
            </w:tcBorders>
            <w:shd w:val="clear" w:color="auto" w:fill="auto"/>
          </w:tcPr>
          <w:p w14:paraId="1C4093A3" w14:textId="2ADC6AA7" w:rsidR="009E73DC" w:rsidRDefault="00000000">
            <w:pPr>
              <w:pStyle w:val="afffff1"/>
              <w:framePr w:wrap="notBeside"/>
              <w:rPr>
                <w:rFonts w:ascii="Times New Roman"/>
              </w:rPr>
            </w:pPr>
            <w:r>
              <w:rPr>
                <w:rFonts w:ascii="Times New Roman"/>
                <w:noProof/>
              </w:rPr>
              <mc:AlternateContent>
                <mc:Choice Requires="wps">
                  <w:drawing>
                    <wp:anchor distT="0" distB="0" distL="114300" distR="114300" simplePos="0" relativeHeight="251665408" behindDoc="1" locked="1" layoutInCell="1" allowOverlap="1" wp14:anchorId="23AB617E" wp14:editId="00C7EBBB">
                      <wp:simplePos x="0" y="0"/>
                      <wp:positionH relativeFrom="column">
                        <wp:posOffset>2132330</wp:posOffset>
                      </wp:positionH>
                      <wp:positionV relativeFrom="paragraph">
                        <wp:posOffset>573405</wp:posOffset>
                      </wp:positionV>
                      <wp:extent cx="1905000" cy="254000"/>
                      <wp:effectExtent l="0" t="0" r="0" b="0"/>
                      <wp:wrapNone/>
                      <wp:docPr id="7" name="RQ"/>
                      <wp:cNvGraphicFramePr/>
                      <a:graphic xmlns:a="http://schemas.openxmlformats.org/drawingml/2006/main">
                        <a:graphicData uri="http://schemas.microsoft.com/office/word/2010/wordprocessingShape">
                          <wps:wsp>
                            <wps:cNvSpPr/>
                            <wps:spPr>
                              <a:xfrm>
                                <a:off x="0" y="0"/>
                                <a:ext cx="1905000" cy="254000"/>
                              </a:xfrm>
                              <a:prstGeom prst="rect">
                                <a:avLst/>
                              </a:prstGeom>
                              <a:solidFill>
                                <a:srgbClr val="FFFFFF"/>
                              </a:solidFill>
                              <a:ln w="25400" cap="flat" cmpd="sng" algn="ctr">
                                <a:noFill/>
                                <a:prstDash val="solid"/>
                              </a:ln>
                              <a:effectLst/>
                            </wps:spPr>
                            <wps:txbx>
                              <w:txbxContent>
                                <w:p w14:paraId="3E1B2B73" w14:textId="77777777" w:rsidR="009E73DC" w:rsidRDefault="009E73D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3AB617E" id="RQ" o:spid="_x0000_s1027" style="position:absolute;left:0;text-align:left;margin-left:167.9pt;margin-top:45.15pt;width:150pt;height:20pt;z-index:-251651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" stroked="f" strokeweight="2pt">
                      <v:textbox>
                        <w:txbxContent>
                          <w:p w14:paraId="3E1B2B73" w14:textId="77777777" w:rsidR="009E73DC" w:rsidRDefault="009E73DC">
                            <w:pPr>
                              <w:jc w:val="center"/>
                            </w:pPr>
                          </w:p>
                        </w:txbxContent>
                      </v:textbox>
                      <w10:anchorlock/>
                    </v:rect>
                  </w:pict>
                </mc:Fallback>
              </mc:AlternateContent>
            </w:r>
            <w:r>
              <w:rPr>
                <w:rFonts w:ascii="Times New Roman"/>
                <w:noProof/>
              </w:rPr>
              <mc:AlternateContent>
                <mc:Choice Requires="wps">
                  <w:drawing>
                    <wp:anchor distT="0" distB="0" distL="114300" distR="114300" simplePos="0" relativeHeight="251664384" behindDoc="1" locked="0" layoutInCell="1" allowOverlap="1" wp14:anchorId="10AB06F4" wp14:editId="0C3683F4">
                      <wp:simplePos x="0" y="0"/>
                      <wp:positionH relativeFrom="column">
                        <wp:posOffset>2383155</wp:posOffset>
                      </wp:positionH>
                      <wp:positionV relativeFrom="paragraph">
                        <wp:posOffset>259715</wp:posOffset>
                      </wp:positionV>
                      <wp:extent cx="1270000" cy="304800"/>
                      <wp:effectExtent l="0" t="0" r="6350" b="0"/>
                      <wp:wrapNone/>
                      <wp:docPr id="6" name="LB"/>
                      <wp:cNvGraphicFramePr/>
                      <a:graphic xmlns:a="http://schemas.openxmlformats.org/drawingml/2006/main">
                        <a:graphicData uri="http://schemas.microsoft.com/office/word/2010/wordprocessingShape">
                          <wps:wsp>
                            <wps:cNvSpPr/>
                            <wps:spPr>
                              <a:xfrm>
                                <a:off x="0" y="0"/>
                                <a:ext cx="1270000" cy="304800"/>
                              </a:xfrm>
                              <a:prstGeom prst="rect">
                                <a:avLst/>
                              </a:prstGeom>
                              <a:solidFill>
                                <a:srgbClr val="FFFFFF"/>
                              </a:solidFill>
                              <a:ln w="25400" cap="flat" cmpd="sng" algn="ctr">
                                <a:noFill/>
                                <a:prstDash val="solid"/>
                              </a:ln>
                              <a:effectLst/>
                            </wps:spPr>
                            <wps:txbx>
                              <w:txbxContent>
                                <w:p w14:paraId="52720C83" w14:textId="77777777" w:rsidR="009E73DC" w:rsidRDefault="009E73D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0AB06F4" id="LB" o:spid="_x0000_s1028" style="position:absolute;left:0;text-align:left;margin-left:187.65pt;margin-top:20.45pt;width:100pt;height:24pt;z-index:-251652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" stroked="f" strokeweight="2pt">
                      <v:textbox>
                        <w:txbxContent>
                          <w:p w14:paraId="52720C83" w14:textId="77777777" w:rsidR="009E73DC" w:rsidRDefault="009E73DC">
                            <w:pPr>
                              <w:jc w:val="center"/>
                            </w:pPr>
                          </w:p>
                        </w:txbxContent>
                      </v:textbox>
                    </v:rect>
                  </w:pict>
                </mc:Fallback>
              </mc:AlternateContent>
            </w:r>
            <w:r>
              <w:rPr>
                <w:rFonts w:ascii="Times New Roman"/>
                <w:color w:val="000000" w:themeColor="text1"/>
              </w:rPr>
              <w:t>（</w:t>
            </w:r>
            <w:r w:rsidR="00302058">
              <w:rPr>
                <w:rFonts w:ascii="Times New Roman" w:hint="eastAsia"/>
                <w:color w:val="000000" w:themeColor="text1"/>
              </w:rPr>
              <w:t>征求意见稿</w:t>
            </w:r>
            <w:r>
              <w:rPr>
                <w:rFonts w:ascii="Times New Roman"/>
                <w:color w:val="000000" w:themeColor="text1"/>
              </w:rPr>
              <w:t>）</w:t>
            </w:r>
          </w:p>
        </w:tc>
      </w:tr>
      <w:tr w:rsidR="009E73DC" w14:paraId="209E018B" w14:textId="77777777">
        <w:tc>
          <w:tcPr>
            <w:tcW w:w="9629" w:type="dxa"/>
            <w:tcBorders>
              <w:top w:val="nil"/>
              <w:left w:val="nil"/>
              <w:bottom w:val="nil"/>
              <w:right w:val="nil"/>
            </w:tcBorders>
            <w:shd w:val="clear" w:color="auto" w:fill="auto"/>
          </w:tcPr>
          <w:p w14:paraId="051F6623" w14:textId="0EE401DC" w:rsidR="009E73DC" w:rsidRDefault="00302058">
            <w:pPr>
              <w:pStyle w:val="afffff2"/>
              <w:framePr w:wrap="notBeside"/>
              <w:rPr>
                <w:rFonts w:ascii="Times New Roman" w:hint="eastAsia"/>
              </w:rPr>
            </w:pPr>
            <w:r>
              <w:rPr>
                <w:rFonts w:ascii="Times New Roman" w:hint="eastAsia"/>
              </w:rPr>
              <w:t xml:space="preserve"> </w:t>
            </w:r>
          </w:p>
        </w:tc>
      </w:tr>
    </w:tbl>
    <w:p w14:paraId="68ADE725" w14:textId="77777777" w:rsidR="009E73DC" w:rsidRDefault="00000000">
      <w:pPr>
        <w:pStyle w:val="afffffff0"/>
        <w:framePr w:wrap="around"/>
      </w:pPr>
      <w:r>
        <w:t>202X -XX -XX</w:t>
      </w:r>
      <w:r>
        <w:t>发布</w:t>
      </w:r>
      <w:r>
        <w:rPr>
          <w:noProof/>
        </w:rPr>
        <mc:AlternateContent>
          <mc:Choice Requires="wps">
            <w:drawing>
              <wp:anchor distT="0" distB="0" distL="114300" distR="114300" simplePos="0" relativeHeight="251660288" behindDoc="0" locked="0" layoutInCell="1" allowOverlap="1" wp14:anchorId="2270E74B" wp14:editId="6065FA8E">
                <wp:simplePos x="0" y="0"/>
                <wp:positionH relativeFrom="column">
                  <wp:posOffset>0</wp:posOffset>
                </wp:positionH>
                <wp:positionV relativeFrom="paragraph">
                  <wp:posOffset>2338705</wp:posOffset>
                </wp:positionV>
                <wp:extent cx="6120130" cy="0"/>
                <wp:effectExtent l="0" t="0" r="0" b="0"/>
                <wp:wrapNone/>
                <wp:docPr id="1876520258" name="直接连接符 7"/>
                <wp:cNvGraphicFramePr/>
                <a:graphic xmlns:a="http://schemas.openxmlformats.org/drawingml/2006/main">
                  <a:graphicData uri="http://schemas.microsoft.com/office/word/2010/wordprocessingShape">
                    <wps:wsp>
                      <wps:cNvCnPr/>
                      <wps:spPr>
                        <a:xfrm>
                          <a:off x="0" y="0"/>
                          <a:ext cx="6120130" cy="0"/>
                        </a:xfrm>
                        <a:prstGeom prst="line">
                          <a:avLst/>
                        </a:prstGeom>
                        <a:noFill/>
                        <a:ln w="9525" cap="flat" cmpd="sng" algn="ctr">
                          <a:solidFill>
                            <a:srgbClr val="000000"/>
                          </a:solidFill>
                          <a:prstDash val="solid"/>
                        </a:ln>
                      </wps:spPr>
                      <wps:bodyPr/>
                    </wps:wsp>
                  </a:graphicData>
                </a:graphic>
              </wp:anchor>
            </w:drawing>
          </mc:Choice>
          <mc:Fallback xmlns:wpsCustomData="http://www.wps.cn/officeDocument/2013/wpsCustomData">
            <w:pict>
              <v:line id="直接连接符 7" o:spid="_x0000_s1026" o:spt="20" style="position:absolute;left:0pt;margin-left:0pt;margin-top:184.15pt;height:0pt;width:481.9pt;z-index:251660288;mso-width-relative:page;mso-height-relative:page;" filled="f" stroked="t" coordsize="21600,21600" o:gfxdata="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ZPSXN1QAAAAgBAAAPAAAA&#10;AAAAAAEAIAAAACIAAABkcnMvZG93bnJldi54bWxQSwECFAAUAAAACACHTuJAbK6FSt8BAACjAwAA&#10;DgAAAAAAAAABACAAAAAkAQAAZHJzL2Uyb0RvYy54bWxQSwUGAAAAAAYABgBZAQAAdQU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659264" behindDoc="0" locked="0" layoutInCell="1" allowOverlap="1" wp14:anchorId="4349F4A9" wp14:editId="073BDC1A">
                <wp:simplePos x="0" y="0"/>
                <wp:positionH relativeFrom="column">
                  <wp:posOffset>0</wp:posOffset>
                </wp:positionH>
                <wp:positionV relativeFrom="paragraph">
                  <wp:posOffset>8891270</wp:posOffset>
                </wp:positionV>
                <wp:extent cx="6120130" cy="0"/>
                <wp:effectExtent l="0" t="0" r="0" b="0"/>
                <wp:wrapNone/>
                <wp:docPr id="628628715" name="直接连接符 6"/>
                <wp:cNvGraphicFramePr/>
                <a:graphic xmlns:a="http://schemas.openxmlformats.org/drawingml/2006/main">
                  <a:graphicData uri="http://schemas.microsoft.com/office/word/2010/wordprocessingShape">
                    <wps:wsp>
                      <wps:cNvCnPr/>
                      <wps:spPr>
                        <a:xfrm>
                          <a:off x="0" y="0"/>
                          <a:ext cx="6120130" cy="0"/>
                        </a:xfrm>
                        <a:prstGeom prst="line">
                          <a:avLst/>
                        </a:prstGeom>
                        <a:noFill/>
                        <a:ln w="9525" cap="flat" cmpd="sng" algn="ctr">
                          <a:solidFill>
                            <a:srgbClr val="000000"/>
                          </a:solidFill>
                          <a:prstDash val="solid"/>
                        </a:ln>
                      </wps:spPr>
                      <wps:bodyPr/>
                    </wps:wsp>
                  </a:graphicData>
                </a:graphic>
              </wp:anchor>
            </w:drawing>
          </mc:Choice>
          <mc:Fallback xmlns:wpsCustomData="http://www.wps.cn/officeDocument/2013/wpsCustomData">
            <w:pict>
              <v:line id="直接连接符 6" o:spid="_x0000_s1026" o:spt="20" style="position:absolute;left:0pt;margin-left:0pt;margin-top:700.1pt;height:0pt;width:481.9pt;z-index:251659264;mso-width-relative:page;mso-height-relative:page;" filled="f" stroked="t" coordsize="21600,21600" o:gfxdata="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edK78tUAAAAKAQAADwAAAAAA&#10;AAABACAAAAAiAAAAZHJzL2Rvd25yZXYueG1sUEsBAhQAFAAAAAgAh07iQGiDV67dAQAAogMAAA4A&#10;AAAAAAAAAQAgAAAAJAEAAGRycy9lMm9Eb2MueG1sUEsFBgAAAAAGAAYAWQEAAHMFAAAAAA==&#10;">
                <v:fill on="f" focussize="0,0"/>
                <v:stroke color="#000000" joinstyle="round"/>
                <v:imagedata o:title=""/>
                <o:lock v:ext="edit" aspectratio="f"/>
              </v:line>
            </w:pict>
          </mc:Fallback>
        </mc:AlternateContent>
      </w:r>
    </w:p>
    <w:p w14:paraId="72895260" w14:textId="77777777" w:rsidR="009E73DC" w:rsidRDefault="00000000">
      <w:pPr>
        <w:pStyle w:val="afffffff1"/>
        <w:framePr w:wrap="around"/>
      </w:pPr>
      <w:r>
        <w:t>202X - XX - XX</w:t>
      </w:r>
      <w:r>
        <w:t>实施</w:t>
      </w:r>
    </w:p>
    <w:p w14:paraId="192A2836" w14:textId="77777777" w:rsidR="009E73DC" w:rsidRDefault="00000000">
      <w:pPr>
        <w:pStyle w:val="affffff1"/>
        <w:framePr w:wrap="around"/>
        <w:rPr>
          <w:rFonts w:ascii="Times New Roman"/>
        </w:rPr>
      </w:pPr>
      <w:r>
        <w:rPr>
          <w:rFonts w:ascii="Times New Roman"/>
        </w:rPr>
        <w:t>中国认证认可协会</w:t>
      </w:r>
      <w:r>
        <w:rPr>
          <w:rFonts w:ascii="Times New Roman"/>
        </w:rPr>
        <w:t xml:space="preserve"> </w:t>
      </w:r>
      <w:r>
        <w:rPr>
          <w:rStyle w:val="affffa"/>
          <w:rFonts w:ascii="Times New Roman"/>
        </w:rPr>
        <w:t xml:space="preserve"> </w:t>
      </w:r>
      <w:r>
        <w:rPr>
          <w:rStyle w:val="affffa"/>
          <w:rFonts w:ascii="Times New Roman"/>
        </w:rPr>
        <w:t>发布</w:t>
      </w:r>
    </w:p>
    <w:p w14:paraId="0155527F" w14:textId="77777777" w:rsidR="009E73DC" w:rsidRDefault="00000000">
      <w:pPr>
        <w:pStyle w:val="affe"/>
        <w:ind w:firstLineChars="0" w:firstLine="0"/>
        <w:rPr>
          <w:rFonts w:ascii="Times New Roman"/>
        </w:rPr>
        <w:sectPr w:rsidR="009E73DC">
          <w:headerReference w:type="even" r:id="rId10"/>
          <w:headerReference w:type="default" r:id="rId11"/>
          <w:footerReference w:type="even" r:id="rId12"/>
          <w:footerReference w:type="default" r:id="rId13"/>
          <w:headerReference w:type="first" r:id="rId14"/>
          <w:footerReference w:type="first" r:id="rId15"/>
          <w:pgSz w:w="11906" w:h="16838"/>
          <w:pgMar w:top="567" w:right="850" w:bottom="1134" w:left="1418" w:header="0" w:footer="0" w:gutter="0"/>
          <w:pgNumType w:fmt="upperRoman" w:start="1"/>
          <w:cols w:space="425"/>
          <w:docGrid w:type="lines" w:linePitch="312"/>
        </w:sectPr>
      </w:pPr>
      <w:r>
        <w:rPr>
          <w:rFonts w:ascii="Times New Roman"/>
          <w:noProof/>
        </w:rPr>
        <mc:AlternateContent>
          <mc:Choice Requires="wps">
            <w:drawing>
              <wp:anchor distT="0" distB="0" distL="114300" distR="114300" simplePos="0" relativeHeight="251666432" behindDoc="1" locked="0" layoutInCell="1" allowOverlap="1" wp14:anchorId="1E7789B8" wp14:editId="6AEB1B21">
                <wp:simplePos x="0" y="0"/>
                <wp:positionH relativeFrom="column">
                  <wp:posOffset>-66675</wp:posOffset>
                </wp:positionH>
                <wp:positionV relativeFrom="paragraph">
                  <wp:posOffset>396240</wp:posOffset>
                </wp:positionV>
                <wp:extent cx="866775" cy="198120"/>
                <wp:effectExtent l="0" t="0" r="0" b="0"/>
                <wp:wrapNone/>
                <wp:docPr id="8" name="BAH"/>
                <wp:cNvGraphicFramePr/>
                <a:graphic xmlns:a="http://schemas.openxmlformats.org/drawingml/2006/main">
                  <a:graphicData uri="http://schemas.microsoft.com/office/word/2010/wordprocessingShape">
                    <wps:wsp>
                      <wps:cNvSpPr/>
                      <wps:spPr>
                        <a:xfrm>
                          <a:off x="0" y="0"/>
                          <a:ext cx="866775" cy="198120"/>
                        </a:xfrm>
                        <a:prstGeom prst="rect">
                          <a:avLst/>
                        </a:prstGeom>
                        <a:solidFill>
                          <a:srgbClr val="FFFFFF"/>
                        </a:solidFill>
                        <a:ln w="25400" cap="flat" cmpd="sng" algn="ctr">
                          <a:noFill/>
                          <a:prstDash val="solid"/>
                        </a:ln>
                        <a:effectLst/>
                      </wps:spPr>
                      <wps:txbx>
                        <w:txbxContent>
                          <w:p w14:paraId="299953E3" w14:textId="77777777" w:rsidR="009E73DC" w:rsidRDefault="009E73D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E7789B8" id="BAH" o:spid="_x0000_s1029" style="position:absolute;left:0;text-align:left;margin-left:-5.25pt;margin-top:31.2pt;width:68.25pt;height:15.6pt;z-index:-251650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" stroked="f" strokeweight="2pt">
                <v:textbox>
                  <w:txbxContent>
                    <w:p w14:paraId="299953E3" w14:textId="77777777" w:rsidR="009E73DC" w:rsidRDefault="009E73DC">
                      <w:pPr>
                        <w:jc w:val="center"/>
                      </w:pPr>
                    </w:p>
                  </w:txbxContent>
                </v:textbox>
              </v:rect>
            </w:pict>
          </mc:Fallback>
        </mc:AlternateContent>
      </w:r>
      <w:r>
        <w:rPr>
          <w:rFonts w:ascii="Times New Roman"/>
          <w:noProof/>
        </w:rPr>
        <mc:AlternateContent>
          <mc:Choice Requires="wps">
            <w:drawing>
              <wp:anchor distT="0" distB="0" distL="114300" distR="114300" simplePos="0" relativeHeight="251662336" behindDoc="0" locked="0" layoutInCell="1" allowOverlap="1" wp14:anchorId="587C9F2C" wp14:editId="3FF34143">
                <wp:simplePos x="0" y="0"/>
                <wp:positionH relativeFrom="column">
                  <wp:posOffset>0</wp:posOffset>
                </wp:positionH>
                <wp:positionV relativeFrom="paragraph">
                  <wp:posOffset>2338705</wp:posOffset>
                </wp:positionV>
                <wp:extent cx="6120130" cy="0"/>
                <wp:effectExtent l="0" t="0" r="0" b="0"/>
                <wp:wrapNone/>
                <wp:docPr id="929165813" name="直接连接符 5"/>
                <wp:cNvGraphicFramePr/>
                <a:graphic xmlns:a="http://schemas.openxmlformats.org/drawingml/2006/main">
                  <a:graphicData uri="http://schemas.microsoft.com/office/word/2010/wordprocessingShape">
                    <wps:wsp>
                      <wps:cNvCnPr/>
                      <wps:spPr>
                        <a:xfrm>
                          <a:off x="0" y="0"/>
                          <a:ext cx="6120130" cy="0"/>
                        </a:xfrm>
                        <a:prstGeom prst="line">
                          <a:avLst/>
                        </a:prstGeom>
                        <a:noFill/>
                        <a:ln w="9525" cap="flat" cmpd="sng" algn="ctr">
                          <a:solidFill>
                            <a:srgbClr val="000000"/>
                          </a:solidFill>
                          <a:prstDash val="solid"/>
                        </a:ln>
                      </wps:spPr>
                      <wps:bodyPr/>
                    </wps:wsp>
                  </a:graphicData>
                </a:graphic>
              </wp:anchor>
            </w:drawing>
          </mc:Choice>
          <mc:Fallback xmlns:wpsCustomData="http://www.wps.cn/officeDocument/2013/wpsCustomData">
            <w:pict>
              <v:line id="直接连接符 5" o:spid="_x0000_s1026" o:spt="20" style="position:absolute;left:0pt;margin-left:0pt;margin-top:184.15pt;height:0pt;width:481.9pt;z-index:251662336;mso-width-relative:page;mso-height-relative:page;" filled="f" stroked="t" coordsize="21600,21600" o:gfxdata="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Bk9Jc3VAAAACAEAAA8AAAAA&#10;AAAAAQAgAAAAIgAAAGRycy9kb3ducmV2LnhtbFBLAQIUABQAAAAIAIdO4kA4odAE3gEAAKIDAAAO&#10;AAAAAAAAAAEAIAAAACQBAABkcnMvZTJvRG9jLnhtbFBLBQYAAAAABgAGAFkBAAB0BQAAAAA=&#10;">
                <v:fill on="f" focussize="0,0"/>
                <v:stroke color="#000000" joinstyle="round"/>
                <v:imagedata o:title=""/>
                <o:lock v:ext="edit" aspectratio="f"/>
              </v:line>
            </w:pict>
          </mc:Fallback>
        </mc:AlternateContent>
      </w:r>
      <w:r>
        <w:rPr>
          <w:rFonts w:ascii="Times New Roman"/>
          <w:noProof/>
        </w:rPr>
        <mc:AlternateContent>
          <mc:Choice Requires="wps">
            <w:drawing>
              <wp:anchor distT="0" distB="0" distL="114300" distR="114300" simplePos="0" relativeHeight="251661312" behindDoc="0" locked="0" layoutInCell="1" allowOverlap="1" wp14:anchorId="721B7EDA" wp14:editId="23DE7765">
                <wp:simplePos x="0" y="0"/>
                <wp:positionH relativeFrom="column">
                  <wp:posOffset>0</wp:posOffset>
                </wp:positionH>
                <wp:positionV relativeFrom="paragraph">
                  <wp:posOffset>8891270</wp:posOffset>
                </wp:positionV>
                <wp:extent cx="6120130" cy="0"/>
                <wp:effectExtent l="0" t="0" r="0" b="0"/>
                <wp:wrapNone/>
                <wp:docPr id="1376807488" name="直接连接符 4"/>
                <wp:cNvGraphicFramePr/>
                <a:graphic xmlns:a="http://schemas.openxmlformats.org/drawingml/2006/main">
                  <a:graphicData uri="http://schemas.microsoft.com/office/word/2010/wordprocessingShape">
                    <wps:wsp>
                      <wps:cNvCnPr/>
                      <wps:spPr>
                        <a:xfrm>
                          <a:off x="0" y="0"/>
                          <a:ext cx="6120130" cy="0"/>
                        </a:xfrm>
                        <a:prstGeom prst="line">
                          <a:avLst/>
                        </a:prstGeom>
                        <a:noFill/>
                        <a:ln w="9525" cap="flat" cmpd="sng" algn="ctr">
                          <a:solidFill>
                            <a:srgbClr val="000000"/>
                          </a:solidFill>
                          <a:prstDash val="solid"/>
                        </a:ln>
                      </wps:spPr>
                      <wps:bodyPr/>
                    </wps:wsp>
                  </a:graphicData>
                </a:graphic>
              </wp:anchor>
            </w:drawing>
          </mc:Choice>
          <mc:Fallback xmlns:wpsCustomData="http://www.wps.cn/officeDocument/2013/wpsCustomData">
            <w:pict>
              <v:line id="直接连接符 4" o:spid="_x0000_s1026" o:spt="20" style="position:absolute;left:0pt;margin-left:0pt;margin-top:700.1pt;height:0pt;width:481.9pt;z-index:251661312;mso-width-relative:page;mso-height-relative:page;" filled="f" stroked="t" coordsize="21600,21600" o:gfxdata="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B50rvy1QAAAAoBAAAPAAAA&#10;AAAAAAEAIAAAACIAAABkcnMvZG93bnJldi54bWxQSwECFAAUAAAACACHTuJAbnkn5N8BAACjAwAA&#10;DgAAAAAAAAABACAAAAAkAQAAZHJzL2Uyb0RvYy54bWxQSwUGAAAAAAYABgBZAQAAdQUAAAAA&#10;">
                <v:fill on="f" focussize="0,0"/>
                <v:stroke color="#000000" joinstyle="round"/>
                <v:imagedata o:title=""/>
                <o:lock v:ext="edit" aspectratio="f"/>
              </v:line>
            </w:pict>
          </mc:Fallback>
        </mc:AlternateContent>
      </w:r>
    </w:p>
    <w:p w14:paraId="414A926D" w14:textId="77777777" w:rsidR="009E73DC" w:rsidRDefault="009E73DC">
      <w:pPr>
        <w:rPr>
          <w:rFonts w:eastAsia="黑体"/>
          <w:sz w:val="32"/>
          <w:szCs w:val="32"/>
        </w:rPr>
        <w:sectPr w:rsidR="009E73DC">
          <w:headerReference w:type="even" r:id="rId16"/>
          <w:headerReference w:type="default" r:id="rId17"/>
          <w:footerReference w:type="even" r:id="rId18"/>
          <w:footerReference w:type="default" r:id="rId19"/>
          <w:headerReference w:type="first" r:id="rId20"/>
          <w:pgSz w:w="11906" w:h="16838"/>
          <w:pgMar w:top="567" w:right="1134" w:bottom="1134" w:left="1418" w:header="1418" w:footer="1134" w:gutter="0"/>
          <w:pgNumType w:fmt="upperRoman" w:start="1"/>
          <w:cols w:space="425"/>
          <w:formProt w:val="0"/>
          <w:docGrid w:type="lines" w:linePitch="312"/>
        </w:sectPr>
      </w:pPr>
      <w:bookmarkStart w:id="0" w:name="_Toc27836"/>
      <w:bookmarkStart w:id="1" w:name="_Toc383701492"/>
      <w:bookmarkStart w:id="2" w:name="_Toc7167"/>
      <w:bookmarkStart w:id="3" w:name="_Toc468692981"/>
      <w:bookmarkStart w:id="4" w:name="_Toc383701993"/>
      <w:bookmarkStart w:id="5" w:name="_Toc44414101"/>
      <w:bookmarkStart w:id="6" w:name="_Toc52288514"/>
    </w:p>
    <w:p w14:paraId="64E03397" w14:textId="77777777" w:rsidR="009E73DC" w:rsidRDefault="009E73DC">
      <w:pPr>
        <w:jc w:val="center"/>
        <w:rPr>
          <w:rFonts w:eastAsia="黑体"/>
          <w:sz w:val="32"/>
          <w:szCs w:val="32"/>
        </w:rPr>
      </w:pPr>
    </w:p>
    <w:p w14:paraId="082824EA" w14:textId="77777777" w:rsidR="009E73DC" w:rsidRDefault="00000000">
      <w:pPr>
        <w:jc w:val="center"/>
        <w:outlineLvl w:val="0"/>
        <w:rPr>
          <w:rFonts w:eastAsia="黑体"/>
          <w:sz w:val="32"/>
          <w:szCs w:val="32"/>
        </w:rPr>
      </w:pPr>
      <w:bookmarkStart w:id="7" w:name="_Toc26413"/>
      <w:bookmarkStart w:id="8" w:name="_Toc11517"/>
      <w:bookmarkStart w:id="9" w:name="_Toc6746"/>
      <w:r>
        <w:rPr>
          <w:rFonts w:eastAsia="黑体"/>
          <w:sz w:val="32"/>
          <w:szCs w:val="32"/>
        </w:rPr>
        <w:t>目</w:t>
      </w:r>
      <w:r>
        <w:rPr>
          <w:rFonts w:eastAsia="黑体"/>
          <w:sz w:val="32"/>
          <w:szCs w:val="32"/>
        </w:rPr>
        <w:t xml:space="preserve">    </w:t>
      </w:r>
      <w:r>
        <w:rPr>
          <w:rFonts w:eastAsia="黑体"/>
          <w:sz w:val="32"/>
          <w:szCs w:val="32"/>
        </w:rPr>
        <w:t>次</w:t>
      </w:r>
      <w:bookmarkEnd w:id="0"/>
      <w:bookmarkEnd w:id="1"/>
      <w:bookmarkEnd w:id="2"/>
      <w:bookmarkEnd w:id="3"/>
      <w:bookmarkEnd w:id="4"/>
      <w:bookmarkEnd w:id="7"/>
      <w:bookmarkEnd w:id="8"/>
      <w:bookmarkEnd w:id="9"/>
    </w:p>
    <w:bookmarkEnd w:id="6" w:displacedByCustomXml="next"/>
    <w:bookmarkEnd w:id="5" w:displacedByCustomXml="next"/>
    <w:sdt>
      <w:sdtPr>
        <w:rPr>
          <w:kern w:val="0"/>
          <w:szCs w:val="20"/>
        </w:rPr>
        <w:id w:val="147475240"/>
        <w:docPartObj>
          <w:docPartGallery w:val="Table of Contents"/>
          <w:docPartUnique/>
        </w:docPartObj>
      </w:sdtPr>
      <w:sdtEndPr>
        <w:rPr>
          <w:b/>
          <w:kern w:val="2"/>
          <w:szCs w:val="21"/>
        </w:rPr>
      </w:sdtEndPr>
      <w:sdtContent>
        <w:p w14:paraId="071CDE8E" w14:textId="77777777" w:rsidR="009E73DC" w:rsidRDefault="009E73DC">
          <w:pPr>
            <w:jc w:val="center"/>
          </w:pPr>
        </w:p>
        <w:p w14:paraId="7992B43D" w14:textId="77777777" w:rsidR="009E73DC" w:rsidRDefault="009E73DC">
          <w:pPr>
            <w:jc w:val="center"/>
          </w:pPr>
        </w:p>
        <w:p w14:paraId="0C199361" w14:textId="77777777" w:rsidR="009E73DC" w:rsidRDefault="00000000">
          <w:pPr>
            <w:pStyle w:val="TOC1"/>
            <w:tabs>
              <w:tab w:val="clear" w:pos="9241"/>
              <w:tab w:val="right" w:leader="dot" w:pos="9354"/>
            </w:tabs>
            <w:spacing w:before="78" w:after="78"/>
          </w:pPr>
          <w:r>
            <w:rPr>
              <w:rStyle w:val="afff7"/>
            </w:rPr>
            <w:fldChar w:fldCharType="begin"/>
          </w:r>
          <w:r>
            <w:rPr>
              <w:rStyle w:val="afff7"/>
              <w:rFonts w:ascii="Times New Roman"/>
            </w:rPr>
            <w:instrText xml:space="preserve">TOC \o "1-2" \h \u </w:instrText>
          </w:r>
          <w:r>
            <w:rPr>
              <w:rStyle w:val="afff7"/>
            </w:rPr>
            <w:fldChar w:fldCharType="separate"/>
          </w:r>
          <w:hyperlink w:anchor="_Toc6746" w:history="1">
            <w:r>
              <w:rPr>
                <w:rFonts w:ascii="Times New Roman" w:eastAsia="黑体"/>
                <w:szCs w:val="32"/>
              </w:rPr>
              <w:t>目</w:t>
            </w:r>
            <w:r>
              <w:rPr>
                <w:rFonts w:ascii="Times New Roman" w:eastAsia="黑体"/>
                <w:szCs w:val="32"/>
              </w:rPr>
              <w:t xml:space="preserve">    </w:t>
            </w:r>
            <w:r>
              <w:rPr>
                <w:rFonts w:ascii="Times New Roman" w:eastAsia="黑体"/>
                <w:szCs w:val="32"/>
              </w:rPr>
              <w:t>次</w:t>
            </w:r>
            <w:r>
              <w:tab/>
            </w:r>
            <w:r>
              <w:fldChar w:fldCharType="begin"/>
            </w:r>
            <w:r>
              <w:instrText xml:space="preserve"> PAGEREF _Toc6746 \h </w:instrText>
            </w:r>
            <w:r>
              <w:fldChar w:fldCharType="separate"/>
            </w:r>
            <w:r>
              <w:t>II</w:t>
            </w:r>
            <w:r>
              <w:fldChar w:fldCharType="end"/>
            </w:r>
          </w:hyperlink>
        </w:p>
        <w:p w14:paraId="4C37B698" w14:textId="77777777" w:rsidR="009E73DC" w:rsidRDefault="00000000">
          <w:pPr>
            <w:pStyle w:val="TOC1"/>
            <w:tabs>
              <w:tab w:val="clear" w:pos="9241"/>
              <w:tab w:val="right" w:leader="dot" w:pos="9354"/>
            </w:tabs>
            <w:spacing w:before="78" w:after="78"/>
          </w:pPr>
          <w:hyperlink w:anchor="_Toc4830" w:history="1">
            <w:r>
              <w:rPr>
                <w:rFonts w:ascii="Times New Roman" w:eastAsia="黑体"/>
                <w:szCs w:val="32"/>
              </w:rPr>
              <w:t>前</w:t>
            </w:r>
            <w:r>
              <w:rPr>
                <w:rFonts w:ascii="Times New Roman" w:eastAsia="黑体"/>
                <w:szCs w:val="32"/>
              </w:rPr>
              <w:t xml:space="preserve">    </w:t>
            </w:r>
            <w:r>
              <w:rPr>
                <w:rFonts w:ascii="Times New Roman" w:eastAsia="黑体"/>
                <w:szCs w:val="32"/>
              </w:rPr>
              <w:t>言</w:t>
            </w:r>
            <w:r>
              <w:tab/>
            </w:r>
            <w:r>
              <w:fldChar w:fldCharType="begin"/>
            </w:r>
            <w:r>
              <w:instrText xml:space="preserve"> PAGEREF _Toc4830 \h </w:instrText>
            </w:r>
            <w:r>
              <w:fldChar w:fldCharType="separate"/>
            </w:r>
            <w:r>
              <w:t>II</w:t>
            </w:r>
            <w:r>
              <w:fldChar w:fldCharType="end"/>
            </w:r>
          </w:hyperlink>
        </w:p>
        <w:p w14:paraId="1064D491" w14:textId="77777777" w:rsidR="009E73DC" w:rsidRDefault="00000000">
          <w:pPr>
            <w:pStyle w:val="TOC2"/>
            <w:tabs>
              <w:tab w:val="clear" w:pos="9241"/>
              <w:tab w:val="right" w:leader="dot" w:pos="9354"/>
            </w:tabs>
          </w:pPr>
          <w:hyperlink w:anchor="_Toc20742" w:history="1">
            <w:r>
              <w:rPr>
                <w:rFonts w:ascii="黑体" w:eastAsia="黑体" w:hint="eastAsia"/>
              </w:rPr>
              <w:t xml:space="preserve">1 </w:t>
            </w:r>
            <w:r>
              <w:rPr>
                <w:rFonts w:ascii="Times New Roman"/>
              </w:rPr>
              <w:t>范围</w:t>
            </w:r>
            <w:r>
              <w:tab/>
            </w:r>
            <w:r>
              <w:fldChar w:fldCharType="begin"/>
            </w:r>
            <w:r>
              <w:instrText xml:space="preserve"> PAGEREF _Toc20742 \h </w:instrText>
            </w:r>
            <w:r>
              <w:fldChar w:fldCharType="separate"/>
            </w:r>
            <w:r>
              <w:t>1</w:t>
            </w:r>
            <w:r>
              <w:fldChar w:fldCharType="end"/>
            </w:r>
          </w:hyperlink>
        </w:p>
        <w:p w14:paraId="073B6F02" w14:textId="77777777" w:rsidR="009E73DC" w:rsidRDefault="00000000">
          <w:pPr>
            <w:pStyle w:val="TOC2"/>
            <w:tabs>
              <w:tab w:val="clear" w:pos="9241"/>
              <w:tab w:val="right" w:leader="dot" w:pos="9354"/>
            </w:tabs>
          </w:pPr>
          <w:hyperlink w:anchor="_Toc18471" w:history="1">
            <w:r>
              <w:rPr>
                <w:rFonts w:ascii="黑体" w:eastAsia="黑体" w:hint="eastAsia"/>
              </w:rPr>
              <w:t xml:space="preserve">2 </w:t>
            </w:r>
            <w:r>
              <w:rPr>
                <w:rFonts w:ascii="Times New Roman"/>
              </w:rPr>
              <w:t>规范性引用文件</w:t>
            </w:r>
            <w:r>
              <w:tab/>
            </w:r>
            <w:r>
              <w:fldChar w:fldCharType="begin"/>
            </w:r>
            <w:r>
              <w:instrText xml:space="preserve"> PAGEREF _Toc18471 \h </w:instrText>
            </w:r>
            <w:r>
              <w:fldChar w:fldCharType="separate"/>
            </w:r>
            <w:r>
              <w:t>1</w:t>
            </w:r>
            <w:r>
              <w:fldChar w:fldCharType="end"/>
            </w:r>
          </w:hyperlink>
        </w:p>
        <w:p w14:paraId="0E1E5946" w14:textId="77777777" w:rsidR="009E73DC" w:rsidRDefault="00000000">
          <w:pPr>
            <w:pStyle w:val="TOC2"/>
            <w:tabs>
              <w:tab w:val="clear" w:pos="9241"/>
              <w:tab w:val="right" w:leader="dot" w:pos="9354"/>
            </w:tabs>
          </w:pPr>
          <w:hyperlink w:anchor="_Toc5096" w:history="1">
            <w:r>
              <w:rPr>
                <w:rFonts w:ascii="黑体" w:eastAsia="黑体" w:hint="eastAsia"/>
              </w:rPr>
              <w:t xml:space="preserve">3 </w:t>
            </w:r>
            <w:r>
              <w:rPr>
                <w:rFonts w:ascii="Times New Roman"/>
              </w:rPr>
              <w:t>术语和定义</w:t>
            </w:r>
            <w:r>
              <w:tab/>
            </w:r>
            <w:r>
              <w:fldChar w:fldCharType="begin"/>
            </w:r>
            <w:r>
              <w:instrText xml:space="preserve"> PAGEREF _Toc5096 \h </w:instrText>
            </w:r>
            <w:r>
              <w:fldChar w:fldCharType="separate"/>
            </w:r>
            <w:r>
              <w:t>1</w:t>
            </w:r>
            <w:r>
              <w:fldChar w:fldCharType="end"/>
            </w:r>
          </w:hyperlink>
        </w:p>
        <w:p w14:paraId="3D539916" w14:textId="77777777" w:rsidR="009E73DC" w:rsidRDefault="00000000">
          <w:pPr>
            <w:pStyle w:val="TOC2"/>
            <w:tabs>
              <w:tab w:val="clear" w:pos="9241"/>
              <w:tab w:val="right" w:leader="dot" w:pos="9354"/>
            </w:tabs>
          </w:pPr>
          <w:hyperlink w:anchor="_Toc2916" w:history="1">
            <w:r>
              <w:rPr>
                <w:rFonts w:ascii="黑体" w:eastAsia="黑体" w:hint="eastAsia"/>
              </w:rPr>
              <w:t xml:space="preserve">4 </w:t>
            </w:r>
            <w:r>
              <w:rPr>
                <w:rFonts w:ascii="Times New Roman"/>
              </w:rPr>
              <w:t>基本要求</w:t>
            </w:r>
            <w:r>
              <w:tab/>
            </w:r>
            <w:r>
              <w:fldChar w:fldCharType="begin"/>
            </w:r>
            <w:r>
              <w:instrText xml:space="preserve"> PAGEREF _Toc2916 \h </w:instrText>
            </w:r>
            <w:r>
              <w:fldChar w:fldCharType="separate"/>
            </w:r>
            <w:r>
              <w:t>3</w:t>
            </w:r>
            <w:r>
              <w:fldChar w:fldCharType="end"/>
            </w:r>
          </w:hyperlink>
        </w:p>
        <w:p w14:paraId="4B24C5D8" w14:textId="77777777" w:rsidR="009E73DC" w:rsidRDefault="00000000">
          <w:pPr>
            <w:pStyle w:val="TOC2"/>
            <w:tabs>
              <w:tab w:val="clear" w:pos="9241"/>
              <w:tab w:val="right" w:leader="dot" w:pos="9354"/>
            </w:tabs>
          </w:pPr>
          <w:hyperlink w:anchor="_Toc17433" w:history="1">
            <w:r>
              <w:rPr>
                <w:rFonts w:ascii="黑体" w:eastAsia="黑体" w:hint="eastAsia"/>
              </w:rPr>
              <w:t xml:space="preserve">5 </w:t>
            </w:r>
            <w:r>
              <w:rPr>
                <w:rFonts w:ascii="Times New Roman" w:hint="eastAsia"/>
              </w:rPr>
              <w:t>产品溯源</w:t>
            </w:r>
            <w:r>
              <w:tab/>
            </w:r>
            <w:r>
              <w:fldChar w:fldCharType="begin"/>
            </w:r>
            <w:r>
              <w:instrText xml:space="preserve"> PAGEREF _Toc17433 \h </w:instrText>
            </w:r>
            <w:r>
              <w:fldChar w:fldCharType="separate"/>
            </w:r>
            <w:r>
              <w:t>3</w:t>
            </w:r>
            <w:r>
              <w:fldChar w:fldCharType="end"/>
            </w:r>
          </w:hyperlink>
        </w:p>
        <w:p w14:paraId="5CC6DC0A" w14:textId="77777777" w:rsidR="009E73DC" w:rsidRDefault="00000000">
          <w:pPr>
            <w:pStyle w:val="TOC2"/>
            <w:tabs>
              <w:tab w:val="clear" w:pos="9241"/>
              <w:tab w:val="right" w:leader="dot" w:pos="9354"/>
            </w:tabs>
          </w:pPr>
          <w:hyperlink w:anchor="_Toc30624" w:history="1">
            <w:r>
              <w:rPr>
                <w:rFonts w:ascii="黑体" w:eastAsia="黑体" w:hint="eastAsia"/>
              </w:rPr>
              <w:t xml:space="preserve">6 </w:t>
            </w:r>
            <w:r>
              <w:rPr>
                <w:rFonts w:ascii="Times New Roman"/>
              </w:rPr>
              <w:t>管理要求</w:t>
            </w:r>
            <w:r>
              <w:tab/>
            </w:r>
            <w:r>
              <w:fldChar w:fldCharType="begin"/>
            </w:r>
            <w:r>
              <w:instrText xml:space="preserve"> PAGEREF _Toc30624 \h </w:instrText>
            </w:r>
            <w:r>
              <w:fldChar w:fldCharType="separate"/>
            </w:r>
            <w:r>
              <w:t>6</w:t>
            </w:r>
            <w:r>
              <w:fldChar w:fldCharType="end"/>
            </w:r>
          </w:hyperlink>
        </w:p>
        <w:p w14:paraId="53F44D0A" w14:textId="77777777" w:rsidR="009E73DC" w:rsidRDefault="00000000">
          <w:pPr>
            <w:pStyle w:val="TOC2"/>
            <w:tabs>
              <w:tab w:val="clear" w:pos="9241"/>
              <w:tab w:val="right" w:leader="dot" w:pos="9354"/>
            </w:tabs>
          </w:pPr>
          <w:hyperlink w:anchor="_Toc2805" w:history="1">
            <w:r>
              <w:rPr>
                <w:rFonts w:ascii="黑体" w:eastAsia="黑体" w:hint="eastAsia"/>
              </w:rPr>
              <w:t xml:space="preserve">7 </w:t>
            </w:r>
            <w:r>
              <w:rPr>
                <w:rFonts w:hint="eastAsia"/>
              </w:rPr>
              <w:t>环境影响</w:t>
            </w:r>
            <w:r>
              <w:tab/>
            </w:r>
            <w:r>
              <w:fldChar w:fldCharType="begin"/>
            </w:r>
            <w:r>
              <w:instrText xml:space="preserve"> PAGEREF _Toc2805 \h </w:instrText>
            </w:r>
            <w:r>
              <w:fldChar w:fldCharType="separate"/>
            </w:r>
            <w:r>
              <w:t>7</w:t>
            </w:r>
            <w:r>
              <w:fldChar w:fldCharType="end"/>
            </w:r>
          </w:hyperlink>
        </w:p>
        <w:p w14:paraId="5E3C5791" w14:textId="77777777" w:rsidR="009E73DC" w:rsidRDefault="00000000">
          <w:pPr>
            <w:pStyle w:val="TOC1"/>
            <w:tabs>
              <w:tab w:val="clear" w:pos="9241"/>
              <w:tab w:val="right" w:leader="dot" w:pos="9354"/>
            </w:tabs>
            <w:spacing w:before="78" w:after="78"/>
          </w:pPr>
          <w:hyperlink w:anchor="_Toc9600" w:history="1">
            <w:r>
              <w:rPr>
                <w:rFonts w:hint="eastAsia"/>
                <w:spacing w:val="105"/>
              </w:rPr>
              <w:t>参考文</w:t>
            </w:r>
            <w:r>
              <w:rPr>
                <w:rFonts w:hint="eastAsia"/>
              </w:rPr>
              <w:t>献</w:t>
            </w:r>
            <w:r>
              <w:tab/>
            </w:r>
            <w:r>
              <w:fldChar w:fldCharType="begin"/>
            </w:r>
            <w:r>
              <w:instrText xml:space="preserve"> PAGEREF _Toc9600 \h </w:instrText>
            </w:r>
            <w:r>
              <w:fldChar w:fldCharType="separate"/>
            </w:r>
            <w:r>
              <w:t>7</w:t>
            </w:r>
            <w:r>
              <w:fldChar w:fldCharType="end"/>
            </w:r>
          </w:hyperlink>
        </w:p>
        <w:p w14:paraId="4BF834D6" w14:textId="77777777" w:rsidR="009E73DC" w:rsidRDefault="00000000">
          <w:pPr>
            <w:pStyle w:val="TOC1"/>
            <w:spacing w:before="78" w:after="78" w:line="360" w:lineRule="auto"/>
            <w:rPr>
              <w:rFonts w:ascii="Times New Roman"/>
            </w:rPr>
          </w:pPr>
          <w:r>
            <w:rPr>
              <w:rFonts w:ascii="Times New Roman"/>
            </w:rPr>
            <w:fldChar w:fldCharType="end"/>
          </w:r>
        </w:p>
      </w:sdtContent>
    </w:sdt>
    <w:p w14:paraId="0C0FC372" w14:textId="77777777" w:rsidR="009E73DC" w:rsidRDefault="009E73DC">
      <w:pPr>
        <w:pStyle w:val="affffff2"/>
        <w:rPr>
          <w:rFonts w:ascii="Times New Roman"/>
          <w:szCs w:val="22"/>
        </w:rPr>
        <w:sectPr w:rsidR="009E73DC">
          <w:headerReference w:type="even" r:id="rId21"/>
          <w:headerReference w:type="default" r:id="rId22"/>
          <w:footerReference w:type="even" r:id="rId23"/>
          <w:footerReference w:type="default" r:id="rId24"/>
          <w:headerReference w:type="first" r:id="rId25"/>
          <w:pgSz w:w="11906" w:h="16838"/>
          <w:pgMar w:top="567" w:right="1134" w:bottom="1134" w:left="1418" w:header="1418" w:footer="1134" w:gutter="0"/>
          <w:pgNumType w:fmt="upperRoman" w:start="2"/>
          <w:cols w:space="425"/>
          <w:formProt w:val="0"/>
          <w:docGrid w:type="lines" w:linePitch="312"/>
        </w:sectPr>
      </w:pPr>
      <w:bookmarkStart w:id="10" w:name="_Toc32510"/>
      <w:bookmarkStart w:id="11" w:name="_Toc52288515"/>
      <w:bookmarkStart w:id="12" w:name="_Toc44414102"/>
    </w:p>
    <w:bookmarkEnd w:id="10"/>
    <w:p w14:paraId="53C9ADC0" w14:textId="77777777" w:rsidR="009E73DC" w:rsidRDefault="009E73DC">
      <w:pPr>
        <w:pStyle w:val="affe"/>
        <w:ind w:firstLineChars="0" w:firstLine="0"/>
        <w:rPr>
          <w:rFonts w:ascii="Times New Roman" w:eastAsia="黑体"/>
          <w:sz w:val="32"/>
          <w:szCs w:val="32"/>
        </w:rPr>
      </w:pPr>
    </w:p>
    <w:p w14:paraId="7B1B8792" w14:textId="77777777" w:rsidR="009E73DC" w:rsidRDefault="00000000">
      <w:pPr>
        <w:pStyle w:val="affe"/>
        <w:ind w:firstLineChars="0" w:firstLine="0"/>
        <w:jc w:val="center"/>
        <w:outlineLvl w:val="0"/>
        <w:rPr>
          <w:rFonts w:ascii="Times New Roman" w:eastAsia="黑体"/>
          <w:sz w:val="32"/>
          <w:szCs w:val="32"/>
        </w:rPr>
      </w:pPr>
      <w:bookmarkStart w:id="13" w:name="_Toc4830"/>
      <w:r>
        <w:rPr>
          <w:rFonts w:ascii="Times New Roman" w:eastAsia="黑体"/>
          <w:sz w:val="32"/>
          <w:szCs w:val="32"/>
        </w:rPr>
        <w:t>前</w:t>
      </w:r>
      <w:r>
        <w:rPr>
          <w:rFonts w:ascii="Times New Roman" w:eastAsia="黑体"/>
          <w:sz w:val="32"/>
          <w:szCs w:val="32"/>
        </w:rPr>
        <w:t xml:space="preserve">    </w:t>
      </w:r>
      <w:r>
        <w:rPr>
          <w:rFonts w:ascii="Times New Roman" w:eastAsia="黑体"/>
          <w:sz w:val="32"/>
          <w:szCs w:val="32"/>
        </w:rPr>
        <w:t>言</w:t>
      </w:r>
      <w:bookmarkEnd w:id="13"/>
    </w:p>
    <w:p w14:paraId="6A2CF0A9" w14:textId="77777777" w:rsidR="009E73DC" w:rsidRDefault="009E73DC">
      <w:pPr>
        <w:pStyle w:val="affe"/>
        <w:ind w:firstLineChars="0" w:firstLine="0"/>
        <w:rPr>
          <w:rFonts w:ascii="Times New Roman" w:eastAsia="黑体"/>
          <w:sz w:val="24"/>
          <w:szCs w:val="24"/>
        </w:rPr>
      </w:pPr>
    </w:p>
    <w:p w14:paraId="591970B7" w14:textId="77777777" w:rsidR="009E73DC" w:rsidRDefault="00000000">
      <w:pPr>
        <w:pStyle w:val="affe"/>
        <w:rPr>
          <w:rFonts w:ascii="Times New Roman"/>
        </w:rPr>
      </w:pPr>
      <w:bookmarkStart w:id="14" w:name="_Toc23227"/>
      <w:r>
        <w:rPr>
          <w:rFonts w:ascii="Times New Roman"/>
        </w:rPr>
        <w:t>本文件按照</w:t>
      </w:r>
      <w:r>
        <w:rPr>
          <w:rFonts w:ascii="Times New Roman"/>
        </w:rPr>
        <w:t>GB/T 1.1—2020</w:t>
      </w:r>
      <w:r>
        <w:rPr>
          <w:rFonts w:ascii="Times New Roman"/>
        </w:rPr>
        <w:t>《标准化工作导则</w:t>
      </w:r>
      <w:r>
        <w:rPr>
          <w:rFonts w:ascii="Times New Roman"/>
        </w:rPr>
        <w:t xml:space="preserve">  </w:t>
      </w:r>
      <w:r>
        <w:rPr>
          <w:rFonts w:ascii="Times New Roman"/>
        </w:rPr>
        <w:t>第</w:t>
      </w:r>
      <w:r>
        <w:rPr>
          <w:rFonts w:ascii="Times New Roman"/>
        </w:rPr>
        <w:t>1</w:t>
      </w:r>
      <w:r>
        <w:rPr>
          <w:rFonts w:ascii="Times New Roman"/>
        </w:rPr>
        <w:t>部分：标准化文件的结构和起草规则》的规定起草。</w:t>
      </w:r>
    </w:p>
    <w:p w14:paraId="4005F6D8" w14:textId="77777777" w:rsidR="009E73DC" w:rsidRDefault="00000000">
      <w:pPr>
        <w:pStyle w:val="affe"/>
        <w:rPr>
          <w:rFonts w:ascii="Times New Roman"/>
        </w:rPr>
      </w:pPr>
      <w:r>
        <w:rPr>
          <w:rFonts w:ascii="Times New Roman"/>
        </w:rPr>
        <w:t>本文件的某些内容可能涉及专利。本文件的发布机构不承担识别专利的责任。</w:t>
      </w:r>
    </w:p>
    <w:p w14:paraId="3FDB988E" w14:textId="77777777" w:rsidR="009E73DC" w:rsidRDefault="00000000">
      <w:pPr>
        <w:pStyle w:val="affe"/>
        <w:rPr>
          <w:rFonts w:ascii="Times New Roman"/>
        </w:rPr>
      </w:pPr>
      <w:r>
        <w:rPr>
          <w:rFonts w:ascii="Times New Roman"/>
        </w:rPr>
        <w:t>本文件由中国认证认可协会提出并归口。</w:t>
      </w:r>
    </w:p>
    <w:p w14:paraId="6678627D" w14:textId="77777777" w:rsidR="009E73DC" w:rsidRDefault="00000000">
      <w:pPr>
        <w:pStyle w:val="affe"/>
        <w:rPr>
          <w:rFonts w:ascii="Times New Roman"/>
        </w:rPr>
      </w:pPr>
      <w:r>
        <w:rPr>
          <w:rFonts w:ascii="Times New Roman"/>
        </w:rPr>
        <w:t>本文件起草单位：</w:t>
      </w:r>
      <w:r>
        <w:rPr>
          <w:rFonts w:ascii="Times New Roman" w:hint="eastAsia"/>
          <w:szCs w:val="21"/>
        </w:rPr>
        <w:t>上海联合矿权交易所有限公司、上海质量管理科学研究院有限公司、上海临港氢能产业发展有限公司</w:t>
      </w:r>
      <w:r>
        <w:rPr>
          <w:rFonts w:ascii="Times New Roman"/>
        </w:rPr>
        <w:t>等。</w:t>
      </w:r>
    </w:p>
    <w:p w14:paraId="33674C9F" w14:textId="77777777" w:rsidR="009E73DC" w:rsidRDefault="00000000">
      <w:pPr>
        <w:pStyle w:val="affe"/>
        <w:rPr>
          <w:rFonts w:ascii="Times New Roman"/>
          <w:color w:val="000000" w:themeColor="text1"/>
        </w:rPr>
      </w:pPr>
      <w:r>
        <w:rPr>
          <w:rFonts w:ascii="Times New Roman"/>
        </w:rPr>
        <w:t>本文件主要起草人：</w:t>
      </w:r>
      <w:r>
        <w:rPr>
          <w:rFonts w:ascii="Times New Roman" w:hint="eastAsia"/>
          <w:szCs w:val="21"/>
        </w:rPr>
        <w:t>沈轶、屈妍、魏玉剑、孟凯、</w:t>
      </w:r>
      <w:r>
        <w:rPr>
          <w:rFonts w:ascii="Times New Roman" w:hint="eastAsia"/>
          <w:color w:val="000000"/>
          <w:szCs w:val="21"/>
        </w:rPr>
        <w:t>刘司嘉、</w:t>
      </w:r>
      <w:r>
        <w:rPr>
          <w:rFonts w:ascii="Times New Roman" w:hint="eastAsia"/>
          <w:szCs w:val="21"/>
        </w:rPr>
        <w:t>诸曾慧、申沛等</w:t>
      </w:r>
      <w:r>
        <w:rPr>
          <w:rFonts w:ascii="Times New Roman"/>
        </w:rPr>
        <w:t>。</w:t>
      </w:r>
    </w:p>
    <w:bookmarkEnd w:id="11"/>
    <w:bookmarkEnd w:id="12"/>
    <w:bookmarkEnd w:id="14"/>
    <w:p w14:paraId="1CF3493B" w14:textId="77777777" w:rsidR="009E73DC" w:rsidRDefault="009E73DC">
      <w:pPr>
        <w:pStyle w:val="affe"/>
        <w:ind w:firstLineChars="0" w:firstLine="0"/>
        <w:rPr>
          <w:rFonts w:ascii="Times New Roman"/>
        </w:rPr>
        <w:sectPr w:rsidR="009E73DC">
          <w:headerReference w:type="even" r:id="rId26"/>
          <w:headerReference w:type="default" r:id="rId27"/>
          <w:footerReference w:type="even" r:id="rId28"/>
          <w:footerReference w:type="default" r:id="rId29"/>
          <w:headerReference w:type="first" r:id="rId30"/>
          <w:pgSz w:w="11906" w:h="16838"/>
          <w:pgMar w:top="567" w:right="1134" w:bottom="1134" w:left="1418" w:header="1418" w:footer="1134" w:gutter="0"/>
          <w:pgNumType w:fmt="upperRoman" w:start="2"/>
          <w:cols w:space="425"/>
          <w:formProt w:val="0"/>
          <w:docGrid w:type="lines" w:linePitch="312"/>
        </w:sectPr>
      </w:pPr>
    </w:p>
    <w:bookmarkStart w:id="15" w:name="_Toc16795"/>
    <w:p w14:paraId="3C4D0B44" w14:textId="77777777" w:rsidR="009E73DC" w:rsidRDefault="00000000">
      <w:pPr>
        <w:jc w:val="center"/>
        <w:rPr>
          <w:rFonts w:eastAsia="黑体"/>
          <w:sz w:val="32"/>
          <w:szCs w:val="32"/>
        </w:rPr>
      </w:pPr>
      <w:sdt>
        <w:sdtPr>
          <w:rPr>
            <w:rFonts w:eastAsia="黑体"/>
            <w:kern w:val="0"/>
            <w:sz w:val="32"/>
            <w:szCs w:val="32"/>
            <w:lang w:val="zh-CN" w:bidi="zh-CN"/>
          </w:rPr>
          <w:alias w:val="标准名称"/>
          <w:tag w:val="标准名称"/>
          <w:id w:val="1795105741"/>
          <w:lock w:val="sdtLocked"/>
          <w:text w:multiLine="1"/>
        </w:sdtPr>
        <w:sdtContent>
          <w:r>
            <w:rPr>
              <w:rFonts w:eastAsia="黑体"/>
              <w:kern w:val="0"/>
              <w:sz w:val="32"/>
              <w:szCs w:val="32"/>
              <w:lang w:val="zh-CN" w:bidi="zh-CN"/>
            </w:rPr>
            <w:t>可再生氢生产溯源管理指南</w:t>
          </w:r>
        </w:sdtContent>
      </w:sdt>
      <w:bookmarkStart w:id="16" w:name="StandardName"/>
      <w:bookmarkEnd w:id="15"/>
      <w:bookmarkEnd w:id="16"/>
    </w:p>
    <w:p w14:paraId="72B5F755" w14:textId="77777777" w:rsidR="009E73DC" w:rsidRDefault="00000000">
      <w:pPr>
        <w:pStyle w:val="a1"/>
        <w:spacing w:before="312" w:after="312"/>
        <w:outlineLvl w:val="0"/>
        <w:rPr>
          <w:rFonts w:ascii="Times New Roman"/>
        </w:rPr>
      </w:pPr>
      <w:bookmarkStart w:id="17" w:name="_Toc21045"/>
      <w:bookmarkStart w:id="18" w:name="_Toc52288516"/>
      <w:bookmarkStart w:id="19" w:name="_Toc44414103"/>
      <w:bookmarkStart w:id="20" w:name="_Toc20742"/>
      <w:r>
        <w:rPr>
          <w:rFonts w:ascii="Times New Roman"/>
        </w:rPr>
        <w:t>范围</w:t>
      </w:r>
      <w:bookmarkEnd w:id="17"/>
      <w:bookmarkEnd w:id="18"/>
      <w:bookmarkEnd w:id="19"/>
      <w:bookmarkEnd w:id="20"/>
    </w:p>
    <w:p w14:paraId="49DE6A98" w14:textId="77777777" w:rsidR="009E73DC" w:rsidRDefault="00000000">
      <w:pPr>
        <w:ind w:firstLineChars="200" w:firstLine="420"/>
      </w:pPr>
      <w:r>
        <w:t>本文件给出了可再生氢的溯源规则、产品碳足迹的计算方法</w:t>
      </w:r>
      <w:r>
        <w:rPr>
          <w:rFonts w:hint="eastAsia"/>
        </w:rPr>
        <w:t>，并针对从事可再生氢生产的企业提出了具体的管理要求及环境影响评估准则</w:t>
      </w:r>
      <w:r>
        <w:t>。</w:t>
      </w:r>
    </w:p>
    <w:p w14:paraId="74AC26A7" w14:textId="77777777" w:rsidR="009E73DC" w:rsidRDefault="00000000">
      <w:pPr>
        <w:ind w:firstLineChars="200" w:firstLine="420"/>
      </w:pPr>
      <w:r>
        <w:t>本文件适用于</w:t>
      </w:r>
      <w:proofErr w:type="gramStart"/>
      <w:r>
        <w:t>氢交易</w:t>
      </w:r>
      <w:proofErr w:type="gramEnd"/>
      <w:r>
        <w:t>市场中可再生氢绿色属性的确认与验证，也适用于可再生氢的产品碳足迹评价。</w:t>
      </w:r>
    </w:p>
    <w:p w14:paraId="0B53C1EB" w14:textId="77777777" w:rsidR="009E73DC" w:rsidRDefault="00000000">
      <w:pPr>
        <w:ind w:firstLineChars="200" w:firstLine="420"/>
      </w:pPr>
      <w:r>
        <w:t>本文件适用于生产企业内部评定和第三方</w:t>
      </w:r>
      <w:r>
        <w:rPr>
          <w:rFonts w:hint="eastAsia"/>
        </w:rPr>
        <w:t>机构评定</w:t>
      </w:r>
      <w:r>
        <w:t>。</w:t>
      </w:r>
    </w:p>
    <w:p w14:paraId="2743018E" w14:textId="77777777" w:rsidR="009E73DC" w:rsidRDefault="00000000">
      <w:pPr>
        <w:pStyle w:val="a1"/>
        <w:spacing w:before="312" w:after="312"/>
        <w:outlineLvl w:val="0"/>
        <w:rPr>
          <w:rFonts w:ascii="Times New Roman"/>
        </w:rPr>
      </w:pPr>
      <w:bookmarkStart w:id="21" w:name="_Toc3041"/>
      <w:bookmarkStart w:id="22" w:name="_Toc52288517"/>
      <w:bookmarkStart w:id="23" w:name="_Toc18471"/>
      <w:bookmarkStart w:id="24" w:name="_Toc44414104"/>
      <w:r>
        <w:rPr>
          <w:rFonts w:ascii="Times New Roman"/>
        </w:rPr>
        <w:t>规范性引用文件</w:t>
      </w:r>
      <w:bookmarkEnd w:id="21"/>
      <w:bookmarkEnd w:id="22"/>
      <w:bookmarkEnd w:id="23"/>
      <w:bookmarkEnd w:id="24"/>
    </w:p>
    <w:p w14:paraId="509F6C5E" w14:textId="77777777" w:rsidR="009E73DC" w:rsidRDefault="00000000">
      <w:pPr>
        <w:ind w:firstLineChars="200" w:firstLine="420"/>
      </w:pPr>
      <w:r>
        <w:t>下列文件中的内容通过文中的规范性引用而构成本文件必不可少的条款。其中，注日期的引用文件，仅该日期对应的版本适用于本文件；不注日期的引用文件，其最新版本（包括所有的修改单）适用于本文件。</w:t>
      </w:r>
    </w:p>
    <w:p w14:paraId="0F0D2C71" w14:textId="77777777" w:rsidR="009E73DC" w:rsidRDefault="00000000">
      <w:pPr>
        <w:ind w:firstLineChars="200" w:firstLine="420"/>
      </w:pPr>
      <w:r>
        <w:t xml:space="preserve">GB/T 24040 </w:t>
      </w:r>
      <w:r>
        <w:t>环境管理</w:t>
      </w:r>
      <w:r>
        <w:t xml:space="preserve"> </w:t>
      </w:r>
      <w:r>
        <w:t>生命周期评价</w:t>
      </w:r>
      <w:r>
        <w:t xml:space="preserve"> </w:t>
      </w:r>
      <w:r>
        <w:t>原则与框架</w:t>
      </w:r>
    </w:p>
    <w:p w14:paraId="076E99CF" w14:textId="77777777" w:rsidR="009E73DC" w:rsidRDefault="00000000">
      <w:pPr>
        <w:ind w:firstLineChars="200" w:firstLine="420"/>
      </w:pPr>
      <w:r>
        <w:t xml:space="preserve">GB/T 24044 </w:t>
      </w:r>
      <w:r>
        <w:t>环境管理</w:t>
      </w:r>
      <w:r>
        <w:t xml:space="preserve"> </w:t>
      </w:r>
      <w:r>
        <w:t>生命周期评价</w:t>
      </w:r>
      <w:r>
        <w:t xml:space="preserve"> </w:t>
      </w:r>
      <w:r>
        <w:t>要求与指南</w:t>
      </w:r>
    </w:p>
    <w:p w14:paraId="390F5ADD" w14:textId="77777777" w:rsidR="009E73DC" w:rsidRDefault="00000000">
      <w:pPr>
        <w:ind w:firstLineChars="200" w:firstLine="420"/>
      </w:pPr>
      <w:r>
        <w:t xml:space="preserve">GB/T 24499 </w:t>
      </w:r>
      <w:r>
        <w:t>氢气、氢能与氢能系统术语</w:t>
      </w:r>
    </w:p>
    <w:p w14:paraId="1D1DA0C3" w14:textId="77777777" w:rsidR="009E73DC" w:rsidRDefault="00000000">
      <w:pPr>
        <w:ind w:firstLineChars="200" w:firstLine="420"/>
      </w:pPr>
      <w:r>
        <w:t xml:space="preserve">T/CAB 0078—2020 </w:t>
      </w:r>
      <w:r>
        <w:t>低碳氢、清洁氢与可再生氢的标准与评价</w:t>
      </w:r>
    </w:p>
    <w:p w14:paraId="14AD0F77" w14:textId="77777777" w:rsidR="009E73DC" w:rsidRDefault="00000000">
      <w:pPr>
        <w:ind w:firstLineChars="200" w:firstLine="420"/>
      </w:pPr>
      <w:r>
        <w:t>ISO 14067:2018</w:t>
      </w:r>
      <w:r>
        <w:t>温室气体</w:t>
      </w:r>
      <w:r>
        <w:t>-</w:t>
      </w:r>
      <w:r>
        <w:t>产品碳足迹</w:t>
      </w:r>
      <w:r>
        <w:t>-</w:t>
      </w:r>
      <w:r>
        <w:t>量化要求和指南</w:t>
      </w:r>
    </w:p>
    <w:p w14:paraId="4E370BAA" w14:textId="77777777" w:rsidR="009E73DC" w:rsidRDefault="00000000">
      <w:pPr>
        <w:ind w:firstLineChars="200" w:firstLine="420"/>
        <w:rPr>
          <w:color w:val="1B1C21"/>
          <w:szCs w:val="21"/>
          <w:shd w:val="clear" w:color="auto" w:fill="FFFFFF"/>
        </w:rPr>
      </w:pPr>
      <w:r>
        <w:rPr>
          <w:szCs w:val="21"/>
        </w:rPr>
        <w:t>GB 50177-2005</w:t>
      </w:r>
      <w:r>
        <w:rPr>
          <w:color w:val="1B1C21"/>
          <w:szCs w:val="21"/>
          <w:shd w:val="clear" w:color="auto" w:fill="FFFFFF"/>
        </w:rPr>
        <w:t>氢气站设计规范</w:t>
      </w:r>
    </w:p>
    <w:p w14:paraId="30C764E1" w14:textId="77777777" w:rsidR="009E73DC" w:rsidRDefault="009E73DC">
      <w:pPr>
        <w:ind w:firstLineChars="200" w:firstLine="420"/>
        <w:rPr>
          <w:color w:val="1B1C21"/>
          <w:szCs w:val="21"/>
          <w:shd w:val="clear" w:color="auto" w:fill="FFFFFF"/>
        </w:rPr>
      </w:pPr>
    </w:p>
    <w:p w14:paraId="6C75E9B2" w14:textId="77777777" w:rsidR="009E73DC" w:rsidRDefault="009E73DC">
      <w:pPr>
        <w:ind w:firstLineChars="200" w:firstLine="420"/>
      </w:pPr>
    </w:p>
    <w:p w14:paraId="02934954" w14:textId="77777777" w:rsidR="009E73DC" w:rsidRDefault="00000000">
      <w:pPr>
        <w:pStyle w:val="a1"/>
        <w:spacing w:before="312" w:after="312"/>
        <w:outlineLvl w:val="0"/>
        <w:rPr>
          <w:rFonts w:ascii="Times New Roman"/>
        </w:rPr>
      </w:pPr>
      <w:bookmarkStart w:id="25" w:name="_Toc44414105"/>
      <w:bookmarkStart w:id="26" w:name="_Toc5096"/>
      <w:bookmarkStart w:id="27" w:name="_Toc52288518"/>
      <w:bookmarkStart w:id="28" w:name="_Toc32257"/>
      <w:r>
        <w:rPr>
          <w:rFonts w:ascii="Times New Roman"/>
        </w:rPr>
        <w:t>术语和定义</w:t>
      </w:r>
      <w:bookmarkEnd w:id="25"/>
      <w:bookmarkEnd w:id="26"/>
      <w:bookmarkEnd w:id="27"/>
      <w:bookmarkEnd w:id="28"/>
    </w:p>
    <w:p w14:paraId="6770D223" w14:textId="77777777" w:rsidR="009E73DC" w:rsidRDefault="00000000">
      <w:pPr>
        <w:ind w:firstLineChars="200" w:firstLine="420"/>
        <w:rPr>
          <w:szCs w:val="21"/>
        </w:rPr>
      </w:pPr>
      <w:r>
        <w:rPr>
          <w:szCs w:val="21"/>
        </w:rPr>
        <w:t>下列术语和定义适用于本文件。</w:t>
      </w:r>
    </w:p>
    <w:p w14:paraId="6E3A7283" w14:textId="77777777" w:rsidR="009E73DC" w:rsidRDefault="009E73DC">
      <w:pPr>
        <w:ind w:firstLineChars="200" w:firstLine="420"/>
      </w:pPr>
    </w:p>
    <w:p w14:paraId="53480EB7" w14:textId="77777777" w:rsidR="009E73DC" w:rsidRDefault="00000000">
      <w:pPr>
        <w:pStyle w:val="a2"/>
        <w:spacing w:before="156" w:after="156"/>
        <w:rPr>
          <w:rFonts w:ascii="Times New Roman"/>
        </w:rPr>
      </w:pPr>
      <w:r>
        <w:rPr>
          <w:rFonts w:ascii="Times New Roman"/>
        </w:rPr>
        <w:t>可再生氢</w:t>
      </w:r>
      <w:r>
        <w:rPr>
          <w:rFonts w:ascii="Times New Roman"/>
        </w:rPr>
        <w:t xml:space="preserve"> Renewable hydrogen</w:t>
      </w:r>
    </w:p>
    <w:p w14:paraId="0E695787" w14:textId="77777777" w:rsidR="009E73DC" w:rsidRDefault="00000000">
      <w:pPr>
        <w:pStyle w:val="affe"/>
        <w:rPr>
          <w:rFonts w:ascii="Times New Roman"/>
          <w:color w:val="000000"/>
          <w:szCs w:val="21"/>
        </w:rPr>
      </w:pPr>
      <w:r>
        <w:rPr>
          <w:rFonts w:ascii="Times New Roman"/>
          <w:color w:val="000000"/>
          <w:szCs w:val="21"/>
        </w:rPr>
        <w:t>本标准中所述的可再生氢是指通过可再生能源驱动电解产生的氢气</w:t>
      </w:r>
      <w:r>
        <w:rPr>
          <w:rFonts w:ascii="Times New Roman"/>
          <w:szCs w:val="21"/>
        </w:rPr>
        <w:t>。</w:t>
      </w:r>
    </w:p>
    <w:p w14:paraId="7A4F8FBC" w14:textId="77777777" w:rsidR="009E73DC" w:rsidRDefault="009E73DC">
      <w:pPr>
        <w:pStyle w:val="a3"/>
        <w:numPr>
          <w:ilvl w:val="0"/>
          <w:numId w:val="0"/>
        </w:numPr>
        <w:ind w:left="420"/>
        <w:rPr>
          <w:rFonts w:ascii="Times New Roman"/>
          <w:b/>
          <w:bCs/>
          <w:sz w:val="22"/>
          <w:szCs w:val="22"/>
        </w:rPr>
      </w:pPr>
    </w:p>
    <w:p w14:paraId="594A1A41" w14:textId="77777777" w:rsidR="009E73DC" w:rsidRDefault="00000000">
      <w:pPr>
        <w:pStyle w:val="a2"/>
        <w:spacing w:before="156" w:after="156"/>
        <w:rPr>
          <w:rFonts w:ascii="Times New Roman"/>
        </w:rPr>
      </w:pPr>
      <w:r>
        <w:rPr>
          <w:rFonts w:ascii="Times New Roman"/>
        </w:rPr>
        <w:t>可再生能源</w:t>
      </w:r>
      <w:r>
        <w:rPr>
          <w:rFonts w:ascii="Times New Roman"/>
        </w:rPr>
        <w:t xml:space="preserve"> Renewable energy</w:t>
      </w:r>
    </w:p>
    <w:p w14:paraId="0ADE0C4E" w14:textId="77777777" w:rsidR="009E73DC" w:rsidRDefault="00000000">
      <w:pPr>
        <w:pStyle w:val="affe"/>
        <w:rPr>
          <w:rFonts w:ascii="Times New Roman"/>
          <w:color w:val="000000"/>
          <w:szCs w:val="21"/>
        </w:rPr>
      </w:pPr>
      <w:r>
        <w:rPr>
          <w:rFonts w:ascii="Times New Roman"/>
          <w:color w:val="000000"/>
          <w:szCs w:val="21"/>
        </w:rPr>
        <w:t>来自可</w:t>
      </w:r>
      <w:proofErr w:type="gramStart"/>
      <w:r>
        <w:rPr>
          <w:rFonts w:ascii="Times New Roman"/>
          <w:color w:val="000000"/>
          <w:szCs w:val="21"/>
        </w:rPr>
        <w:t>再生非</w:t>
      </w:r>
      <w:proofErr w:type="gramEnd"/>
      <w:r>
        <w:rPr>
          <w:rFonts w:ascii="Times New Roman"/>
          <w:color w:val="000000"/>
          <w:szCs w:val="21"/>
        </w:rPr>
        <w:t>化石能源的能源，即风能、太阳能（光热和光伏）、地热能、环境能、潮汐能、波浪能和其他海洋能、水力发电，以及来自生物质、垃圾填埋气、污水处理厂气体和沼气的能源。</w:t>
      </w:r>
    </w:p>
    <w:p w14:paraId="038AB3E7" w14:textId="77777777" w:rsidR="009E73DC" w:rsidRDefault="009E73DC">
      <w:pPr>
        <w:pStyle w:val="affe"/>
        <w:ind w:firstLine="440"/>
        <w:rPr>
          <w:rFonts w:ascii="Times New Roman"/>
          <w:color w:val="000000"/>
          <w:sz w:val="22"/>
          <w:szCs w:val="22"/>
        </w:rPr>
      </w:pPr>
    </w:p>
    <w:p w14:paraId="7B2454CB" w14:textId="77777777" w:rsidR="009E73DC" w:rsidRDefault="00000000">
      <w:pPr>
        <w:pStyle w:val="a2"/>
        <w:spacing w:before="156" w:after="156"/>
        <w:rPr>
          <w:rFonts w:ascii="Times New Roman"/>
        </w:rPr>
      </w:pPr>
      <w:r>
        <w:rPr>
          <w:rFonts w:ascii="Times New Roman"/>
        </w:rPr>
        <w:t>绿色属性</w:t>
      </w:r>
      <w:r>
        <w:rPr>
          <w:rFonts w:ascii="Times New Roman"/>
        </w:rPr>
        <w:t xml:space="preserve"> Green attributes</w:t>
      </w:r>
    </w:p>
    <w:p w14:paraId="3BD5F292" w14:textId="77777777" w:rsidR="009E73DC" w:rsidRDefault="00000000">
      <w:pPr>
        <w:pStyle w:val="affe"/>
        <w:rPr>
          <w:rFonts w:ascii="Times New Roman"/>
          <w:color w:val="000000"/>
          <w:szCs w:val="21"/>
        </w:rPr>
      </w:pPr>
      <w:r>
        <w:rPr>
          <w:rFonts w:ascii="Times New Roman"/>
          <w:color w:val="000000"/>
          <w:szCs w:val="21"/>
        </w:rPr>
        <w:t>指产品在全生命周期中，从原材料获取、生产、运输、使用到废弃处理各阶段，对环境产生的综合影响较小，能够体现资源节约、环境保护和可持续发展的特性。具体包括但不限于低碳排放、高效能源利用、可再生资源使用、环境污染小、生态影响低等方面的表现。</w:t>
      </w:r>
    </w:p>
    <w:p w14:paraId="19C7AA93" w14:textId="77777777" w:rsidR="009E73DC" w:rsidRDefault="009E73DC">
      <w:pPr>
        <w:pStyle w:val="affe"/>
        <w:ind w:firstLine="440"/>
        <w:rPr>
          <w:rFonts w:ascii="Times New Roman"/>
          <w:color w:val="000000"/>
          <w:sz w:val="22"/>
          <w:szCs w:val="22"/>
          <w:highlight w:val="yellow"/>
        </w:rPr>
      </w:pPr>
    </w:p>
    <w:p w14:paraId="1BE79395" w14:textId="77777777" w:rsidR="009E73DC" w:rsidRDefault="00000000">
      <w:pPr>
        <w:pStyle w:val="a2"/>
        <w:spacing w:before="156" w:after="156"/>
        <w:rPr>
          <w:rFonts w:ascii="Times New Roman"/>
        </w:rPr>
      </w:pPr>
      <w:bookmarkStart w:id="29" w:name="_Toc18992"/>
      <w:bookmarkStart w:id="30" w:name="_Toc2056"/>
      <w:bookmarkStart w:id="31" w:name="_Toc4949"/>
      <w:r>
        <w:rPr>
          <w:rFonts w:ascii="Times New Roman"/>
        </w:rPr>
        <w:t>温室气体</w:t>
      </w:r>
      <w:r>
        <w:rPr>
          <w:rFonts w:ascii="Times New Roman"/>
        </w:rPr>
        <w:t xml:space="preserve"> greenhouse gas</w:t>
      </w:r>
      <w:bookmarkEnd w:id="29"/>
      <w:bookmarkEnd w:id="30"/>
      <w:bookmarkEnd w:id="31"/>
    </w:p>
    <w:p w14:paraId="1E158E3A" w14:textId="77777777" w:rsidR="009E73DC" w:rsidRDefault="00000000">
      <w:pPr>
        <w:pStyle w:val="affe"/>
        <w:ind w:firstLine="440"/>
        <w:rPr>
          <w:rFonts w:ascii="Times New Roman"/>
          <w:color w:val="000000"/>
          <w:sz w:val="22"/>
          <w:szCs w:val="22"/>
        </w:rPr>
      </w:pPr>
      <w:r>
        <w:rPr>
          <w:rFonts w:ascii="Times New Roman"/>
          <w:color w:val="000000"/>
          <w:sz w:val="22"/>
          <w:szCs w:val="22"/>
        </w:rPr>
        <w:t>大气层中自然存在的和由于人类活动产生的能够吸收和散发由地球表面、大气层和云层所产生的、波长在红外光谱内的辐射的气态成分。</w:t>
      </w:r>
    </w:p>
    <w:p w14:paraId="3BFE0B68" w14:textId="77777777" w:rsidR="009E73DC" w:rsidRDefault="00000000">
      <w:pPr>
        <w:pStyle w:val="affe"/>
        <w:rPr>
          <w:rFonts w:ascii="Times New Roman" w:eastAsia="楷体"/>
          <w:color w:val="000000"/>
          <w:szCs w:val="21"/>
        </w:rPr>
      </w:pPr>
      <w:r>
        <w:rPr>
          <w:rFonts w:ascii="Times New Roman" w:eastAsia="楷体"/>
          <w:color w:val="000000"/>
          <w:szCs w:val="21"/>
        </w:rPr>
        <w:t>注：温室气体清单见联合国气候变化专家委员会（</w:t>
      </w:r>
      <w:r>
        <w:rPr>
          <w:rFonts w:ascii="Times New Roman" w:eastAsia="楷体"/>
          <w:color w:val="000000"/>
          <w:szCs w:val="21"/>
        </w:rPr>
        <w:t>IPCC</w:t>
      </w:r>
      <w:r>
        <w:rPr>
          <w:rFonts w:ascii="Times New Roman" w:eastAsia="楷体"/>
          <w:color w:val="000000"/>
          <w:szCs w:val="21"/>
        </w:rPr>
        <w:t>）发布最新的气候报告。</w:t>
      </w:r>
    </w:p>
    <w:p w14:paraId="1C08616F" w14:textId="77777777" w:rsidR="009E73DC" w:rsidRDefault="009E73DC">
      <w:pPr>
        <w:pStyle w:val="affe"/>
        <w:rPr>
          <w:rFonts w:ascii="Times New Roman" w:eastAsia="楷体"/>
          <w:color w:val="000000"/>
          <w:szCs w:val="21"/>
        </w:rPr>
      </w:pPr>
    </w:p>
    <w:p w14:paraId="088EB233" w14:textId="77777777" w:rsidR="009E73DC" w:rsidRDefault="00000000">
      <w:pPr>
        <w:pStyle w:val="a2"/>
        <w:spacing w:before="156" w:after="156"/>
        <w:rPr>
          <w:rFonts w:ascii="Times New Roman"/>
        </w:rPr>
      </w:pPr>
      <w:r>
        <w:rPr>
          <w:rFonts w:ascii="Times New Roman"/>
        </w:rPr>
        <w:t>生命周期</w:t>
      </w:r>
      <w:r>
        <w:rPr>
          <w:rFonts w:ascii="Times New Roman"/>
        </w:rPr>
        <w:t xml:space="preserve"> life cycle</w:t>
      </w:r>
    </w:p>
    <w:p w14:paraId="6556FDF4" w14:textId="77777777" w:rsidR="009E73DC" w:rsidRDefault="00000000">
      <w:pPr>
        <w:ind w:firstLineChars="200" w:firstLine="440"/>
        <w:rPr>
          <w:sz w:val="22"/>
          <w:szCs w:val="22"/>
        </w:rPr>
      </w:pPr>
      <w:r>
        <w:rPr>
          <w:sz w:val="22"/>
          <w:szCs w:val="22"/>
        </w:rPr>
        <w:t>产品系统中前后衔接的一系列阶段，从自然界或从自然资源中获取原材料，直至最终处置。</w:t>
      </w:r>
    </w:p>
    <w:p w14:paraId="55597905" w14:textId="77777777" w:rsidR="009E73DC" w:rsidRDefault="00000000">
      <w:pPr>
        <w:ind w:firstLineChars="200" w:firstLine="440"/>
        <w:rPr>
          <w:sz w:val="22"/>
          <w:szCs w:val="22"/>
        </w:rPr>
      </w:pPr>
      <w:r>
        <w:rPr>
          <w:sz w:val="22"/>
          <w:szCs w:val="22"/>
        </w:rPr>
        <w:t>[</w:t>
      </w:r>
      <w:r>
        <w:rPr>
          <w:sz w:val="22"/>
          <w:szCs w:val="22"/>
        </w:rPr>
        <w:t>来源</w:t>
      </w:r>
      <w:r>
        <w:rPr>
          <w:sz w:val="22"/>
          <w:szCs w:val="22"/>
        </w:rPr>
        <w:t>:GB/T 24040-2008</w:t>
      </w:r>
      <w:r>
        <w:rPr>
          <w:sz w:val="22"/>
          <w:szCs w:val="22"/>
        </w:rPr>
        <w:t>，</w:t>
      </w:r>
      <w:r>
        <w:rPr>
          <w:sz w:val="22"/>
          <w:szCs w:val="22"/>
        </w:rPr>
        <w:t>3.1]</w:t>
      </w:r>
    </w:p>
    <w:p w14:paraId="64848690" w14:textId="77777777" w:rsidR="009E73DC" w:rsidRDefault="009E73DC">
      <w:pPr>
        <w:ind w:firstLineChars="200" w:firstLine="440"/>
        <w:rPr>
          <w:sz w:val="22"/>
          <w:szCs w:val="22"/>
        </w:rPr>
      </w:pPr>
    </w:p>
    <w:p w14:paraId="4B2B22AC" w14:textId="77777777" w:rsidR="009E73DC" w:rsidRDefault="00000000">
      <w:pPr>
        <w:pStyle w:val="a2"/>
        <w:spacing w:before="156" w:after="156"/>
        <w:rPr>
          <w:rFonts w:ascii="Times New Roman"/>
        </w:rPr>
      </w:pPr>
      <w:r>
        <w:rPr>
          <w:rFonts w:ascii="Times New Roman"/>
        </w:rPr>
        <w:t>功能单位</w:t>
      </w:r>
      <w:r>
        <w:rPr>
          <w:rFonts w:ascii="Times New Roman"/>
        </w:rPr>
        <w:t>functional unit</w:t>
      </w:r>
    </w:p>
    <w:p w14:paraId="50DDEA96" w14:textId="77777777" w:rsidR="009E73DC" w:rsidRDefault="00000000">
      <w:pPr>
        <w:ind w:firstLineChars="200" w:firstLine="420"/>
        <w:rPr>
          <w:szCs w:val="21"/>
        </w:rPr>
      </w:pPr>
      <w:r>
        <w:rPr>
          <w:szCs w:val="21"/>
        </w:rPr>
        <w:t>用来作为基准单位的量化的产品系统性能。</w:t>
      </w:r>
    </w:p>
    <w:p w14:paraId="6C7D6EFB" w14:textId="77777777" w:rsidR="009E73DC" w:rsidRDefault="00000000">
      <w:pPr>
        <w:ind w:firstLineChars="200" w:firstLine="420"/>
        <w:rPr>
          <w:szCs w:val="21"/>
        </w:rPr>
      </w:pPr>
      <w:r>
        <w:rPr>
          <w:szCs w:val="21"/>
        </w:rPr>
        <w:t>[</w:t>
      </w:r>
      <w:r>
        <w:rPr>
          <w:szCs w:val="21"/>
        </w:rPr>
        <w:t>来源</w:t>
      </w:r>
      <w:r>
        <w:rPr>
          <w:szCs w:val="21"/>
        </w:rPr>
        <w:t>:GB/T 24040-2008</w:t>
      </w:r>
      <w:r>
        <w:rPr>
          <w:szCs w:val="21"/>
        </w:rPr>
        <w:t>，</w:t>
      </w:r>
      <w:r>
        <w:rPr>
          <w:szCs w:val="21"/>
        </w:rPr>
        <w:t>3.20]</w:t>
      </w:r>
    </w:p>
    <w:p w14:paraId="23178201" w14:textId="77777777" w:rsidR="009E73DC" w:rsidRDefault="009E73DC">
      <w:pPr>
        <w:ind w:firstLineChars="200" w:firstLine="420"/>
        <w:rPr>
          <w:szCs w:val="21"/>
        </w:rPr>
      </w:pPr>
    </w:p>
    <w:p w14:paraId="57E32CB7" w14:textId="77777777" w:rsidR="009E73DC" w:rsidRDefault="00000000">
      <w:pPr>
        <w:pStyle w:val="a2"/>
        <w:spacing w:before="156" w:after="156"/>
        <w:rPr>
          <w:rFonts w:ascii="Times New Roman"/>
        </w:rPr>
      </w:pPr>
      <w:r>
        <w:rPr>
          <w:rFonts w:ascii="Times New Roman"/>
        </w:rPr>
        <w:t>单元过程</w:t>
      </w:r>
      <w:r>
        <w:rPr>
          <w:rFonts w:ascii="Times New Roman"/>
        </w:rPr>
        <w:t xml:space="preserve"> unit process</w:t>
      </w:r>
    </w:p>
    <w:p w14:paraId="413745D7" w14:textId="77777777" w:rsidR="009E73DC" w:rsidRDefault="00000000">
      <w:pPr>
        <w:ind w:firstLineChars="200" w:firstLine="420"/>
        <w:rPr>
          <w:szCs w:val="21"/>
        </w:rPr>
      </w:pPr>
      <w:r>
        <w:rPr>
          <w:szCs w:val="21"/>
        </w:rPr>
        <w:t>生命周期评价中为量化输入和输出数据而确定的最基本部分。</w:t>
      </w:r>
    </w:p>
    <w:p w14:paraId="007F2F63" w14:textId="77777777" w:rsidR="009E73DC" w:rsidRDefault="00000000">
      <w:pPr>
        <w:ind w:firstLineChars="200" w:firstLine="420"/>
        <w:rPr>
          <w:szCs w:val="21"/>
        </w:rPr>
      </w:pPr>
      <w:r>
        <w:rPr>
          <w:szCs w:val="21"/>
        </w:rPr>
        <w:t>[</w:t>
      </w:r>
      <w:r>
        <w:rPr>
          <w:szCs w:val="21"/>
        </w:rPr>
        <w:t>来源</w:t>
      </w:r>
      <w:r>
        <w:rPr>
          <w:szCs w:val="21"/>
        </w:rPr>
        <w:t>:GB/T 24040-2008</w:t>
      </w:r>
      <w:r>
        <w:rPr>
          <w:szCs w:val="21"/>
        </w:rPr>
        <w:t>，</w:t>
      </w:r>
      <w:r>
        <w:rPr>
          <w:szCs w:val="21"/>
        </w:rPr>
        <w:t>3.34</w:t>
      </w:r>
      <w:r>
        <w:rPr>
          <w:szCs w:val="21"/>
        </w:rPr>
        <w:t>，有修改</w:t>
      </w:r>
      <w:r>
        <w:rPr>
          <w:szCs w:val="21"/>
        </w:rPr>
        <w:t>]</w:t>
      </w:r>
    </w:p>
    <w:p w14:paraId="2A499A1F" w14:textId="77777777" w:rsidR="009E73DC" w:rsidRDefault="009E73DC">
      <w:pPr>
        <w:ind w:firstLineChars="200" w:firstLine="420"/>
        <w:rPr>
          <w:szCs w:val="21"/>
        </w:rPr>
      </w:pPr>
    </w:p>
    <w:p w14:paraId="64AA50BB" w14:textId="77777777" w:rsidR="009E73DC" w:rsidRDefault="00000000">
      <w:pPr>
        <w:pStyle w:val="a2"/>
        <w:spacing w:before="156" w:after="156"/>
        <w:rPr>
          <w:rFonts w:ascii="Times New Roman"/>
        </w:rPr>
      </w:pPr>
      <w:proofErr w:type="gramStart"/>
      <w:r>
        <w:rPr>
          <w:rFonts w:ascii="Times New Roman"/>
        </w:rPr>
        <w:t>离网电力</w:t>
      </w:r>
      <w:proofErr w:type="gramEnd"/>
      <w:r>
        <w:rPr>
          <w:rFonts w:ascii="Times New Roman"/>
        </w:rPr>
        <w:t xml:space="preserve"> Off-grid power</w:t>
      </w:r>
    </w:p>
    <w:p w14:paraId="74E8077C" w14:textId="77777777" w:rsidR="009E73DC" w:rsidRDefault="00000000">
      <w:pPr>
        <w:pStyle w:val="a3"/>
        <w:numPr>
          <w:ilvl w:val="2"/>
          <w:numId w:val="0"/>
        </w:numPr>
        <w:ind w:firstLineChars="200" w:firstLine="420"/>
        <w:rPr>
          <w:rFonts w:ascii="Times New Roman"/>
          <w:szCs w:val="21"/>
        </w:rPr>
      </w:pPr>
      <w:r>
        <w:rPr>
          <w:rFonts w:ascii="Times New Roman"/>
          <w:szCs w:val="21"/>
        </w:rPr>
        <w:t>指未与公共电网连接，独立运行的可再生能源发电系统所提供的电力。</w:t>
      </w:r>
    </w:p>
    <w:p w14:paraId="047417A3" w14:textId="77777777" w:rsidR="009E73DC" w:rsidRDefault="009E73DC">
      <w:pPr>
        <w:pStyle w:val="afffffff5"/>
        <w:ind w:firstLine="420"/>
      </w:pPr>
    </w:p>
    <w:p w14:paraId="74BB77CB" w14:textId="77777777" w:rsidR="009E73DC" w:rsidRDefault="00000000">
      <w:pPr>
        <w:pStyle w:val="a2"/>
        <w:spacing w:before="156" w:after="156"/>
        <w:rPr>
          <w:rFonts w:ascii="Times New Roman"/>
        </w:rPr>
      </w:pPr>
      <w:r>
        <w:rPr>
          <w:rFonts w:ascii="Times New Roman"/>
        </w:rPr>
        <w:t>绿色电力</w:t>
      </w:r>
      <w:r>
        <w:rPr>
          <w:rFonts w:ascii="Times New Roman"/>
        </w:rPr>
        <w:t xml:space="preserve"> Green electricity</w:t>
      </w:r>
    </w:p>
    <w:p w14:paraId="56EF8DB2" w14:textId="77777777" w:rsidR="009E73DC" w:rsidRDefault="00000000">
      <w:pPr>
        <w:ind w:firstLineChars="200" w:firstLine="420"/>
        <w:rPr>
          <w:szCs w:val="21"/>
        </w:rPr>
      </w:pPr>
      <w:r>
        <w:rPr>
          <w:szCs w:val="21"/>
        </w:rPr>
        <w:t>指通过购买绿色电力的方式获得的由可再生能源发电设施产生的电力。企业应获取第三方机构</w:t>
      </w:r>
      <w:proofErr w:type="gramStart"/>
      <w:r>
        <w:rPr>
          <w:szCs w:val="21"/>
        </w:rPr>
        <w:t>对绿电使用</w:t>
      </w:r>
      <w:proofErr w:type="gramEnd"/>
      <w:r>
        <w:rPr>
          <w:szCs w:val="21"/>
        </w:rPr>
        <w:t>的认证，确保制取可再生</w:t>
      </w:r>
      <w:proofErr w:type="gramStart"/>
      <w:r>
        <w:rPr>
          <w:szCs w:val="21"/>
        </w:rPr>
        <w:t>氢使用</w:t>
      </w:r>
      <w:proofErr w:type="gramEnd"/>
      <w:r>
        <w:rPr>
          <w:szCs w:val="21"/>
        </w:rPr>
        <w:t>的电力为绿电。</w:t>
      </w:r>
    </w:p>
    <w:p w14:paraId="3F1BD5AF" w14:textId="77777777" w:rsidR="009E73DC" w:rsidRDefault="009E73DC">
      <w:pPr>
        <w:ind w:firstLineChars="200" w:firstLine="420"/>
        <w:rPr>
          <w:szCs w:val="21"/>
        </w:rPr>
      </w:pPr>
    </w:p>
    <w:p w14:paraId="29E16342" w14:textId="77777777" w:rsidR="009E73DC" w:rsidRDefault="00000000">
      <w:pPr>
        <w:pStyle w:val="a2"/>
        <w:spacing w:before="156" w:after="156"/>
        <w:rPr>
          <w:rFonts w:ascii="Times New Roman"/>
        </w:rPr>
      </w:pPr>
      <w:r>
        <w:rPr>
          <w:rFonts w:ascii="Times New Roman"/>
        </w:rPr>
        <w:t>组织自产并网的可再生能源电力</w:t>
      </w:r>
      <w:r>
        <w:rPr>
          <w:rFonts w:ascii="Times New Roman"/>
        </w:rPr>
        <w:t xml:space="preserve"> Organizationally produced and grid-connected renewable energy electricity</w:t>
      </w:r>
    </w:p>
    <w:p w14:paraId="46A995CC" w14:textId="77777777" w:rsidR="009E73DC" w:rsidRDefault="00000000">
      <w:pPr>
        <w:ind w:firstLineChars="200" w:firstLine="420"/>
        <w:rPr>
          <w:szCs w:val="21"/>
        </w:rPr>
      </w:pPr>
      <w:r>
        <w:rPr>
          <w:szCs w:val="21"/>
        </w:rPr>
        <w:t>指组织自身拥有的可再生能源发电设施所产生的电力，该电力并入公共电网后，由组织自行使用。</w:t>
      </w:r>
    </w:p>
    <w:p w14:paraId="72E47D23" w14:textId="77777777" w:rsidR="009E73DC" w:rsidRDefault="009E73DC">
      <w:pPr>
        <w:ind w:firstLineChars="200" w:firstLine="420"/>
        <w:rPr>
          <w:szCs w:val="21"/>
        </w:rPr>
      </w:pPr>
    </w:p>
    <w:p w14:paraId="42A1933D" w14:textId="77777777" w:rsidR="009E73DC" w:rsidRDefault="00000000">
      <w:pPr>
        <w:pStyle w:val="a2"/>
        <w:spacing w:before="156" w:after="156"/>
        <w:rPr>
          <w:rFonts w:ascii="Times New Roman"/>
        </w:rPr>
      </w:pPr>
      <w:r>
        <w:rPr>
          <w:rFonts w:ascii="Times New Roman"/>
        </w:rPr>
        <w:t>初级数据</w:t>
      </w:r>
      <w:r>
        <w:rPr>
          <w:rFonts w:ascii="Times New Roman"/>
        </w:rPr>
        <w:t xml:space="preserve">  primary data</w:t>
      </w:r>
    </w:p>
    <w:p w14:paraId="4B9A57D0" w14:textId="77777777" w:rsidR="009E73DC" w:rsidRDefault="00000000">
      <w:pPr>
        <w:ind w:firstLineChars="200" w:firstLine="420"/>
        <w:rPr>
          <w:szCs w:val="21"/>
        </w:rPr>
      </w:pPr>
      <w:r>
        <w:rPr>
          <w:szCs w:val="21"/>
        </w:rPr>
        <w:t>通过在原始源直接测量或基于直接测量的计算而得到的单元过程或活动的量化值。</w:t>
      </w:r>
      <w:r>
        <w:rPr>
          <w:szCs w:val="21"/>
        </w:rPr>
        <w:t xml:space="preserve"> </w:t>
      </w:r>
    </w:p>
    <w:p w14:paraId="7B27996E" w14:textId="77777777" w:rsidR="009E73DC" w:rsidRDefault="00000000">
      <w:pPr>
        <w:ind w:firstLineChars="200" w:firstLine="420"/>
        <w:rPr>
          <w:szCs w:val="21"/>
        </w:rPr>
      </w:pPr>
      <w:r>
        <w:rPr>
          <w:szCs w:val="21"/>
        </w:rPr>
        <w:t>注：初级数据并非必须来自所评价的产品系统，因为初级数据可能涉及其他与所评价的产品系统具有可比性的产品</w:t>
      </w:r>
      <w:r>
        <w:rPr>
          <w:szCs w:val="21"/>
        </w:rPr>
        <w:t xml:space="preserve"> </w:t>
      </w:r>
      <w:r>
        <w:rPr>
          <w:szCs w:val="21"/>
        </w:rPr>
        <w:t>系统。</w:t>
      </w:r>
    </w:p>
    <w:p w14:paraId="39360D1E" w14:textId="77777777" w:rsidR="009E73DC" w:rsidRDefault="00000000">
      <w:pPr>
        <w:ind w:firstLineChars="200" w:firstLine="420"/>
        <w:rPr>
          <w:szCs w:val="21"/>
        </w:rPr>
      </w:pPr>
      <w:r>
        <w:rPr>
          <w:szCs w:val="21"/>
        </w:rPr>
        <w:t>[</w:t>
      </w:r>
      <w:r>
        <w:rPr>
          <w:szCs w:val="21"/>
        </w:rPr>
        <w:t>来源：</w:t>
      </w:r>
      <w:r>
        <w:rPr>
          <w:szCs w:val="21"/>
        </w:rPr>
        <w:t>ISO/TS 14067:2013</w:t>
      </w:r>
      <w:r>
        <w:rPr>
          <w:szCs w:val="21"/>
        </w:rPr>
        <w:t>，定义</w:t>
      </w:r>
      <w:r>
        <w:rPr>
          <w:szCs w:val="21"/>
        </w:rPr>
        <w:t xml:space="preserve"> 3.1.7.1]</w:t>
      </w:r>
    </w:p>
    <w:p w14:paraId="69A210FC" w14:textId="77777777" w:rsidR="009E73DC" w:rsidRDefault="009E73DC">
      <w:pPr>
        <w:ind w:firstLineChars="200" w:firstLine="420"/>
        <w:rPr>
          <w:szCs w:val="21"/>
        </w:rPr>
      </w:pPr>
    </w:p>
    <w:p w14:paraId="097292A1" w14:textId="77777777" w:rsidR="009E73DC" w:rsidRDefault="00000000">
      <w:pPr>
        <w:pStyle w:val="a2"/>
        <w:spacing w:before="156" w:after="156"/>
        <w:rPr>
          <w:rFonts w:ascii="Times New Roman"/>
        </w:rPr>
      </w:pPr>
      <w:r>
        <w:rPr>
          <w:rFonts w:ascii="Times New Roman"/>
        </w:rPr>
        <w:lastRenderedPageBreak/>
        <w:t>次集数据</w:t>
      </w:r>
      <w:r>
        <w:rPr>
          <w:rFonts w:ascii="Times New Roman"/>
        </w:rPr>
        <w:t xml:space="preserve"> secondary data</w:t>
      </w:r>
    </w:p>
    <w:p w14:paraId="0B6FE05E" w14:textId="77777777" w:rsidR="009E73DC" w:rsidRDefault="00000000">
      <w:pPr>
        <w:ind w:firstLineChars="200" w:firstLine="420"/>
        <w:rPr>
          <w:szCs w:val="21"/>
        </w:rPr>
      </w:pPr>
      <w:r>
        <w:rPr>
          <w:szCs w:val="21"/>
        </w:rPr>
        <w:t>通过在原始源直接测量或基于直接测量的计算以外的方式获得的单元过程或活动的量化值。</w:t>
      </w:r>
    </w:p>
    <w:p w14:paraId="5DFF1A43" w14:textId="77777777" w:rsidR="009E73DC" w:rsidRDefault="00000000">
      <w:pPr>
        <w:ind w:firstLineChars="200" w:firstLine="420"/>
        <w:rPr>
          <w:szCs w:val="21"/>
        </w:rPr>
      </w:pPr>
      <w:r>
        <w:rPr>
          <w:szCs w:val="21"/>
        </w:rPr>
        <w:t>注：次级数据的来源可包括数据库和有关部门批准发布的资料。</w:t>
      </w:r>
      <w:r>
        <w:rPr>
          <w:szCs w:val="21"/>
        </w:rPr>
        <w:t xml:space="preserve"> </w:t>
      </w:r>
    </w:p>
    <w:p w14:paraId="1E9F6B50" w14:textId="77777777" w:rsidR="009E73DC" w:rsidRDefault="00000000">
      <w:pPr>
        <w:ind w:firstLineChars="200" w:firstLine="420"/>
        <w:rPr>
          <w:szCs w:val="21"/>
        </w:rPr>
      </w:pPr>
      <w:r>
        <w:rPr>
          <w:szCs w:val="21"/>
        </w:rPr>
        <w:t>[</w:t>
      </w:r>
      <w:r>
        <w:rPr>
          <w:szCs w:val="21"/>
        </w:rPr>
        <w:t>来源</w:t>
      </w:r>
      <w:r>
        <w:rPr>
          <w:szCs w:val="21"/>
        </w:rPr>
        <w:t>:ISO/TS 14067:2013</w:t>
      </w:r>
      <w:r>
        <w:rPr>
          <w:szCs w:val="21"/>
        </w:rPr>
        <w:t>，定义</w:t>
      </w:r>
      <w:r>
        <w:rPr>
          <w:szCs w:val="21"/>
        </w:rPr>
        <w:t xml:space="preserve"> 3.1.7.3]</w:t>
      </w:r>
    </w:p>
    <w:p w14:paraId="64E48FE9" w14:textId="77777777" w:rsidR="009E73DC" w:rsidRDefault="009E73DC">
      <w:pPr>
        <w:ind w:firstLineChars="200" w:firstLine="420"/>
        <w:rPr>
          <w:szCs w:val="21"/>
        </w:rPr>
      </w:pPr>
    </w:p>
    <w:p w14:paraId="2F71D229" w14:textId="77777777" w:rsidR="009E73DC" w:rsidRDefault="00000000">
      <w:pPr>
        <w:pStyle w:val="a2"/>
        <w:spacing w:before="156" w:after="156"/>
        <w:rPr>
          <w:rFonts w:ascii="Times New Roman"/>
        </w:rPr>
      </w:pPr>
      <w:r>
        <w:rPr>
          <w:rFonts w:ascii="Times New Roman"/>
        </w:rPr>
        <w:t>氢气站</w:t>
      </w:r>
      <w:r>
        <w:rPr>
          <w:rFonts w:ascii="Times New Roman"/>
        </w:rPr>
        <w:t xml:space="preserve"> hydrogen station</w:t>
      </w:r>
    </w:p>
    <w:p w14:paraId="3C9833AE" w14:textId="77777777" w:rsidR="009E73DC" w:rsidRDefault="00000000">
      <w:pPr>
        <w:ind w:firstLineChars="200" w:firstLine="420"/>
        <w:rPr>
          <w:szCs w:val="21"/>
        </w:rPr>
      </w:pPr>
      <w:r>
        <w:rPr>
          <w:rFonts w:hint="eastAsia"/>
          <w:szCs w:val="21"/>
        </w:rPr>
        <w:t>采用相关的工艺</w:t>
      </w:r>
      <w:r>
        <w:rPr>
          <w:rFonts w:hint="eastAsia"/>
          <w:szCs w:val="21"/>
        </w:rPr>
        <w:t>(</w:t>
      </w:r>
      <w:r>
        <w:rPr>
          <w:rFonts w:hint="eastAsia"/>
          <w:szCs w:val="21"/>
        </w:rPr>
        <w:t>如水电解，天然气转化气、甲醇转化气、焦炉煤气、水煤气等为原料</w:t>
      </w:r>
      <w:r>
        <w:rPr>
          <w:rFonts w:hint="eastAsia"/>
          <w:szCs w:val="21"/>
        </w:rPr>
        <w:t xml:space="preserve"> </w:t>
      </w:r>
      <w:r>
        <w:rPr>
          <w:rFonts w:hint="eastAsia"/>
          <w:szCs w:val="21"/>
        </w:rPr>
        <w:t>气的变压吸附等</w:t>
      </w:r>
      <w:r>
        <w:rPr>
          <w:rFonts w:hint="eastAsia"/>
          <w:szCs w:val="21"/>
        </w:rPr>
        <w:t>)</w:t>
      </w:r>
      <w:r>
        <w:rPr>
          <w:rFonts w:hint="eastAsia"/>
          <w:szCs w:val="21"/>
        </w:rPr>
        <w:t>制取氢气所需的工艺设施、灌充设施、压缩和储存设施、辅助设施及</w:t>
      </w:r>
      <w:r>
        <w:rPr>
          <w:rFonts w:hint="eastAsia"/>
          <w:szCs w:val="21"/>
        </w:rPr>
        <w:t xml:space="preserve"> </w:t>
      </w:r>
      <w:r>
        <w:rPr>
          <w:rFonts w:hint="eastAsia"/>
          <w:szCs w:val="21"/>
        </w:rPr>
        <w:t>其建筑物、构筑物或场所的统称。</w:t>
      </w:r>
    </w:p>
    <w:p w14:paraId="36036A4F" w14:textId="77777777" w:rsidR="009E73DC" w:rsidRDefault="00000000">
      <w:pPr>
        <w:ind w:firstLineChars="200" w:firstLine="420"/>
        <w:rPr>
          <w:szCs w:val="21"/>
        </w:rPr>
      </w:pPr>
      <w:r>
        <w:rPr>
          <w:szCs w:val="21"/>
        </w:rPr>
        <w:t>[</w:t>
      </w:r>
      <w:r>
        <w:rPr>
          <w:szCs w:val="21"/>
        </w:rPr>
        <w:t>来源：</w:t>
      </w:r>
      <w:r>
        <w:rPr>
          <w:szCs w:val="21"/>
        </w:rPr>
        <w:t>GB 50177-2005</w:t>
      </w:r>
      <w:r>
        <w:rPr>
          <w:rFonts w:hint="eastAsia"/>
          <w:szCs w:val="21"/>
        </w:rPr>
        <w:t xml:space="preserve"> </w:t>
      </w:r>
      <w:r>
        <w:rPr>
          <w:rFonts w:hint="eastAsia"/>
          <w:szCs w:val="21"/>
        </w:rPr>
        <w:t>定义</w:t>
      </w:r>
      <w:r>
        <w:rPr>
          <w:rFonts w:hint="eastAsia"/>
          <w:szCs w:val="21"/>
        </w:rPr>
        <w:t>2.0.1</w:t>
      </w:r>
      <w:r>
        <w:rPr>
          <w:szCs w:val="21"/>
        </w:rPr>
        <w:t>]</w:t>
      </w:r>
    </w:p>
    <w:p w14:paraId="3C123935" w14:textId="77777777" w:rsidR="009E73DC" w:rsidRDefault="009E73DC"/>
    <w:p w14:paraId="22297E4C" w14:textId="77777777" w:rsidR="009E73DC" w:rsidRDefault="00000000">
      <w:pPr>
        <w:pStyle w:val="a1"/>
        <w:spacing w:before="312" w:after="312"/>
        <w:outlineLvl w:val="0"/>
        <w:rPr>
          <w:rFonts w:ascii="Times New Roman"/>
        </w:rPr>
      </w:pPr>
      <w:bookmarkStart w:id="32" w:name="_Toc2916"/>
      <w:r>
        <w:rPr>
          <w:rFonts w:ascii="Times New Roman"/>
          <w:color w:val="000000" w:themeColor="text1"/>
        </w:rPr>
        <w:t>基本要求</w:t>
      </w:r>
      <w:bookmarkEnd w:id="32"/>
    </w:p>
    <w:p w14:paraId="2CDEED7F" w14:textId="77777777" w:rsidR="009E73DC" w:rsidRDefault="00000000">
      <w:pPr>
        <w:pStyle w:val="a2"/>
        <w:spacing w:before="156" w:after="156"/>
        <w:outlineLvl w:val="1"/>
        <w:rPr>
          <w:rFonts w:ascii="Times New Roman" w:eastAsia="宋体"/>
          <w:b/>
          <w:szCs w:val="22"/>
        </w:rPr>
      </w:pPr>
      <w:bookmarkStart w:id="33" w:name="_Toc21213"/>
      <w:bookmarkStart w:id="34" w:name="_Toc27368"/>
      <w:bookmarkStart w:id="35" w:name="_Toc2597"/>
      <w:bookmarkStart w:id="36" w:name="_Toc45628255"/>
      <w:bookmarkStart w:id="37" w:name="_Toc51059393"/>
      <w:bookmarkStart w:id="38" w:name="_Toc45633639"/>
      <w:bookmarkStart w:id="39" w:name="_Toc39751686"/>
      <w:bookmarkStart w:id="40" w:name="_Hlk44494585"/>
      <w:r>
        <w:rPr>
          <w:rFonts w:ascii="Times New Roman"/>
          <w:bCs/>
          <w:szCs w:val="22"/>
        </w:rPr>
        <w:t>对电力来源的要求</w:t>
      </w:r>
      <w:bookmarkEnd w:id="33"/>
      <w:bookmarkEnd w:id="34"/>
      <w:bookmarkEnd w:id="35"/>
    </w:p>
    <w:p w14:paraId="7F49EA57" w14:textId="77777777" w:rsidR="009E73DC" w:rsidRDefault="00000000">
      <w:pPr>
        <w:pStyle w:val="a3"/>
        <w:numPr>
          <w:ilvl w:val="2"/>
          <w:numId w:val="0"/>
        </w:numPr>
        <w:ind w:firstLineChars="200" w:firstLine="420"/>
      </w:pPr>
      <w:r>
        <w:t>可</w:t>
      </w:r>
      <w:proofErr w:type="gramStart"/>
      <w:r>
        <w:t>再生氢所使用</w:t>
      </w:r>
      <w:proofErr w:type="gramEnd"/>
      <w:r>
        <w:t>的电力应来自以下</w:t>
      </w:r>
      <w:r>
        <w:rPr>
          <w:rFonts w:hint="eastAsia"/>
        </w:rPr>
        <w:t>一种或多种</w:t>
      </w:r>
      <w:r>
        <w:t>情形：</w:t>
      </w:r>
    </w:p>
    <w:p w14:paraId="51AFF734" w14:textId="77777777" w:rsidR="009E73DC" w:rsidRDefault="00000000">
      <w:pPr>
        <w:pStyle w:val="afff"/>
        <w:widowControl/>
        <w:shd w:val="clear" w:color="auto" w:fill="FFFFFF"/>
        <w:spacing w:beforeAutospacing="0" w:afterAutospacing="0"/>
        <w:ind w:firstLineChars="200" w:firstLine="440"/>
        <w:rPr>
          <w:rFonts w:ascii="宋体" w:hAnsi="宋体" w:cs="宋体" w:hint="eastAsia"/>
          <w:color w:val="1B1C21"/>
          <w:spacing w:val="5"/>
          <w:sz w:val="21"/>
          <w:szCs w:val="21"/>
          <w:shd w:val="clear" w:color="auto" w:fill="FFFFFF"/>
        </w:rPr>
      </w:pPr>
      <w:r>
        <w:rPr>
          <w:rFonts w:ascii="宋体" w:hAnsi="宋体" w:cs="宋体" w:hint="eastAsia"/>
          <w:color w:val="1B1C21"/>
          <w:spacing w:val="5"/>
          <w:sz w:val="21"/>
          <w:szCs w:val="21"/>
          <w:shd w:val="clear" w:color="auto" w:fill="FFFFFF"/>
        </w:rPr>
        <w:t>1）</w:t>
      </w:r>
      <w:proofErr w:type="gramStart"/>
      <w:r>
        <w:rPr>
          <w:rFonts w:ascii="宋体" w:hAnsi="宋体" w:cs="宋体" w:hint="eastAsia"/>
          <w:color w:val="1B1C21"/>
          <w:spacing w:val="5"/>
          <w:sz w:val="21"/>
          <w:szCs w:val="21"/>
          <w:shd w:val="clear" w:color="auto" w:fill="FFFFFF"/>
        </w:rPr>
        <w:t>离网电力</w:t>
      </w:r>
      <w:proofErr w:type="gramEnd"/>
    </w:p>
    <w:p w14:paraId="66AB596F" w14:textId="77777777" w:rsidR="009E73DC" w:rsidRDefault="00000000">
      <w:pPr>
        <w:pStyle w:val="afff"/>
        <w:widowControl/>
        <w:shd w:val="clear" w:color="auto" w:fill="FFFFFF"/>
        <w:spacing w:beforeAutospacing="0" w:afterAutospacing="0"/>
        <w:ind w:firstLineChars="200" w:firstLine="440"/>
        <w:rPr>
          <w:rFonts w:ascii="宋体" w:hAnsi="宋体" w:cs="宋体" w:hint="eastAsia"/>
          <w:color w:val="1B1C21"/>
          <w:spacing w:val="5"/>
          <w:sz w:val="21"/>
          <w:szCs w:val="21"/>
          <w:shd w:val="clear" w:color="auto" w:fill="FFFFFF"/>
        </w:rPr>
      </w:pPr>
      <w:r>
        <w:rPr>
          <w:rFonts w:ascii="宋体" w:hAnsi="宋体" w:cs="宋体" w:hint="eastAsia"/>
          <w:color w:val="1B1C21"/>
          <w:spacing w:val="5"/>
          <w:sz w:val="21"/>
          <w:szCs w:val="21"/>
          <w:shd w:val="clear" w:color="auto" w:fill="FFFFFF"/>
        </w:rPr>
        <w:t>2）绿色电力</w:t>
      </w:r>
    </w:p>
    <w:p w14:paraId="5692E578" w14:textId="77777777" w:rsidR="009E73DC" w:rsidRDefault="00000000">
      <w:pPr>
        <w:pStyle w:val="afff"/>
        <w:widowControl/>
        <w:shd w:val="clear" w:color="auto" w:fill="FFFFFF"/>
        <w:spacing w:beforeAutospacing="0" w:afterAutospacing="0"/>
        <w:ind w:firstLineChars="200" w:firstLine="440"/>
        <w:rPr>
          <w:rFonts w:ascii="宋体" w:hAnsi="宋体" w:cs="宋体" w:hint="eastAsia"/>
          <w:color w:val="1B1C21"/>
          <w:spacing w:val="5"/>
          <w:sz w:val="21"/>
          <w:szCs w:val="21"/>
          <w:shd w:val="clear" w:color="auto" w:fill="FFFFFF"/>
        </w:rPr>
      </w:pPr>
      <w:r>
        <w:rPr>
          <w:rFonts w:ascii="宋体" w:hAnsi="宋体" w:cs="宋体" w:hint="eastAsia"/>
          <w:color w:val="1B1C21"/>
          <w:spacing w:val="5"/>
          <w:sz w:val="21"/>
          <w:szCs w:val="21"/>
          <w:shd w:val="clear" w:color="auto" w:fill="FFFFFF"/>
        </w:rPr>
        <w:t>3）组织自产并网的可再生能源电力</w:t>
      </w:r>
    </w:p>
    <w:p w14:paraId="5C7A06E2" w14:textId="77777777" w:rsidR="009E73DC" w:rsidRDefault="00000000">
      <w:pPr>
        <w:pStyle w:val="a2"/>
        <w:spacing w:before="156" w:after="156"/>
        <w:outlineLvl w:val="1"/>
        <w:rPr>
          <w:rFonts w:ascii="Times New Roman" w:eastAsia="宋体"/>
          <w:bCs/>
          <w:szCs w:val="22"/>
        </w:rPr>
      </w:pPr>
      <w:bookmarkStart w:id="41" w:name="_Toc15860"/>
      <w:bookmarkStart w:id="42" w:name="_Toc26834"/>
      <w:bookmarkStart w:id="43" w:name="_Toc6051"/>
      <w:r>
        <w:rPr>
          <w:rFonts w:ascii="Times New Roman"/>
          <w:bCs/>
          <w:szCs w:val="22"/>
        </w:rPr>
        <w:t>对单位产品碳排放量的要求</w:t>
      </w:r>
      <w:bookmarkEnd w:id="41"/>
      <w:bookmarkEnd w:id="42"/>
      <w:bookmarkEnd w:id="43"/>
    </w:p>
    <w:p w14:paraId="5066E138" w14:textId="77777777" w:rsidR="009E73DC" w:rsidRDefault="00000000">
      <w:pPr>
        <w:pStyle w:val="a3"/>
        <w:ind w:left="0"/>
        <w:rPr>
          <w:rFonts w:ascii="Times New Roman"/>
        </w:rPr>
      </w:pPr>
      <w:r>
        <w:rPr>
          <w:rFonts w:ascii="Times New Roman"/>
        </w:rPr>
        <w:t>在本标准中，</w:t>
      </w:r>
      <w:r>
        <w:rPr>
          <w:rFonts w:ascii="Times New Roman" w:hint="eastAsia"/>
        </w:rPr>
        <w:t>可再生氢的</w:t>
      </w:r>
      <w:r>
        <w:rPr>
          <w:rFonts w:ascii="Times New Roman"/>
        </w:rPr>
        <w:t>单位</w:t>
      </w:r>
      <w:r>
        <w:rPr>
          <w:rFonts w:ascii="Times New Roman" w:hint="eastAsia"/>
        </w:rPr>
        <w:t>氢气</w:t>
      </w:r>
      <w:r>
        <w:rPr>
          <w:rFonts w:ascii="Times New Roman"/>
        </w:rPr>
        <w:t>碳排放量应</w:t>
      </w:r>
      <w:r>
        <w:rPr>
          <w:rFonts w:ascii="Times New Roman" w:hint="eastAsia"/>
        </w:rPr>
        <w:t>小于等于</w:t>
      </w:r>
      <w:r>
        <w:rPr>
          <w:rFonts w:ascii="Times New Roman" w:hint="eastAsia"/>
        </w:rPr>
        <w:t xml:space="preserve">4.9 </w:t>
      </w:r>
      <w:r>
        <w:rPr>
          <w:rFonts w:ascii="Arial" w:hAnsi="Arial" w:hint="eastAsia"/>
          <w:color w:val="000000"/>
          <w:sz w:val="18"/>
          <w:szCs w:val="24"/>
        </w:rPr>
        <w:t>kgCO</w:t>
      </w:r>
      <w:r>
        <w:rPr>
          <w:rFonts w:ascii="Arial" w:hAnsi="Arial" w:hint="eastAsia"/>
          <w:color w:val="000000"/>
          <w:sz w:val="12"/>
          <w:szCs w:val="24"/>
        </w:rPr>
        <w:t>2</w:t>
      </w:r>
      <w:r>
        <w:rPr>
          <w:rFonts w:ascii="Arial" w:hAnsi="Arial" w:hint="eastAsia"/>
          <w:color w:val="000000"/>
          <w:sz w:val="18"/>
          <w:szCs w:val="24"/>
        </w:rPr>
        <w:t>e/kgH</w:t>
      </w:r>
      <w:r>
        <w:rPr>
          <w:rFonts w:ascii="Arial" w:hAnsi="Arial" w:hint="eastAsia"/>
          <w:color w:val="000000"/>
          <w:sz w:val="12"/>
          <w:szCs w:val="24"/>
        </w:rPr>
        <w:t>2</w:t>
      </w:r>
    </w:p>
    <w:p w14:paraId="15DB0860" w14:textId="77777777" w:rsidR="009E73DC" w:rsidRDefault="00000000">
      <w:pPr>
        <w:pStyle w:val="a3"/>
        <w:numPr>
          <w:ilvl w:val="2"/>
          <w:numId w:val="0"/>
        </w:numPr>
        <w:ind w:firstLineChars="200" w:firstLine="440"/>
        <w:rPr>
          <w:rFonts w:ascii="楷体" w:eastAsia="楷体" w:hAnsi="楷体" w:cs="楷体" w:hint="eastAsia"/>
          <w:color w:val="1B1C21"/>
          <w:spacing w:val="5"/>
          <w:szCs w:val="21"/>
          <w:shd w:val="clear" w:color="auto" w:fill="FFFFFF"/>
        </w:rPr>
      </w:pPr>
      <w:r>
        <w:rPr>
          <w:rFonts w:ascii="楷体" w:eastAsia="楷体" w:hAnsi="楷体" w:cs="楷体" w:hint="eastAsia"/>
          <w:color w:val="1B1C21"/>
          <w:spacing w:val="5"/>
          <w:szCs w:val="21"/>
          <w:shd w:val="clear" w:color="auto" w:fill="FFFFFF"/>
        </w:rPr>
        <w:t>注：单位氢气碳排放量基于整个生命周期内的碳排放计算所得。</w:t>
      </w:r>
    </w:p>
    <w:p w14:paraId="0EDCF4FD" w14:textId="77777777" w:rsidR="009E73DC" w:rsidRDefault="00000000">
      <w:pPr>
        <w:pStyle w:val="a3"/>
        <w:ind w:left="0"/>
        <w:rPr>
          <w:rFonts w:ascii="Times New Roman" w:eastAsia="PingFang SC-Regular"/>
          <w:color w:val="1B1C21"/>
          <w:spacing w:val="5"/>
          <w:szCs w:val="21"/>
          <w:shd w:val="clear" w:color="auto" w:fill="FFFFFF"/>
        </w:rPr>
      </w:pPr>
      <w:r>
        <w:rPr>
          <w:rFonts w:ascii="Times New Roman" w:eastAsia="PingFang SC-Regular" w:hint="eastAsia"/>
          <w:color w:val="1B1C21"/>
          <w:spacing w:val="5"/>
          <w:szCs w:val="21"/>
          <w:shd w:val="clear" w:color="auto" w:fill="FFFFFF"/>
        </w:rPr>
        <w:t>单位氢气的碳排放量的确认应遵循</w:t>
      </w:r>
      <w:r>
        <w:rPr>
          <w:rFonts w:ascii="Times New Roman" w:eastAsia="PingFang SC-Regular" w:hint="eastAsia"/>
          <w:color w:val="1B1C21"/>
          <w:spacing w:val="5"/>
          <w:szCs w:val="21"/>
          <w:shd w:val="clear" w:color="auto" w:fill="FFFFFF"/>
        </w:rPr>
        <w:t>ISO 14067:2018</w:t>
      </w:r>
      <w:r>
        <w:rPr>
          <w:rFonts w:ascii="Times New Roman" w:eastAsia="PingFang SC-Regular" w:hint="eastAsia"/>
          <w:color w:val="1B1C21"/>
          <w:spacing w:val="5"/>
          <w:szCs w:val="21"/>
          <w:shd w:val="clear" w:color="auto" w:fill="FFFFFF"/>
        </w:rPr>
        <w:t>《温室气体</w:t>
      </w:r>
      <w:r>
        <w:rPr>
          <w:rFonts w:ascii="Times New Roman" w:eastAsia="PingFang SC-Regular" w:hint="eastAsia"/>
          <w:color w:val="1B1C21"/>
          <w:spacing w:val="5"/>
          <w:szCs w:val="21"/>
          <w:shd w:val="clear" w:color="auto" w:fill="FFFFFF"/>
        </w:rPr>
        <w:t>-</w:t>
      </w:r>
      <w:r>
        <w:rPr>
          <w:rFonts w:ascii="Times New Roman" w:eastAsia="PingFang SC-Regular" w:hint="eastAsia"/>
          <w:color w:val="1B1C21"/>
          <w:spacing w:val="5"/>
          <w:szCs w:val="21"/>
          <w:shd w:val="clear" w:color="auto" w:fill="FFFFFF"/>
        </w:rPr>
        <w:t>产品碳足迹</w:t>
      </w:r>
      <w:r>
        <w:rPr>
          <w:rFonts w:ascii="Times New Roman" w:eastAsia="PingFang SC-Regular" w:hint="eastAsia"/>
          <w:color w:val="1B1C21"/>
          <w:spacing w:val="5"/>
          <w:szCs w:val="21"/>
          <w:shd w:val="clear" w:color="auto" w:fill="FFFFFF"/>
        </w:rPr>
        <w:t>-</w:t>
      </w:r>
      <w:r>
        <w:rPr>
          <w:rFonts w:ascii="Times New Roman" w:eastAsia="PingFang SC-Regular" w:hint="eastAsia"/>
          <w:color w:val="1B1C21"/>
          <w:spacing w:val="5"/>
          <w:szCs w:val="21"/>
          <w:shd w:val="clear" w:color="auto" w:fill="FFFFFF"/>
        </w:rPr>
        <w:t>量化要求和指南》，并</w:t>
      </w:r>
      <w:r>
        <w:rPr>
          <w:rFonts w:ascii="Times New Roman" w:eastAsia="PingFang SC-Regular"/>
          <w:color w:val="1B1C21"/>
          <w:spacing w:val="5"/>
          <w:szCs w:val="21"/>
          <w:shd w:val="clear" w:color="auto" w:fill="FFFFFF"/>
        </w:rPr>
        <w:t>依据本标准第五章所规定的溯源规则进行详细追溯和计算单位</w:t>
      </w:r>
      <w:r>
        <w:rPr>
          <w:rFonts w:ascii="Times New Roman" w:eastAsia="PingFang SC-Regular" w:hint="eastAsia"/>
          <w:color w:val="1B1C21"/>
          <w:spacing w:val="5"/>
          <w:szCs w:val="21"/>
          <w:shd w:val="clear" w:color="auto" w:fill="FFFFFF"/>
        </w:rPr>
        <w:t>氢气</w:t>
      </w:r>
      <w:r>
        <w:rPr>
          <w:rFonts w:ascii="Times New Roman" w:eastAsia="PingFang SC-Regular"/>
          <w:color w:val="1B1C21"/>
          <w:spacing w:val="5"/>
          <w:szCs w:val="21"/>
          <w:shd w:val="clear" w:color="auto" w:fill="FFFFFF"/>
        </w:rPr>
        <w:t>碳排放量。</w:t>
      </w:r>
    </w:p>
    <w:p w14:paraId="4DAF4488" w14:textId="77777777" w:rsidR="009E73DC" w:rsidRDefault="00000000">
      <w:pPr>
        <w:pStyle w:val="a3"/>
        <w:ind w:left="0"/>
        <w:rPr>
          <w:rFonts w:ascii="Times New Roman" w:eastAsia="PingFang SC-Regular"/>
          <w:color w:val="1B1C21"/>
          <w:spacing w:val="5"/>
          <w:szCs w:val="21"/>
          <w:shd w:val="clear" w:color="auto" w:fill="FFFFFF"/>
        </w:rPr>
      </w:pPr>
      <w:r>
        <w:rPr>
          <w:rFonts w:ascii="Times New Roman" w:eastAsia="PingFang SC-Regular"/>
          <w:color w:val="1B1C21"/>
          <w:spacing w:val="5"/>
          <w:szCs w:val="21"/>
          <w:shd w:val="clear" w:color="auto" w:fill="FFFFFF"/>
        </w:rPr>
        <w:t>可再生氢的溯源功能单位为</w:t>
      </w:r>
      <w:r>
        <w:rPr>
          <w:rFonts w:ascii="Times New Roman" w:eastAsia="PingFang SC-Regular"/>
          <w:color w:val="1B1C21"/>
          <w:spacing w:val="5"/>
          <w:szCs w:val="21"/>
          <w:shd w:val="clear" w:color="auto" w:fill="FFFFFF"/>
        </w:rPr>
        <w:t>1kg</w:t>
      </w:r>
      <w:r>
        <w:rPr>
          <w:rFonts w:ascii="Times New Roman" w:eastAsia="PingFang SC-Regular"/>
          <w:color w:val="1B1C21"/>
          <w:spacing w:val="5"/>
          <w:szCs w:val="21"/>
          <w:shd w:val="clear" w:color="auto" w:fill="FFFFFF"/>
        </w:rPr>
        <w:t>氢气，氢气的状态参数为纯度大于等于</w:t>
      </w:r>
      <w:r>
        <w:rPr>
          <w:rFonts w:ascii="Times New Roman" w:eastAsia="PingFang SC-Regular"/>
          <w:color w:val="1B1C21"/>
          <w:spacing w:val="5"/>
          <w:szCs w:val="21"/>
          <w:shd w:val="clear" w:color="auto" w:fill="FFFFFF"/>
        </w:rPr>
        <w:t>99%</w:t>
      </w:r>
      <w:r>
        <w:rPr>
          <w:rFonts w:ascii="Times New Roman" w:eastAsia="PingFang SC-Regular"/>
          <w:color w:val="1B1C21"/>
          <w:spacing w:val="5"/>
          <w:szCs w:val="21"/>
          <w:shd w:val="clear" w:color="auto" w:fill="FFFFFF"/>
        </w:rPr>
        <w:t>，压力大于等于</w:t>
      </w:r>
      <w:r>
        <w:rPr>
          <w:rFonts w:ascii="Times New Roman" w:eastAsia="PingFang SC-Regular"/>
          <w:color w:val="1B1C21"/>
          <w:spacing w:val="5"/>
          <w:szCs w:val="21"/>
          <w:shd w:val="clear" w:color="auto" w:fill="FFFFFF"/>
        </w:rPr>
        <w:t xml:space="preserve"> 3MPa</w:t>
      </w:r>
      <w:r>
        <w:rPr>
          <w:rFonts w:ascii="Times New Roman" w:eastAsia="PingFang SC-Regular"/>
          <w:color w:val="1B1C21"/>
          <w:spacing w:val="5"/>
          <w:szCs w:val="21"/>
          <w:shd w:val="clear" w:color="auto" w:fill="FFFFFF"/>
        </w:rPr>
        <w:t>。当实际出产氢气与上述功能单位的纯度或压力不一致时，需将氢气进一步压缩至</w:t>
      </w:r>
      <w:r>
        <w:rPr>
          <w:rFonts w:ascii="Times New Roman" w:eastAsia="PingFang SC-Regular"/>
          <w:color w:val="1B1C21"/>
          <w:spacing w:val="5"/>
          <w:szCs w:val="21"/>
          <w:shd w:val="clear" w:color="auto" w:fill="FFFFFF"/>
        </w:rPr>
        <w:t xml:space="preserve"> 3MPa</w:t>
      </w:r>
      <w:r>
        <w:rPr>
          <w:rFonts w:ascii="Times New Roman" w:eastAsia="PingFang SC-Regular"/>
          <w:color w:val="1B1C21"/>
          <w:spacing w:val="5"/>
          <w:szCs w:val="21"/>
          <w:shd w:val="clear" w:color="auto" w:fill="FFFFFF"/>
        </w:rPr>
        <w:t>、纯度提高至</w:t>
      </w:r>
      <w:r>
        <w:rPr>
          <w:rFonts w:ascii="Times New Roman" w:eastAsia="PingFang SC-Regular"/>
          <w:color w:val="1B1C21"/>
          <w:spacing w:val="5"/>
          <w:szCs w:val="21"/>
          <w:shd w:val="clear" w:color="auto" w:fill="FFFFFF"/>
        </w:rPr>
        <w:t>99%</w:t>
      </w:r>
      <w:r>
        <w:rPr>
          <w:rFonts w:ascii="Times New Roman" w:eastAsia="PingFang SC-Regular"/>
          <w:color w:val="1B1C21"/>
          <w:spacing w:val="5"/>
          <w:szCs w:val="21"/>
          <w:shd w:val="clear" w:color="auto" w:fill="FFFFFF"/>
        </w:rPr>
        <w:t>状态所对应的碳排放量纳入到评价范围内。</w:t>
      </w:r>
    </w:p>
    <w:p w14:paraId="57E4FF34" w14:textId="77777777" w:rsidR="009E73DC" w:rsidRDefault="00000000">
      <w:pPr>
        <w:pStyle w:val="a2"/>
        <w:spacing w:before="156" w:after="156"/>
        <w:outlineLvl w:val="1"/>
        <w:rPr>
          <w:rFonts w:ascii="Times New Roman" w:eastAsia="宋体"/>
          <w:color w:val="1B1C21"/>
          <w:shd w:val="clear" w:color="auto" w:fill="FFFFFF"/>
        </w:rPr>
      </w:pPr>
      <w:bookmarkStart w:id="44" w:name="_Toc13118"/>
      <w:r>
        <w:rPr>
          <w:rFonts w:ascii="Times New Roman" w:eastAsia="宋体"/>
          <w:color w:val="1B1C21"/>
          <w:shd w:val="clear" w:color="auto" w:fill="FFFFFF"/>
        </w:rPr>
        <w:t>制氢企业的规划设计应符合《氢气站设计规范</w:t>
      </w:r>
      <w:r>
        <w:rPr>
          <w:rFonts w:ascii="Times New Roman" w:eastAsia="宋体"/>
          <w:color w:val="1B1C21"/>
          <w:shd w:val="clear" w:color="auto" w:fill="FFFFFF"/>
        </w:rPr>
        <w:t>(GB 50177-2005)</w:t>
      </w:r>
      <w:r>
        <w:rPr>
          <w:rFonts w:ascii="Times New Roman" w:eastAsia="宋体"/>
          <w:color w:val="1B1C21"/>
          <w:shd w:val="clear" w:color="auto" w:fill="FFFFFF"/>
        </w:rPr>
        <w:t>》等相关规范的</w:t>
      </w:r>
      <w:r>
        <w:rPr>
          <w:rFonts w:ascii="Times New Roman" w:eastAsia="宋体" w:hint="eastAsia"/>
          <w:color w:val="1B1C21"/>
          <w:shd w:val="clear" w:color="auto" w:fill="FFFFFF"/>
        </w:rPr>
        <w:t>强制</w:t>
      </w:r>
      <w:r>
        <w:rPr>
          <w:rFonts w:ascii="Times New Roman" w:eastAsia="宋体"/>
          <w:color w:val="1B1C21"/>
          <w:shd w:val="clear" w:color="auto" w:fill="FFFFFF"/>
        </w:rPr>
        <w:t>要求。</w:t>
      </w:r>
      <w:bookmarkEnd w:id="44"/>
    </w:p>
    <w:p w14:paraId="071F5A04" w14:textId="77777777" w:rsidR="009E73DC" w:rsidRDefault="00000000">
      <w:pPr>
        <w:pStyle w:val="a1"/>
        <w:spacing w:before="312" w:after="312"/>
        <w:outlineLvl w:val="0"/>
        <w:rPr>
          <w:rFonts w:ascii="Times New Roman"/>
          <w:szCs w:val="21"/>
        </w:rPr>
      </w:pPr>
      <w:r>
        <w:rPr>
          <w:rFonts w:ascii="Times New Roman" w:hint="eastAsia"/>
          <w:szCs w:val="21"/>
        </w:rPr>
        <w:t>产品要求</w:t>
      </w:r>
    </w:p>
    <w:p w14:paraId="58CD030C" w14:textId="77777777" w:rsidR="009E73DC" w:rsidRDefault="00000000">
      <w:pPr>
        <w:pStyle w:val="a2"/>
        <w:spacing w:before="156" w:after="156"/>
        <w:outlineLvl w:val="1"/>
        <w:rPr>
          <w:rFonts w:eastAsia="宋体"/>
        </w:rPr>
      </w:pPr>
      <w:r>
        <w:rPr>
          <w:rFonts w:eastAsia="宋体" w:hint="eastAsia"/>
        </w:rPr>
        <w:t>质量要求</w:t>
      </w:r>
    </w:p>
    <w:p w14:paraId="4BFADB05" w14:textId="77777777" w:rsidR="009E73DC" w:rsidRDefault="00000000">
      <w:pPr>
        <w:pStyle w:val="a2"/>
        <w:numPr>
          <w:ilvl w:val="1"/>
          <w:numId w:val="0"/>
        </w:numPr>
        <w:spacing w:before="156" w:after="156"/>
        <w:ind w:firstLineChars="200" w:firstLine="420"/>
        <w:outlineLvl w:val="1"/>
        <w:rPr>
          <w:rFonts w:ascii="宋体" w:eastAsia="宋体" w:hAnsi="宋体" w:cs="宋体" w:hint="eastAsia"/>
        </w:rPr>
      </w:pPr>
      <w:r>
        <w:rPr>
          <w:rFonts w:ascii="宋体" w:eastAsia="宋体" w:hAnsi="宋体" w:cs="宋体" w:hint="eastAsia"/>
        </w:rPr>
        <w:t>氢气的质量要求应符合GB/T3634.1-2006第3章的规定。</w:t>
      </w:r>
    </w:p>
    <w:p w14:paraId="71B12BBA" w14:textId="77777777" w:rsidR="009E73DC" w:rsidRDefault="009E73DC">
      <w:pPr>
        <w:pStyle w:val="afffffff5"/>
        <w:ind w:firstLine="420"/>
      </w:pPr>
    </w:p>
    <w:p w14:paraId="34E76167" w14:textId="77777777" w:rsidR="009E73DC" w:rsidRDefault="00000000">
      <w:pPr>
        <w:pStyle w:val="a2"/>
        <w:spacing w:before="156" w:after="156"/>
        <w:outlineLvl w:val="1"/>
        <w:rPr>
          <w:rFonts w:eastAsia="宋体"/>
        </w:rPr>
      </w:pPr>
      <w:r>
        <w:rPr>
          <w:rFonts w:eastAsia="宋体" w:hint="eastAsia"/>
        </w:rPr>
        <w:t>产品碳足迹</w:t>
      </w:r>
    </w:p>
    <w:p w14:paraId="2B907660" w14:textId="77777777" w:rsidR="009E73DC" w:rsidRDefault="00000000">
      <w:pPr>
        <w:pStyle w:val="a3"/>
        <w:ind w:left="0"/>
      </w:pPr>
      <w:r>
        <w:t>溯源边界</w:t>
      </w:r>
    </w:p>
    <w:p w14:paraId="6019FF10" w14:textId="77777777" w:rsidR="009E73DC" w:rsidRDefault="00000000">
      <w:pPr>
        <w:ind w:firstLineChars="200" w:firstLine="420"/>
        <w:rPr>
          <w:color w:val="000000"/>
          <w:szCs w:val="21"/>
        </w:rPr>
      </w:pPr>
      <w:r>
        <w:rPr>
          <w:color w:val="000000"/>
          <w:szCs w:val="21"/>
        </w:rPr>
        <w:t>可再生</w:t>
      </w:r>
      <w:proofErr w:type="gramStart"/>
      <w:r>
        <w:rPr>
          <w:color w:val="000000"/>
          <w:szCs w:val="21"/>
        </w:rPr>
        <w:t>氢评价</w:t>
      </w:r>
      <w:proofErr w:type="gramEnd"/>
      <w:r>
        <w:rPr>
          <w:color w:val="000000"/>
          <w:szCs w:val="21"/>
        </w:rPr>
        <w:t>的溯源边界</w:t>
      </w:r>
      <w:r>
        <w:rPr>
          <w:szCs w:val="21"/>
        </w:rPr>
        <w:t>基于</w:t>
      </w:r>
      <w:r>
        <w:rPr>
          <w:szCs w:val="21"/>
        </w:rPr>
        <w:t>“</w:t>
      </w:r>
      <w:r>
        <w:rPr>
          <w:szCs w:val="21"/>
        </w:rPr>
        <w:t>从摇篮到大门</w:t>
      </w:r>
      <w:r>
        <w:rPr>
          <w:szCs w:val="21"/>
        </w:rPr>
        <w:t>”</w:t>
      </w:r>
      <w:r>
        <w:rPr>
          <w:szCs w:val="21"/>
        </w:rPr>
        <w:t>原则，</w:t>
      </w:r>
      <w:r>
        <w:rPr>
          <w:color w:val="000000"/>
          <w:szCs w:val="21"/>
        </w:rPr>
        <w:t>包括氢气制造的原物料获取阶段、原物</w:t>
      </w:r>
      <w:proofErr w:type="gramStart"/>
      <w:r>
        <w:rPr>
          <w:color w:val="000000"/>
          <w:szCs w:val="21"/>
        </w:rPr>
        <w:t>料运输</w:t>
      </w:r>
      <w:proofErr w:type="gramEnd"/>
      <w:r>
        <w:rPr>
          <w:color w:val="000000"/>
          <w:szCs w:val="21"/>
        </w:rPr>
        <w:lastRenderedPageBreak/>
        <w:t>阶段、氢气的生产制造阶段。具体系统边界内容见图</w:t>
      </w:r>
      <w:r>
        <w:rPr>
          <w:color w:val="000000"/>
          <w:szCs w:val="21"/>
        </w:rPr>
        <w:t>1</w:t>
      </w:r>
      <w:r>
        <w:rPr>
          <w:color w:val="000000"/>
          <w:szCs w:val="21"/>
        </w:rPr>
        <w:t>。</w:t>
      </w:r>
    </w:p>
    <w:p w14:paraId="605AFFDF" w14:textId="77777777" w:rsidR="009E73DC" w:rsidRDefault="00000000">
      <w:pPr>
        <w:rPr>
          <w:szCs w:val="21"/>
        </w:rPr>
      </w:pPr>
      <w:r>
        <w:rPr>
          <w:noProof/>
          <w:szCs w:val="21"/>
        </w:rPr>
        <w:drawing>
          <wp:inline distT="0" distB="0" distL="114300" distR="114300" wp14:anchorId="28971D75" wp14:editId="4851DB15">
            <wp:extent cx="5939155" cy="3109595"/>
            <wp:effectExtent l="0" t="0" r="0" b="1905"/>
            <wp:docPr id="109" name="图片 109"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图片1"/>
                    <pic:cNvPicPr>
                      <a:picLocks noChangeAspect="1"/>
                    </pic:cNvPicPr>
                  </pic:nvPicPr>
                  <pic:blipFill>
                    <a:blip r:embed="rId31"/>
                    <a:stretch>
                      <a:fillRect/>
                    </a:stretch>
                  </pic:blipFill>
                  <pic:spPr>
                    <a:xfrm>
                      <a:off x="0" y="0"/>
                      <a:ext cx="5939155" cy="3109595"/>
                    </a:xfrm>
                    <a:prstGeom prst="rect">
                      <a:avLst/>
                    </a:prstGeom>
                  </pic:spPr>
                </pic:pic>
              </a:graphicData>
            </a:graphic>
          </wp:inline>
        </w:drawing>
      </w:r>
    </w:p>
    <w:p w14:paraId="1E16FFE8" w14:textId="77777777" w:rsidR="009E73DC" w:rsidRDefault="00000000">
      <w:pPr>
        <w:jc w:val="center"/>
        <w:rPr>
          <w:rFonts w:eastAsia="黑体"/>
          <w:color w:val="000000"/>
          <w:szCs w:val="21"/>
        </w:rPr>
      </w:pPr>
      <w:r>
        <w:rPr>
          <w:rFonts w:eastAsia="黑体"/>
          <w:color w:val="000000"/>
          <w:szCs w:val="21"/>
        </w:rPr>
        <w:t>图</w:t>
      </w:r>
      <w:r>
        <w:rPr>
          <w:rFonts w:eastAsia="黑体"/>
          <w:color w:val="000000"/>
          <w:szCs w:val="21"/>
        </w:rPr>
        <w:t xml:space="preserve">1 </w:t>
      </w:r>
      <w:r>
        <w:rPr>
          <w:rFonts w:eastAsia="黑体"/>
          <w:color w:val="000000"/>
          <w:szCs w:val="21"/>
        </w:rPr>
        <w:t>可再生</w:t>
      </w:r>
      <w:proofErr w:type="gramStart"/>
      <w:r>
        <w:rPr>
          <w:rFonts w:eastAsia="黑体"/>
          <w:color w:val="000000"/>
          <w:szCs w:val="21"/>
        </w:rPr>
        <w:t>氢产品</w:t>
      </w:r>
      <w:proofErr w:type="gramEnd"/>
      <w:r>
        <w:rPr>
          <w:rFonts w:eastAsia="黑体"/>
          <w:color w:val="000000"/>
          <w:szCs w:val="21"/>
        </w:rPr>
        <w:t>生命周期系统边界图（</w:t>
      </w:r>
      <w:r>
        <w:rPr>
          <w:rFonts w:eastAsia="黑体"/>
          <w:color w:val="000000"/>
          <w:szCs w:val="21"/>
        </w:rPr>
        <w:t>“</w:t>
      </w:r>
      <w:r>
        <w:rPr>
          <w:rFonts w:eastAsia="黑体"/>
          <w:color w:val="000000"/>
          <w:szCs w:val="21"/>
        </w:rPr>
        <w:t>从摇篮到大门</w:t>
      </w:r>
      <w:r>
        <w:rPr>
          <w:rFonts w:eastAsia="黑体"/>
          <w:color w:val="000000"/>
          <w:szCs w:val="21"/>
        </w:rPr>
        <w:t>”</w:t>
      </w:r>
      <w:r>
        <w:rPr>
          <w:rFonts w:eastAsia="黑体"/>
          <w:color w:val="000000"/>
          <w:szCs w:val="21"/>
        </w:rPr>
        <w:t>）</w:t>
      </w:r>
    </w:p>
    <w:p w14:paraId="73641E5A" w14:textId="77777777" w:rsidR="009E73DC" w:rsidRDefault="009E73DC">
      <w:pPr>
        <w:ind w:firstLineChars="200" w:firstLine="420"/>
        <w:rPr>
          <w:szCs w:val="21"/>
        </w:rPr>
      </w:pPr>
    </w:p>
    <w:p w14:paraId="62ED4FF0" w14:textId="77777777" w:rsidR="009E73DC" w:rsidRDefault="00000000">
      <w:pPr>
        <w:pStyle w:val="a3"/>
        <w:ind w:left="0"/>
      </w:pPr>
      <w:r>
        <w:t>原材料获取阶段</w:t>
      </w:r>
    </w:p>
    <w:p w14:paraId="4520A419" w14:textId="77777777" w:rsidR="009E73DC" w:rsidRDefault="00000000">
      <w:pPr>
        <w:pStyle w:val="a3"/>
        <w:numPr>
          <w:ilvl w:val="3"/>
          <w:numId w:val="2"/>
        </w:numPr>
        <w:rPr>
          <w:rFonts w:ascii="Times New Roman"/>
          <w:spacing w:val="5"/>
          <w:szCs w:val="21"/>
          <w:shd w:val="clear" w:color="auto" w:fill="FFFFFF"/>
        </w:rPr>
      </w:pPr>
      <w:r>
        <w:rPr>
          <w:rFonts w:ascii="Times New Roman"/>
          <w:spacing w:val="5"/>
          <w:szCs w:val="21"/>
          <w:shd w:val="clear" w:color="auto" w:fill="FFFFFF"/>
        </w:rPr>
        <w:t>基本要求</w:t>
      </w:r>
    </w:p>
    <w:p w14:paraId="10441ADE" w14:textId="77777777" w:rsidR="009E73DC" w:rsidRDefault="00000000">
      <w:pPr>
        <w:ind w:firstLineChars="200" w:firstLine="420"/>
        <w:rPr>
          <w:szCs w:val="21"/>
        </w:rPr>
      </w:pPr>
      <w:r>
        <w:rPr>
          <w:szCs w:val="21"/>
        </w:rPr>
        <w:t>在可再生</w:t>
      </w:r>
      <w:proofErr w:type="gramStart"/>
      <w:r>
        <w:rPr>
          <w:szCs w:val="21"/>
        </w:rPr>
        <w:t>氢产品</w:t>
      </w:r>
      <w:proofErr w:type="gramEnd"/>
      <w:r>
        <w:rPr>
          <w:szCs w:val="21"/>
        </w:rPr>
        <w:t>的碳足迹评价中，原材料获取阶段应纳入以下关键过程：</w:t>
      </w:r>
    </w:p>
    <w:p w14:paraId="1FC76A93" w14:textId="77777777" w:rsidR="009E73DC" w:rsidRDefault="00000000">
      <w:pPr>
        <w:ind w:firstLineChars="200" w:firstLine="420"/>
        <w:rPr>
          <w:szCs w:val="21"/>
        </w:rPr>
      </w:pPr>
      <w:r>
        <w:rPr>
          <w:szCs w:val="21"/>
        </w:rPr>
        <w:t xml:space="preserve">a. </w:t>
      </w:r>
      <w:r>
        <w:rPr>
          <w:szCs w:val="21"/>
        </w:rPr>
        <w:t>可再生能源的获取：这包括从自然界中捕获太阳能、风能、水能等可再生能源的过程。需要评估这些能源在采集、转换及输送过程中所产生的碳排放。</w:t>
      </w:r>
    </w:p>
    <w:p w14:paraId="40505E85" w14:textId="77777777" w:rsidR="009E73DC" w:rsidRDefault="00000000">
      <w:pPr>
        <w:ind w:firstLineChars="200" w:firstLine="420"/>
        <w:rPr>
          <w:szCs w:val="21"/>
        </w:rPr>
      </w:pPr>
      <w:r>
        <w:rPr>
          <w:szCs w:val="21"/>
        </w:rPr>
        <w:t xml:space="preserve">b. </w:t>
      </w:r>
      <w:r>
        <w:rPr>
          <w:szCs w:val="21"/>
        </w:rPr>
        <w:t>可再生电力的制取：涉及将可再生能源转化为电能的过程，例如通过光伏电池将太阳能转换为电力，或通过风力发电机将风能转换为电力。需计算这一转换过程中的碳排放量。</w:t>
      </w:r>
    </w:p>
    <w:p w14:paraId="6646FB57" w14:textId="77777777" w:rsidR="009E73DC" w:rsidRDefault="00000000">
      <w:pPr>
        <w:ind w:firstLineChars="200" w:firstLine="420"/>
        <w:rPr>
          <w:szCs w:val="21"/>
        </w:rPr>
      </w:pPr>
      <w:r>
        <w:rPr>
          <w:szCs w:val="21"/>
        </w:rPr>
        <w:t xml:space="preserve">c. </w:t>
      </w:r>
      <w:r>
        <w:rPr>
          <w:szCs w:val="21"/>
        </w:rPr>
        <w:t>水的获取与处理：涵盖水资源的抽取、净化和输送等环节。特别是当使用水资源进行电解制氢时，需要考虑水处理过程中的能耗和相关碳排放。</w:t>
      </w:r>
    </w:p>
    <w:p w14:paraId="4C252F71" w14:textId="77777777" w:rsidR="009E73DC" w:rsidRDefault="00000000">
      <w:pPr>
        <w:ind w:firstLineChars="200" w:firstLine="420"/>
        <w:rPr>
          <w:szCs w:val="21"/>
        </w:rPr>
      </w:pPr>
      <w:r>
        <w:rPr>
          <w:szCs w:val="21"/>
        </w:rPr>
        <w:t xml:space="preserve">d. </w:t>
      </w:r>
      <w:r>
        <w:rPr>
          <w:szCs w:val="21"/>
        </w:rPr>
        <w:t>其他辅料的获取与生产过程：包括在可再生氢生产过程中使用的所有其他辅助材料（如催化剂、电解质等）的获取及其生产过程中的碳排放。</w:t>
      </w:r>
    </w:p>
    <w:p w14:paraId="4999DF09" w14:textId="77777777" w:rsidR="009E73DC" w:rsidRDefault="00000000">
      <w:pPr>
        <w:ind w:firstLineChars="200" w:firstLine="420"/>
        <w:rPr>
          <w:rFonts w:eastAsia="楷体"/>
          <w:szCs w:val="21"/>
        </w:rPr>
      </w:pPr>
      <w:r>
        <w:rPr>
          <w:rFonts w:eastAsia="楷体"/>
          <w:szCs w:val="21"/>
        </w:rPr>
        <w:t>注</w:t>
      </w:r>
      <w:r>
        <w:rPr>
          <w:rFonts w:eastAsia="楷体"/>
          <w:szCs w:val="21"/>
        </w:rPr>
        <w:t>1</w:t>
      </w:r>
      <w:r>
        <w:rPr>
          <w:rFonts w:eastAsia="楷体"/>
          <w:szCs w:val="21"/>
        </w:rPr>
        <w:t>：不同的电解水制氢方式所使用的原材料不同，例如碱性电解水制氢使用氢氧化钠等物质作为电解质，在碱性水电解制氢的溯源中，氢氧化钠应作为原辅料纳入碳足迹评价中。</w:t>
      </w:r>
    </w:p>
    <w:p w14:paraId="2F0E4612" w14:textId="77777777" w:rsidR="009E73DC" w:rsidRDefault="00000000">
      <w:pPr>
        <w:ind w:firstLineChars="200" w:firstLine="420"/>
        <w:rPr>
          <w:rFonts w:eastAsia="楷体"/>
          <w:szCs w:val="21"/>
        </w:rPr>
      </w:pPr>
      <w:r>
        <w:rPr>
          <w:rFonts w:eastAsia="楷体"/>
          <w:szCs w:val="21"/>
        </w:rPr>
        <w:t>注</w:t>
      </w:r>
      <w:r>
        <w:rPr>
          <w:rFonts w:eastAsia="楷体"/>
          <w:szCs w:val="21"/>
        </w:rPr>
        <w:t>2</w:t>
      </w:r>
      <w:r>
        <w:rPr>
          <w:rFonts w:eastAsia="楷体"/>
          <w:szCs w:val="21"/>
        </w:rPr>
        <w:t>：水电解制氢过程中可能会用到压缩空气，在此情景下压缩空气应作为原辅料纳入碳足迹评价中。</w:t>
      </w:r>
    </w:p>
    <w:p w14:paraId="51A2E64C" w14:textId="77777777" w:rsidR="009E73DC" w:rsidRDefault="009E73DC">
      <w:pPr>
        <w:rPr>
          <w:szCs w:val="21"/>
        </w:rPr>
      </w:pPr>
    </w:p>
    <w:p w14:paraId="7169CF91" w14:textId="77777777" w:rsidR="009E73DC" w:rsidRDefault="00000000">
      <w:pPr>
        <w:pStyle w:val="a3"/>
        <w:numPr>
          <w:ilvl w:val="3"/>
          <w:numId w:val="2"/>
        </w:numPr>
        <w:rPr>
          <w:rFonts w:ascii="Times New Roman"/>
          <w:spacing w:val="5"/>
          <w:szCs w:val="21"/>
          <w:shd w:val="clear" w:color="auto" w:fill="FFFFFF"/>
        </w:rPr>
      </w:pPr>
      <w:r>
        <w:rPr>
          <w:rFonts w:ascii="Times New Roman"/>
          <w:spacing w:val="5"/>
          <w:szCs w:val="21"/>
          <w:shd w:val="clear" w:color="auto" w:fill="FFFFFF"/>
        </w:rPr>
        <w:t>数据收集原则</w:t>
      </w:r>
    </w:p>
    <w:p w14:paraId="034CE557" w14:textId="77777777" w:rsidR="009E73DC" w:rsidRDefault="00000000">
      <w:pPr>
        <w:pStyle w:val="a3"/>
        <w:numPr>
          <w:ilvl w:val="4"/>
          <w:numId w:val="2"/>
        </w:numPr>
        <w:rPr>
          <w:rFonts w:ascii="Times New Roman"/>
          <w:szCs w:val="21"/>
        </w:rPr>
      </w:pPr>
      <w:r>
        <w:rPr>
          <w:rFonts w:ascii="Times New Roman"/>
          <w:szCs w:val="21"/>
        </w:rPr>
        <w:t>在原材料获取阶段，以下项目应收集初级数据</w:t>
      </w:r>
      <w:r>
        <w:rPr>
          <w:rFonts w:ascii="Times New Roman"/>
          <w:szCs w:val="21"/>
        </w:rPr>
        <w:t>:</w:t>
      </w:r>
    </w:p>
    <w:p w14:paraId="3806F13B" w14:textId="77777777" w:rsidR="009E73DC" w:rsidRDefault="00000000">
      <w:pPr>
        <w:widowControl/>
        <w:ind w:left="360"/>
        <w:rPr>
          <w:rFonts w:eastAsia="PingFang SC-Regular"/>
          <w:color w:val="1B1C21"/>
          <w:szCs w:val="21"/>
          <w:shd w:val="clear" w:color="auto" w:fill="FFFFFF"/>
        </w:rPr>
      </w:pPr>
      <w:r>
        <w:rPr>
          <w:rFonts w:eastAsia="PingFang SC-Regular"/>
          <w:color w:val="1B1C21"/>
          <w:szCs w:val="21"/>
          <w:shd w:val="clear" w:color="auto" w:fill="FFFFFF"/>
        </w:rPr>
        <w:t>1</w:t>
      </w:r>
      <w:r>
        <w:rPr>
          <w:rFonts w:eastAsia="PingFang SC-Regular"/>
          <w:color w:val="1B1C21"/>
          <w:szCs w:val="21"/>
          <w:shd w:val="clear" w:color="auto" w:fill="FFFFFF"/>
        </w:rPr>
        <w:t>）各原材料投入量</w:t>
      </w:r>
      <w:r>
        <w:rPr>
          <w:rFonts w:eastAsia="PingFang SC-Regular"/>
          <w:color w:val="1B1C21"/>
          <w:szCs w:val="21"/>
          <w:shd w:val="clear" w:color="auto" w:fill="FFFFFF"/>
        </w:rPr>
        <w:t>;</w:t>
      </w:r>
    </w:p>
    <w:p w14:paraId="7D6127DE" w14:textId="77777777" w:rsidR="009E73DC" w:rsidRDefault="00000000">
      <w:pPr>
        <w:widowControl/>
        <w:ind w:left="360"/>
        <w:rPr>
          <w:rFonts w:eastAsia="PingFang SC-Regular"/>
          <w:color w:val="1B1C21"/>
          <w:szCs w:val="21"/>
          <w:shd w:val="clear" w:color="auto" w:fill="FFFFFF"/>
        </w:rPr>
      </w:pPr>
      <w:r>
        <w:rPr>
          <w:rFonts w:eastAsia="PingFang SC-Regular"/>
          <w:color w:val="1B1C21"/>
          <w:szCs w:val="21"/>
          <w:shd w:val="clear" w:color="auto" w:fill="FFFFFF"/>
        </w:rPr>
        <w:t>2</w:t>
      </w:r>
      <w:r>
        <w:rPr>
          <w:rFonts w:eastAsia="PingFang SC-Regular"/>
          <w:color w:val="1B1C21"/>
          <w:szCs w:val="21"/>
          <w:shd w:val="clear" w:color="auto" w:fill="FFFFFF"/>
        </w:rPr>
        <w:t>）各辅料投入量</w:t>
      </w:r>
    </w:p>
    <w:p w14:paraId="134372C7" w14:textId="77777777" w:rsidR="009E73DC" w:rsidRDefault="00000000">
      <w:pPr>
        <w:pStyle w:val="a3"/>
        <w:numPr>
          <w:ilvl w:val="4"/>
          <w:numId w:val="2"/>
        </w:numPr>
        <w:rPr>
          <w:rFonts w:ascii="Times New Roman"/>
          <w:szCs w:val="21"/>
        </w:rPr>
      </w:pPr>
      <w:r>
        <w:rPr>
          <w:rFonts w:ascii="Times New Roman"/>
          <w:spacing w:val="5"/>
          <w:szCs w:val="21"/>
          <w:shd w:val="clear" w:color="auto" w:fill="FFFFFF"/>
          <w:lang w:bidi="ar"/>
        </w:rPr>
        <w:t>在</w:t>
      </w:r>
      <w:r>
        <w:rPr>
          <w:rFonts w:ascii="Times New Roman"/>
          <w:szCs w:val="21"/>
        </w:rPr>
        <w:t>原材料获取阶段，以下项目宜收集次级数据</w:t>
      </w:r>
      <w:r>
        <w:rPr>
          <w:rFonts w:ascii="Times New Roman"/>
          <w:szCs w:val="21"/>
        </w:rPr>
        <w:t>:</w:t>
      </w:r>
    </w:p>
    <w:p w14:paraId="1D96EAFA" w14:textId="77777777" w:rsidR="009E73DC" w:rsidRDefault="00000000">
      <w:pPr>
        <w:widowControl/>
        <w:ind w:left="360"/>
        <w:rPr>
          <w:rFonts w:eastAsia="PingFang SC-Regular"/>
          <w:color w:val="1B1C21"/>
          <w:szCs w:val="21"/>
          <w:shd w:val="clear" w:color="auto" w:fill="FFFFFF"/>
        </w:rPr>
      </w:pPr>
      <w:r>
        <w:rPr>
          <w:rFonts w:eastAsia="PingFang SC-Regular" w:hint="eastAsia"/>
          <w:color w:val="1B1C21"/>
          <w:szCs w:val="21"/>
          <w:shd w:val="clear" w:color="auto" w:fill="FFFFFF"/>
        </w:rPr>
        <w:t>1</w:t>
      </w:r>
      <w:r>
        <w:rPr>
          <w:rFonts w:eastAsia="PingFang SC-Regular" w:hint="eastAsia"/>
          <w:color w:val="1B1C21"/>
          <w:szCs w:val="21"/>
          <w:shd w:val="clear" w:color="auto" w:fill="FFFFFF"/>
        </w:rPr>
        <w:t>）</w:t>
      </w:r>
      <w:r>
        <w:rPr>
          <w:rFonts w:eastAsia="PingFang SC-Regular"/>
          <w:color w:val="1B1C21"/>
          <w:szCs w:val="21"/>
          <w:shd w:val="clear" w:color="auto" w:fill="FFFFFF"/>
        </w:rPr>
        <w:t>能源的开采生产、输送和消耗相关的温室气体排放因子</w:t>
      </w:r>
      <w:r>
        <w:rPr>
          <w:rFonts w:eastAsia="PingFang SC-Regular"/>
          <w:color w:val="1B1C21"/>
          <w:szCs w:val="21"/>
          <w:shd w:val="clear" w:color="auto" w:fill="FFFFFF"/>
        </w:rPr>
        <w:t>;</w:t>
      </w:r>
    </w:p>
    <w:p w14:paraId="41C13284" w14:textId="77777777" w:rsidR="009E73DC" w:rsidRDefault="00000000">
      <w:pPr>
        <w:widowControl/>
        <w:ind w:left="360"/>
        <w:rPr>
          <w:rFonts w:eastAsia="PingFang SC-Regular"/>
          <w:color w:val="1B1C21"/>
          <w:szCs w:val="21"/>
          <w:shd w:val="clear" w:color="auto" w:fill="FFFFFF"/>
        </w:rPr>
      </w:pPr>
      <w:r>
        <w:rPr>
          <w:rFonts w:eastAsia="PingFang SC-Regular" w:hint="eastAsia"/>
          <w:color w:val="1B1C21"/>
          <w:szCs w:val="21"/>
          <w:shd w:val="clear" w:color="auto" w:fill="FFFFFF"/>
        </w:rPr>
        <w:t>2</w:t>
      </w:r>
      <w:r>
        <w:rPr>
          <w:rFonts w:eastAsia="PingFang SC-Regular" w:hint="eastAsia"/>
          <w:color w:val="1B1C21"/>
          <w:szCs w:val="21"/>
          <w:shd w:val="clear" w:color="auto" w:fill="FFFFFF"/>
        </w:rPr>
        <w:t>）</w:t>
      </w:r>
      <w:r>
        <w:rPr>
          <w:rFonts w:eastAsia="PingFang SC-Regular"/>
          <w:color w:val="1B1C21"/>
          <w:szCs w:val="21"/>
          <w:shd w:val="clear" w:color="auto" w:fill="FFFFFF"/>
        </w:rPr>
        <w:t>原材料获取相关的温室气体排放因子</w:t>
      </w:r>
      <w:r>
        <w:rPr>
          <w:rFonts w:eastAsia="PingFang SC-Regular"/>
          <w:color w:val="1B1C21"/>
          <w:szCs w:val="21"/>
          <w:shd w:val="clear" w:color="auto" w:fill="FFFFFF"/>
        </w:rPr>
        <w:t>;</w:t>
      </w:r>
    </w:p>
    <w:p w14:paraId="2BBBC68C" w14:textId="77777777" w:rsidR="009E73DC" w:rsidRDefault="00000000">
      <w:pPr>
        <w:widowControl/>
        <w:ind w:left="360"/>
        <w:rPr>
          <w:rFonts w:ascii="楷体" w:eastAsia="楷体" w:hAnsi="楷体" w:cs="楷体" w:hint="eastAsia"/>
          <w:color w:val="1B1C21"/>
          <w:szCs w:val="21"/>
          <w:shd w:val="clear" w:color="auto" w:fill="FFFFFF"/>
        </w:rPr>
      </w:pPr>
      <w:r>
        <w:rPr>
          <w:rFonts w:ascii="楷体" w:eastAsia="楷体" w:hAnsi="楷体" w:cs="楷体" w:hint="eastAsia"/>
          <w:color w:val="1B1C21"/>
          <w:szCs w:val="21"/>
          <w:shd w:val="clear" w:color="auto" w:fill="FFFFFF"/>
        </w:rPr>
        <w:t>注：当上游企业能够提供原材料的碳足迹报告时，应采用报告值。</w:t>
      </w:r>
    </w:p>
    <w:p w14:paraId="5DBCC578" w14:textId="77777777" w:rsidR="009E73DC" w:rsidRDefault="00000000">
      <w:pPr>
        <w:widowControl/>
        <w:ind w:left="360"/>
        <w:rPr>
          <w:rFonts w:eastAsia="PingFang SC-Regular"/>
          <w:color w:val="1B1C21"/>
          <w:szCs w:val="21"/>
          <w:shd w:val="clear" w:color="auto" w:fill="FFFFFF"/>
        </w:rPr>
      </w:pPr>
      <w:r>
        <w:rPr>
          <w:rFonts w:eastAsia="PingFang SC-Regular" w:hint="eastAsia"/>
          <w:color w:val="1B1C21"/>
          <w:szCs w:val="21"/>
          <w:shd w:val="clear" w:color="auto" w:fill="FFFFFF"/>
        </w:rPr>
        <w:lastRenderedPageBreak/>
        <w:t>3</w:t>
      </w:r>
      <w:r>
        <w:rPr>
          <w:rFonts w:eastAsia="PingFang SC-Regular" w:hint="eastAsia"/>
          <w:color w:val="1B1C21"/>
          <w:szCs w:val="21"/>
          <w:shd w:val="clear" w:color="auto" w:fill="FFFFFF"/>
        </w:rPr>
        <w:t>）</w:t>
      </w:r>
      <w:r>
        <w:rPr>
          <w:rFonts w:eastAsia="PingFang SC-Regular"/>
          <w:color w:val="1B1C21"/>
          <w:szCs w:val="21"/>
          <w:shd w:val="clear" w:color="auto" w:fill="FFFFFF"/>
        </w:rPr>
        <w:t>其他辅料生产相关的温室气体排放因子</w:t>
      </w:r>
      <w:r>
        <w:rPr>
          <w:rFonts w:eastAsia="PingFang SC-Regular"/>
          <w:color w:val="1B1C21"/>
          <w:szCs w:val="21"/>
          <w:shd w:val="clear" w:color="auto" w:fill="FFFFFF"/>
        </w:rPr>
        <w:t>;</w:t>
      </w:r>
    </w:p>
    <w:p w14:paraId="2DF079EA" w14:textId="77777777" w:rsidR="009E73DC" w:rsidRDefault="00000000">
      <w:pPr>
        <w:widowControl/>
        <w:ind w:left="360"/>
        <w:rPr>
          <w:rFonts w:ascii="楷体" w:eastAsia="楷体" w:hAnsi="楷体" w:cs="楷体" w:hint="eastAsia"/>
          <w:color w:val="1B1C21"/>
          <w:szCs w:val="21"/>
          <w:shd w:val="clear" w:color="auto" w:fill="FFFFFF"/>
        </w:rPr>
      </w:pPr>
      <w:r>
        <w:rPr>
          <w:rFonts w:ascii="楷体" w:eastAsia="楷体" w:hAnsi="楷体" w:cs="楷体" w:hint="eastAsia"/>
          <w:color w:val="1B1C21"/>
          <w:szCs w:val="21"/>
          <w:shd w:val="clear" w:color="auto" w:fill="FFFFFF"/>
        </w:rPr>
        <w:t>注：当上游企业能够提供辅料的碳足迹报告时，应采用报告值。</w:t>
      </w:r>
    </w:p>
    <w:p w14:paraId="7D81E05E" w14:textId="77777777" w:rsidR="009E73DC" w:rsidRDefault="009E73DC">
      <w:pPr>
        <w:rPr>
          <w:szCs w:val="21"/>
        </w:rPr>
      </w:pPr>
    </w:p>
    <w:p w14:paraId="7A897898" w14:textId="77777777" w:rsidR="009E73DC" w:rsidRDefault="00000000">
      <w:pPr>
        <w:pStyle w:val="a3"/>
        <w:ind w:left="0"/>
      </w:pPr>
      <w:r>
        <w:t>原物</w:t>
      </w:r>
      <w:proofErr w:type="gramStart"/>
      <w:r>
        <w:t>料运输</w:t>
      </w:r>
      <w:proofErr w:type="gramEnd"/>
      <w:r>
        <w:t>阶段</w:t>
      </w:r>
    </w:p>
    <w:p w14:paraId="06E46891" w14:textId="77777777" w:rsidR="009E73DC" w:rsidRDefault="00000000">
      <w:pPr>
        <w:pStyle w:val="a3"/>
        <w:numPr>
          <w:ilvl w:val="3"/>
          <w:numId w:val="2"/>
        </w:numPr>
        <w:rPr>
          <w:rFonts w:ascii="Times New Roman"/>
          <w:spacing w:val="5"/>
          <w:szCs w:val="21"/>
          <w:shd w:val="clear" w:color="auto" w:fill="FFFFFF"/>
        </w:rPr>
      </w:pPr>
      <w:r>
        <w:rPr>
          <w:rFonts w:ascii="Times New Roman"/>
          <w:spacing w:val="5"/>
          <w:szCs w:val="21"/>
          <w:shd w:val="clear" w:color="auto" w:fill="FFFFFF"/>
        </w:rPr>
        <w:t>基本要求</w:t>
      </w:r>
    </w:p>
    <w:p w14:paraId="038C3435" w14:textId="77777777" w:rsidR="009E73DC" w:rsidRDefault="00000000">
      <w:pPr>
        <w:ind w:firstLineChars="200" w:firstLine="420"/>
        <w:rPr>
          <w:szCs w:val="21"/>
        </w:rPr>
      </w:pPr>
      <w:r>
        <w:rPr>
          <w:szCs w:val="21"/>
        </w:rPr>
        <w:t>在原材料运输阶段，应详细考虑并纳入以下关键过程：原物料制取后输送至生产单元的过程。这包括从原物料提取地点到生产设施的所有物流活动，如运输方式（公路、铁路、水运或空运）、运输距离、装载和卸载操作等。</w:t>
      </w:r>
    </w:p>
    <w:p w14:paraId="34BB8B34" w14:textId="77777777" w:rsidR="009E73DC" w:rsidRDefault="00000000">
      <w:pPr>
        <w:pStyle w:val="a3"/>
        <w:numPr>
          <w:ilvl w:val="3"/>
          <w:numId w:val="2"/>
        </w:numPr>
        <w:rPr>
          <w:rFonts w:ascii="Times New Roman"/>
          <w:spacing w:val="5"/>
          <w:szCs w:val="21"/>
          <w:shd w:val="clear" w:color="auto" w:fill="FFFFFF"/>
        </w:rPr>
      </w:pPr>
      <w:r>
        <w:rPr>
          <w:rFonts w:ascii="Times New Roman"/>
          <w:spacing w:val="5"/>
          <w:szCs w:val="21"/>
          <w:shd w:val="clear" w:color="auto" w:fill="FFFFFF"/>
        </w:rPr>
        <w:t>数据收集</w:t>
      </w:r>
      <w:r>
        <w:rPr>
          <w:rFonts w:ascii="Times New Roman" w:hint="eastAsia"/>
          <w:spacing w:val="5"/>
          <w:szCs w:val="21"/>
          <w:shd w:val="clear" w:color="auto" w:fill="FFFFFF"/>
        </w:rPr>
        <w:t>原则</w:t>
      </w:r>
    </w:p>
    <w:p w14:paraId="19D81B57" w14:textId="77777777" w:rsidR="009E73DC" w:rsidRDefault="00000000">
      <w:pPr>
        <w:pStyle w:val="a3"/>
        <w:numPr>
          <w:ilvl w:val="4"/>
          <w:numId w:val="2"/>
        </w:numPr>
        <w:rPr>
          <w:rFonts w:ascii="Times New Roman"/>
          <w:spacing w:val="5"/>
          <w:szCs w:val="21"/>
          <w:shd w:val="clear" w:color="auto" w:fill="FFFFFF"/>
        </w:rPr>
      </w:pPr>
      <w:r>
        <w:rPr>
          <w:rFonts w:ascii="Times New Roman"/>
          <w:spacing w:val="5"/>
          <w:szCs w:val="21"/>
          <w:shd w:val="clear" w:color="auto" w:fill="FFFFFF"/>
        </w:rPr>
        <w:t>在原物</w:t>
      </w:r>
      <w:proofErr w:type="gramStart"/>
      <w:r>
        <w:rPr>
          <w:rFonts w:ascii="Times New Roman"/>
          <w:spacing w:val="5"/>
          <w:szCs w:val="21"/>
          <w:shd w:val="clear" w:color="auto" w:fill="FFFFFF"/>
        </w:rPr>
        <w:t>料运输</w:t>
      </w:r>
      <w:proofErr w:type="gramEnd"/>
      <w:r>
        <w:rPr>
          <w:rFonts w:ascii="Times New Roman"/>
          <w:spacing w:val="5"/>
          <w:szCs w:val="21"/>
          <w:shd w:val="clear" w:color="auto" w:fill="FFFFFF"/>
        </w:rPr>
        <w:t>阶段，以下项目应收集初级数据</w:t>
      </w:r>
      <w:r>
        <w:rPr>
          <w:rFonts w:ascii="Times New Roman"/>
          <w:spacing w:val="5"/>
          <w:szCs w:val="21"/>
          <w:shd w:val="clear" w:color="auto" w:fill="FFFFFF"/>
        </w:rPr>
        <w:t>:</w:t>
      </w:r>
    </w:p>
    <w:p w14:paraId="129D9D18" w14:textId="77777777" w:rsidR="009E73DC" w:rsidRDefault="00000000">
      <w:pPr>
        <w:widowControl/>
        <w:ind w:left="360"/>
        <w:rPr>
          <w:rFonts w:eastAsia="PingFang SC-Regular"/>
          <w:color w:val="1B1C21"/>
          <w:szCs w:val="21"/>
          <w:shd w:val="clear" w:color="auto" w:fill="FFFFFF"/>
        </w:rPr>
      </w:pPr>
      <w:r>
        <w:rPr>
          <w:rFonts w:eastAsia="PingFang SC-Regular" w:hint="eastAsia"/>
          <w:color w:val="1B1C21"/>
          <w:szCs w:val="21"/>
          <w:shd w:val="clear" w:color="auto" w:fill="FFFFFF"/>
        </w:rPr>
        <w:t>1</w:t>
      </w:r>
      <w:r>
        <w:rPr>
          <w:rFonts w:eastAsia="PingFang SC-Regular" w:hint="eastAsia"/>
          <w:color w:val="1B1C21"/>
          <w:szCs w:val="21"/>
          <w:shd w:val="clear" w:color="auto" w:fill="FFFFFF"/>
        </w:rPr>
        <w:t>）</w:t>
      </w:r>
      <w:r>
        <w:rPr>
          <w:rFonts w:eastAsia="PingFang SC-Regular"/>
          <w:color w:val="1B1C21"/>
          <w:szCs w:val="21"/>
          <w:shd w:val="clear" w:color="auto" w:fill="FFFFFF"/>
        </w:rPr>
        <w:t>每种运输方式的运输的数量和重量</w:t>
      </w:r>
      <w:r>
        <w:rPr>
          <w:rFonts w:eastAsia="PingFang SC-Regular"/>
          <w:color w:val="1B1C21"/>
          <w:szCs w:val="21"/>
          <w:shd w:val="clear" w:color="auto" w:fill="FFFFFF"/>
        </w:rPr>
        <w:t>;</w:t>
      </w:r>
    </w:p>
    <w:p w14:paraId="43A055F2" w14:textId="77777777" w:rsidR="009E73DC" w:rsidRDefault="00000000">
      <w:pPr>
        <w:widowControl/>
        <w:ind w:left="360"/>
        <w:rPr>
          <w:rFonts w:eastAsia="PingFang SC-Regular"/>
          <w:color w:val="1B1C21"/>
          <w:szCs w:val="21"/>
          <w:shd w:val="clear" w:color="auto" w:fill="FFFFFF"/>
        </w:rPr>
      </w:pPr>
      <w:r>
        <w:rPr>
          <w:rFonts w:eastAsia="PingFang SC-Regular" w:hint="eastAsia"/>
          <w:color w:val="1B1C21"/>
          <w:szCs w:val="21"/>
          <w:shd w:val="clear" w:color="auto" w:fill="FFFFFF"/>
        </w:rPr>
        <w:t>2</w:t>
      </w:r>
      <w:r>
        <w:rPr>
          <w:rFonts w:eastAsia="PingFang SC-Regular" w:hint="eastAsia"/>
          <w:color w:val="1B1C21"/>
          <w:szCs w:val="21"/>
          <w:shd w:val="clear" w:color="auto" w:fill="FFFFFF"/>
        </w:rPr>
        <w:t>）</w:t>
      </w:r>
      <w:r>
        <w:rPr>
          <w:rFonts w:eastAsia="PingFang SC-Regular"/>
          <w:color w:val="1B1C21"/>
          <w:szCs w:val="21"/>
          <w:shd w:val="clear" w:color="auto" w:fill="FFFFFF"/>
        </w:rPr>
        <w:t>每种运输方式的能源消耗量，或其它可计算获得能源消耗量的数据</w:t>
      </w:r>
      <w:r>
        <w:rPr>
          <w:rFonts w:eastAsia="PingFang SC-Regular"/>
          <w:color w:val="1B1C21"/>
          <w:szCs w:val="21"/>
          <w:shd w:val="clear" w:color="auto" w:fill="FFFFFF"/>
        </w:rPr>
        <w:t>;</w:t>
      </w:r>
    </w:p>
    <w:p w14:paraId="790DEF8A" w14:textId="77777777" w:rsidR="009E73DC" w:rsidRDefault="00000000">
      <w:pPr>
        <w:widowControl/>
        <w:ind w:left="360"/>
        <w:rPr>
          <w:rFonts w:eastAsia="PingFang SC-Regular"/>
          <w:color w:val="1B1C21"/>
          <w:szCs w:val="21"/>
          <w:shd w:val="clear" w:color="auto" w:fill="FFFFFF"/>
        </w:rPr>
      </w:pPr>
      <w:r>
        <w:rPr>
          <w:rFonts w:eastAsia="PingFang SC-Regular" w:hint="eastAsia"/>
          <w:color w:val="1B1C21"/>
          <w:szCs w:val="21"/>
          <w:shd w:val="clear" w:color="auto" w:fill="FFFFFF"/>
        </w:rPr>
        <w:t>3</w:t>
      </w:r>
      <w:r>
        <w:rPr>
          <w:rFonts w:eastAsia="PingFang SC-Regular" w:hint="eastAsia"/>
          <w:color w:val="1B1C21"/>
          <w:szCs w:val="21"/>
          <w:shd w:val="clear" w:color="auto" w:fill="FFFFFF"/>
        </w:rPr>
        <w:t>）</w:t>
      </w:r>
      <w:r>
        <w:rPr>
          <w:rFonts w:eastAsia="PingFang SC-Regular"/>
          <w:color w:val="1B1C21"/>
          <w:szCs w:val="21"/>
          <w:shd w:val="clear" w:color="auto" w:fill="FFFFFF"/>
        </w:rPr>
        <w:t>每种运输方式的吨公里数。</w:t>
      </w:r>
    </w:p>
    <w:p w14:paraId="26AB7E0A" w14:textId="77777777" w:rsidR="009E73DC" w:rsidRDefault="00000000">
      <w:pPr>
        <w:ind w:firstLineChars="200" w:firstLine="420"/>
        <w:rPr>
          <w:rFonts w:ascii="楷体" w:eastAsia="楷体" w:hAnsi="楷体" w:cs="楷体" w:hint="eastAsia"/>
          <w:szCs w:val="21"/>
        </w:rPr>
      </w:pPr>
      <w:r>
        <w:rPr>
          <w:rFonts w:ascii="楷体" w:eastAsia="楷体" w:hAnsi="楷体" w:cs="楷体" w:hint="eastAsia"/>
          <w:szCs w:val="21"/>
        </w:rPr>
        <w:t>注:其它可计算获得能源消耗量的数据包括单位距离能源消耗量和运输距离、运输费用和能源单价等。</w:t>
      </w:r>
    </w:p>
    <w:p w14:paraId="1C0F17AF" w14:textId="77777777" w:rsidR="009E73DC" w:rsidRDefault="00000000">
      <w:pPr>
        <w:pStyle w:val="a3"/>
        <w:numPr>
          <w:ilvl w:val="4"/>
          <w:numId w:val="2"/>
        </w:numPr>
        <w:rPr>
          <w:rFonts w:ascii="Times New Roman"/>
          <w:spacing w:val="5"/>
          <w:szCs w:val="21"/>
          <w:shd w:val="clear" w:color="auto" w:fill="FFFFFF"/>
        </w:rPr>
      </w:pPr>
      <w:r>
        <w:rPr>
          <w:rFonts w:ascii="Times New Roman"/>
          <w:spacing w:val="5"/>
          <w:szCs w:val="21"/>
          <w:shd w:val="clear" w:color="auto" w:fill="FFFFFF"/>
        </w:rPr>
        <w:t>以下项目应收集次级数据</w:t>
      </w:r>
      <w:r>
        <w:rPr>
          <w:rFonts w:ascii="Times New Roman"/>
          <w:spacing w:val="5"/>
          <w:szCs w:val="21"/>
          <w:shd w:val="clear" w:color="auto" w:fill="FFFFFF"/>
        </w:rPr>
        <w:t>:</w:t>
      </w:r>
    </w:p>
    <w:p w14:paraId="0A0C4415" w14:textId="77777777" w:rsidR="009E73DC" w:rsidRDefault="00000000">
      <w:pPr>
        <w:widowControl/>
        <w:ind w:left="360"/>
        <w:rPr>
          <w:rFonts w:eastAsia="PingFang SC-Regular"/>
          <w:color w:val="1B1C21"/>
          <w:szCs w:val="21"/>
          <w:shd w:val="clear" w:color="auto" w:fill="FFFFFF"/>
        </w:rPr>
      </w:pPr>
      <w:r>
        <w:rPr>
          <w:rFonts w:eastAsia="PingFang SC-Regular"/>
          <w:color w:val="1B1C21"/>
          <w:szCs w:val="21"/>
          <w:shd w:val="clear" w:color="auto" w:fill="FFFFFF"/>
        </w:rPr>
        <w:t>原物</w:t>
      </w:r>
      <w:proofErr w:type="gramStart"/>
      <w:r>
        <w:rPr>
          <w:rFonts w:eastAsia="PingFang SC-Regular"/>
          <w:color w:val="1B1C21"/>
          <w:szCs w:val="21"/>
          <w:shd w:val="clear" w:color="auto" w:fill="FFFFFF"/>
        </w:rPr>
        <w:t>料运输</w:t>
      </w:r>
      <w:proofErr w:type="gramEnd"/>
      <w:r>
        <w:rPr>
          <w:rFonts w:eastAsia="PingFang SC-Regular"/>
          <w:color w:val="1B1C21"/>
          <w:szCs w:val="21"/>
          <w:shd w:val="clear" w:color="auto" w:fill="FFFFFF"/>
        </w:rPr>
        <w:t>相关的温室气体排放因子</w:t>
      </w:r>
      <w:r>
        <w:rPr>
          <w:rFonts w:eastAsia="PingFang SC-Regular" w:hint="eastAsia"/>
          <w:color w:val="1B1C21"/>
          <w:szCs w:val="21"/>
          <w:shd w:val="clear" w:color="auto" w:fill="FFFFFF"/>
        </w:rPr>
        <w:t>。</w:t>
      </w:r>
    </w:p>
    <w:p w14:paraId="139C9340" w14:textId="77777777" w:rsidR="009E73DC" w:rsidRDefault="00000000">
      <w:pPr>
        <w:pStyle w:val="a3"/>
        <w:ind w:left="0"/>
      </w:pPr>
      <w:r>
        <w:t>生产阶段</w:t>
      </w:r>
    </w:p>
    <w:p w14:paraId="78C9CBDF" w14:textId="77777777" w:rsidR="009E73DC" w:rsidRDefault="00000000">
      <w:pPr>
        <w:pStyle w:val="a3"/>
        <w:numPr>
          <w:ilvl w:val="3"/>
          <w:numId w:val="2"/>
        </w:numPr>
        <w:rPr>
          <w:rFonts w:ascii="Times New Roman"/>
          <w:spacing w:val="5"/>
          <w:szCs w:val="21"/>
          <w:shd w:val="clear" w:color="auto" w:fill="FFFFFF"/>
        </w:rPr>
      </w:pPr>
      <w:r>
        <w:rPr>
          <w:rFonts w:ascii="Times New Roman"/>
          <w:spacing w:val="5"/>
          <w:szCs w:val="21"/>
          <w:shd w:val="clear" w:color="auto" w:fill="FFFFFF"/>
        </w:rPr>
        <w:t>基本要求</w:t>
      </w:r>
    </w:p>
    <w:p w14:paraId="709F311B" w14:textId="77777777" w:rsidR="009E73DC" w:rsidRDefault="00000000">
      <w:pPr>
        <w:pStyle w:val="a3"/>
        <w:numPr>
          <w:ilvl w:val="4"/>
          <w:numId w:val="2"/>
        </w:numPr>
        <w:rPr>
          <w:rFonts w:ascii="Times New Roman"/>
          <w:spacing w:val="5"/>
          <w:szCs w:val="21"/>
          <w:shd w:val="clear" w:color="auto" w:fill="FFFFFF"/>
        </w:rPr>
      </w:pPr>
      <w:r>
        <w:rPr>
          <w:rFonts w:ascii="Times New Roman"/>
          <w:spacing w:val="5"/>
          <w:szCs w:val="21"/>
          <w:shd w:val="clear" w:color="auto" w:fill="FFFFFF"/>
        </w:rPr>
        <w:t>生产阶段包括围绕制取氢气的主要生产系统、加料系统和分离系统等。</w:t>
      </w:r>
    </w:p>
    <w:p w14:paraId="262BC5D5" w14:textId="77777777" w:rsidR="009E73DC" w:rsidRDefault="00000000">
      <w:pPr>
        <w:pStyle w:val="a3"/>
        <w:numPr>
          <w:ilvl w:val="4"/>
          <w:numId w:val="2"/>
        </w:numPr>
        <w:rPr>
          <w:rFonts w:ascii="Times New Roman"/>
          <w:spacing w:val="5"/>
          <w:szCs w:val="21"/>
          <w:shd w:val="clear" w:color="auto" w:fill="FFFFFF"/>
        </w:rPr>
      </w:pPr>
      <w:r>
        <w:rPr>
          <w:rFonts w:ascii="Times New Roman"/>
          <w:spacing w:val="5"/>
          <w:szCs w:val="21"/>
          <w:shd w:val="clear" w:color="auto" w:fill="FFFFFF"/>
        </w:rPr>
        <w:t>生产阶段固定资产的设计、制造和建设过程不纳入系统边界；</w:t>
      </w:r>
    </w:p>
    <w:p w14:paraId="78513AF1" w14:textId="77777777" w:rsidR="009E73DC" w:rsidRDefault="00000000">
      <w:pPr>
        <w:pStyle w:val="a3"/>
        <w:numPr>
          <w:ilvl w:val="4"/>
          <w:numId w:val="2"/>
        </w:numPr>
        <w:rPr>
          <w:rFonts w:ascii="Times New Roman"/>
          <w:spacing w:val="5"/>
          <w:szCs w:val="21"/>
          <w:shd w:val="clear" w:color="auto" w:fill="FFFFFF"/>
        </w:rPr>
      </w:pPr>
      <w:r>
        <w:rPr>
          <w:rFonts w:ascii="Times New Roman"/>
          <w:spacing w:val="5"/>
          <w:szCs w:val="21"/>
          <w:shd w:val="clear" w:color="auto" w:fill="FFFFFF"/>
        </w:rPr>
        <w:t>生产阶段为生产提供保障的附属系统（如食堂、宿舍等）不纳入产品系统边界。</w:t>
      </w:r>
    </w:p>
    <w:p w14:paraId="5F4F2317" w14:textId="77777777" w:rsidR="009E73DC" w:rsidRDefault="009E73DC">
      <w:pPr>
        <w:rPr>
          <w:szCs w:val="21"/>
        </w:rPr>
      </w:pPr>
    </w:p>
    <w:p w14:paraId="7A0206CA" w14:textId="77777777" w:rsidR="009E73DC" w:rsidRDefault="00000000">
      <w:pPr>
        <w:pStyle w:val="a3"/>
        <w:numPr>
          <w:ilvl w:val="3"/>
          <w:numId w:val="2"/>
        </w:numPr>
        <w:rPr>
          <w:rFonts w:ascii="Times New Roman"/>
          <w:spacing w:val="5"/>
          <w:szCs w:val="21"/>
          <w:shd w:val="clear" w:color="auto" w:fill="FFFFFF"/>
        </w:rPr>
      </w:pPr>
      <w:r>
        <w:rPr>
          <w:rFonts w:ascii="Times New Roman"/>
          <w:spacing w:val="5"/>
          <w:szCs w:val="21"/>
          <w:shd w:val="clear" w:color="auto" w:fill="FFFFFF"/>
        </w:rPr>
        <w:t>数据收集</w:t>
      </w:r>
      <w:r>
        <w:rPr>
          <w:rFonts w:ascii="Times New Roman" w:hint="eastAsia"/>
          <w:spacing w:val="5"/>
          <w:szCs w:val="21"/>
          <w:shd w:val="clear" w:color="auto" w:fill="FFFFFF"/>
        </w:rPr>
        <w:t>原则</w:t>
      </w:r>
    </w:p>
    <w:p w14:paraId="3ACB60A1" w14:textId="77777777" w:rsidR="009E73DC" w:rsidRDefault="00000000">
      <w:pPr>
        <w:pStyle w:val="a3"/>
        <w:numPr>
          <w:ilvl w:val="4"/>
          <w:numId w:val="2"/>
        </w:numPr>
        <w:rPr>
          <w:rFonts w:ascii="Times New Roman"/>
          <w:spacing w:val="5"/>
          <w:szCs w:val="21"/>
          <w:shd w:val="clear" w:color="auto" w:fill="FFFFFF"/>
        </w:rPr>
      </w:pPr>
      <w:r>
        <w:rPr>
          <w:rFonts w:ascii="Times New Roman"/>
          <w:spacing w:val="5"/>
          <w:szCs w:val="21"/>
          <w:shd w:val="clear" w:color="auto" w:fill="FFFFFF"/>
        </w:rPr>
        <w:t>在生产阶段，以下项目应收集初级数据</w:t>
      </w:r>
      <w:r>
        <w:rPr>
          <w:rFonts w:ascii="Times New Roman"/>
          <w:spacing w:val="5"/>
          <w:szCs w:val="21"/>
          <w:shd w:val="clear" w:color="auto" w:fill="FFFFFF"/>
        </w:rPr>
        <w:t>:</w:t>
      </w:r>
    </w:p>
    <w:p w14:paraId="2746D409" w14:textId="77777777" w:rsidR="009E73DC" w:rsidRDefault="00000000">
      <w:pPr>
        <w:widowControl/>
        <w:ind w:left="360"/>
        <w:rPr>
          <w:rFonts w:eastAsia="PingFang SC-Regular"/>
          <w:color w:val="1B1C21"/>
          <w:szCs w:val="21"/>
          <w:shd w:val="clear" w:color="auto" w:fill="FFFFFF"/>
        </w:rPr>
      </w:pPr>
      <w:r>
        <w:rPr>
          <w:rFonts w:eastAsia="PingFang SC-Regular" w:hint="eastAsia"/>
          <w:color w:val="1B1C21"/>
          <w:szCs w:val="21"/>
          <w:shd w:val="clear" w:color="auto" w:fill="FFFFFF"/>
        </w:rPr>
        <w:t>1</w:t>
      </w:r>
      <w:r>
        <w:rPr>
          <w:rFonts w:eastAsia="PingFang SC-Regular" w:hint="eastAsia"/>
          <w:color w:val="1B1C21"/>
          <w:szCs w:val="21"/>
          <w:shd w:val="clear" w:color="auto" w:fill="FFFFFF"/>
        </w:rPr>
        <w:t>）</w:t>
      </w:r>
      <w:r>
        <w:rPr>
          <w:rFonts w:eastAsia="PingFang SC-Regular"/>
          <w:color w:val="1B1C21"/>
          <w:szCs w:val="21"/>
          <w:shd w:val="clear" w:color="auto" w:fill="FFFFFF"/>
        </w:rPr>
        <w:t>电力、热力、燃料等能源消耗量</w:t>
      </w:r>
      <w:r>
        <w:rPr>
          <w:rFonts w:eastAsia="PingFang SC-Regular"/>
          <w:color w:val="1B1C21"/>
          <w:szCs w:val="21"/>
          <w:shd w:val="clear" w:color="auto" w:fill="FFFFFF"/>
        </w:rPr>
        <w:t>;</w:t>
      </w:r>
    </w:p>
    <w:p w14:paraId="6341250D" w14:textId="77777777" w:rsidR="009E73DC" w:rsidRDefault="00000000">
      <w:pPr>
        <w:widowControl/>
        <w:ind w:left="360"/>
        <w:rPr>
          <w:rFonts w:eastAsia="PingFang SC-Regular"/>
          <w:color w:val="1B1C21"/>
          <w:szCs w:val="21"/>
          <w:shd w:val="clear" w:color="auto" w:fill="FFFFFF"/>
        </w:rPr>
      </w:pPr>
      <w:r>
        <w:rPr>
          <w:rFonts w:eastAsia="PingFang SC-Regular" w:hint="eastAsia"/>
          <w:color w:val="1B1C21"/>
          <w:szCs w:val="21"/>
          <w:shd w:val="clear" w:color="auto" w:fill="FFFFFF"/>
        </w:rPr>
        <w:t>2</w:t>
      </w:r>
      <w:r>
        <w:rPr>
          <w:rFonts w:eastAsia="PingFang SC-Regular" w:hint="eastAsia"/>
          <w:color w:val="1B1C21"/>
          <w:szCs w:val="21"/>
          <w:shd w:val="clear" w:color="auto" w:fill="FFFFFF"/>
        </w:rPr>
        <w:t>）</w:t>
      </w:r>
      <w:r>
        <w:rPr>
          <w:rFonts w:eastAsia="PingFang SC-Regular"/>
          <w:color w:val="1B1C21"/>
          <w:szCs w:val="21"/>
          <w:shd w:val="clear" w:color="auto" w:fill="FFFFFF"/>
        </w:rPr>
        <w:t>水消耗量</w:t>
      </w:r>
    </w:p>
    <w:p w14:paraId="55373E03" w14:textId="77777777" w:rsidR="009E73DC" w:rsidRDefault="00000000">
      <w:pPr>
        <w:widowControl/>
        <w:ind w:left="360"/>
        <w:rPr>
          <w:rFonts w:eastAsia="PingFang SC-Regular"/>
          <w:color w:val="1B1C21"/>
          <w:szCs w:val="21"/>
          <w:shd w:val="clear" w:color="auto" w:fill="FFFFFF"/>
        </w:rPr>
      </w:pPr>
      <w:r>
        <w:rPr>
          <w:rFonts w:eastAsia="PingFang SC-Regular" w:hint="eastAsia"/>
          <w:color w:val="1B1C21"/>
          <w:szCs w:val="21"/>
          <w:shd w:val="clear" w:color="auto" w:fill="FFFFFF"/>
        </w:rPr>
        <w:t>3</w:t>
      </w:r>
      <w:r>
        <w:rPr>
          <w:rFonts w:eastAsia="PingFang SC-Regular" w:hint="eastAsia"/>
          <w:color w:val="1B1C21"/>
          <w:szCs w:val="21"/>
          <w:shd w:val="clear" w:color="auto" w:fill="FFFFFF"/>
        </w:rPr>
        <w:t>）</w:t>
      </w:r>
      <w:r>
        <w:rPr>
          <w:rFonts w:eastAsia="PingFang SC-Regular"/>
          <w:color w:val="1B1C21"/>
          <w:szCs w:val="21"/>
          <w:shd w:val="clear" w:color="auto" w:fill="FFFFFF"/>
        </w:rPr>
        <w:t>其他辅料投入量</w:t>
      </w:r>
      <w:r>
        <w:rPr>
          <w:rFonts w:eastAsia="PingFang SC-Regular"/>
          <w:color w:val="1B1C21"/>
          <w:szCs w:val="21"/>
          <w:shd w:val="clear" w:color="auto" w:fill="FFFFFF"/>
        </w:rPr>
        <w:t>;</w:t>
      </w:r>
    </w:p>
    <w:p w14:paraId="4352CE35" w14:textId="77777777" w:rsidR="009E73DC" w:rsidRDefault="00000000">
      <w:pPr>
        <w:pStyle w:val="a3"/>
        <w:numPr>
          <w:ilvl w:val="4"/>
          <w:numId w:val="2"/>
        </w:numPr>
        <w:rPr>
          <w:rFonts w:ascii="Times New Roman"/>
          <w:spacing w:val="5"/>
          <w:szCs w:val="21"/>
          <w:shd w:val="clear" w:color="auto" w:fill="FFFFFF"/>
        </w:rPr>
      </w:pPr>
      <w:r>
        <w:rPr>
          <w:rFonts w:ascii="Times New Roman"/>
          <w:spacing w:val="5"/>
          <w:szCs w:val="21"/>
          <w:shd w:val="clear" w:color="auto" w:fill="FFFFFF"/>
        </w:rPr>
        <w:t>在生产阶段，以下项目可收集次级数据</w:t>
      </w:r>
      <w:r>
        <w:rPr>
          <w:rFonts w:ascii="Times New Roman"/>
          <w:spacing w:val="5"/>
          <w:szCs w:val="21"/>
          <w:shd w:val="clear" w:color="auto" w:fill="FFFFFF"/>
        </w:rPr>
        <w:t>:</w:t>
      </w:r>
    </w:p>
    <w:p w14:paraId="5ABDAE47" w14:textId="77777777" w:rsidR="009E73DC" w:rsidRDefault="00000000">
      <w:pPr>
        <w:widowControl/>
        <w:ind w:left="360"/>
        <w:rPr>
          <w:rFonts w:eastAsia="PingFang SC-Regular"/>
          <w:color w:val="1B1C21"/>
          <w:szCs w:val="21"/>
          <w:shd w:val="clear" w:color="auto" w:fill="FFFFFF"/>
        </w:rPr>
      </w:pPr>
      <w:r>
        <w:rPr>
          <w:rFonts w:eastAsia="PingFang SC-Regular"/>
          <w:color w:val="1B1C21"/>
          <w:szCs w:val="21"/>
          <w:shd w:val="clear" w:color="auto" w:fill="FFFFFF"/>
        </w:rPr>
        <w:t>能源、水消耗相关的温室气体排放因子。</w:t>
      </w:r>
    </w:p>
    <w:p w14:paraId="39D3D0A1" w14:textId="77777777" w:rsidR="009E73DC" w:rsidRDefault="009E73DC">
      <w:pPr>
        <w:rPr>
          <w:szCs w:val="21"/>
        </w:rPr>
      </w:pPr>
    </w:p>
    <w:p w14:paraId="0DF78D7A" w14:textId="77777777" w:rsidR="009E73DC" w:rsidRDefault="00000000">
      <w:pPr>
        <w:pStyle w:val="a3"/>
        <w:ind w:left="0"/>
      </w:pPr>
      <w:r>
        <w:t>抵消原则</w:t>
      </w:r>
    </w:p>
    <w:p w14:paraId="6CFB44C1" w14:textId="77777777" w:rsidR="009E73DC" w:rsidRDefault="00000000">
      <w:pPr>
        <w:ind w:firstLineChars="200" w:firstLine="420"/>
        <w:rPr>
          <w:szCs w:val="21"/>
        </w:rPr>
      </w:pPr>
      <w:r>
        <w:rPr>
          <w:szCs w:val="21"/>
        </w:rPr>
        <w:t>申请单位不应将项目边界范围外，由</w:t>
      </w:r>
      <w:proofErr w:type="gramStart"/>
      <w:r>
        <w:rPr>
          <w:szCs w:val="21"/>
        </w:rPr>
        <w:t>碳减排项目</w:t>
      </w:r>
      <w:proofErr w:type="gramEnd"/>
      <w:r>
        <w:rPr>
          <w:szCs w:val="21"/>
        </w:rPr>
        <w:t>产生的减排量用于抵扣可再生氢的生命周期碳排放量。</w:t>
      </w:r>
    </w:p>
    <w:p w14:paraId="7E898C3B" w14:textId="77777777" w:rsidR="009E73DC" w:rsidRDefault="00000000">
      <w:pPr>
        <w:pStyle w:val="a3"/>
        <w:ind w:left="0"/>
      </w:pPr>
      <w:r>
        <w:t>取舍准则</w:t>
      </w:r>
    </w:p>
    <w:p w14:paraId="7DD5B7D4" w14:textId="77777777" w:rsidR="009E73DC" w:rsidRDefault="00000000">
      <w:pPr>
        <w:pStyle w:val="a3"/>
        <w:numPr>
          <w:ilvl w:val="3"/>
          <w:numId w:val="2"/>
        </w:numPr>
        <w:rPr>
          <w:rFonts w:ascii="Times New Roman"/>
          <w:szCs w:val="21"/>
        </w:rPr>
      </w:pPr>
      <w:r>
        <w:rPr>
          <w:rFonts w:ascii="Times New Roman"/>
          <w:spacing w:val="5"/>
          <w:szCs w:val="21"/>
          <w:shd w:val="clear" w:color="auto" w:fill="FFFFFF"/>
        </w:rPr>
        <w:t>不应将对产品碳足迹有实质性贡献的温室气体排放排除在外。应量化至少</w:t>
      </w:r>
      <w:r>
        <w:rPr>
          <w:rFonts w:ascii="Times New Roman"/>
          <w:spacing w:val="5"/>
          <w:szCs w:val="21"/>
          <w:shd w:val="clear" w:color="auto" w:fill="FFFFFF"/>
        </w:rPr>
        <w:t xml:space="preserve"> 95 %</w:t>
      </w:r>
      <w:r>
        <w:rPr>
          <w:rFonts w:ascii="Times New Roman"/>
          <w:spacing w:val="5"/>
          <w:szCs w:val="21"/>
          <w:shd w:val="clear" w:color="auto" w:fill="FFFFFF"/>
        </w:rPr>
        <w:t>与功能单位相关</w:t>
      </w:r>
      <w:r>
        <w:rPr>
          <w:rFonts w:ascii="Times New Roman"/>
          <w:szCs w:val="21"/>
        </w:rPr>
        <w:t>的生命周期内预计会产生的温室气体排放</w:t>
      </w:r>
      <w:r>
        <w:rPr>
          <w:rFonts w:ascii="Times New Roman"/>
          <w:szCs w:val="21"/>
        </w:rPr>
        <w:t>,</w:t>
      </w:r>
      <w:r>
        <w:rPr>
          <w:rFonts w:ascii="Times New Roman"/>
          <w:szCs w:val="21"/>
        </w:rPr>
        <w:t>即温室气体排放或清除量小于所评价产品温室气体总排放</w:t>
      </w:r>
      <w:proofErr w:type="gramStart"/>
      <w:r>
        <w:rPr>
          <w:rFonts w:ascii="Times New Roman"/>
          <w:szCs w:val="21"/>
        </w:rPr>
        <w:t>估测值</w:t>
      </w:r>
      <w:proofErr w:type="gramEnd"/>
      <w:r>
        <w:rPr>
          <w:rFonts w:ascii="Times New Roman"/>
          <w:szCs w:val="21"/>
        </w:rPr>
        <w:t>1%</w:t>
      </w:r>
      <w:r>
        <w:rPr>
          <w:rFonts w:ascii="Times New Roman"/>
          <w:szCs w:val="21"/>
        </w:rPr>
        <w:t>的可予以舍去，但累计不应超过</w:t>
      </w:r>
      <w:r>
        <w:rPr>
          <w:rFonts w:ascii="Times New Roman"/>
          <w:szCs w:val="21"/>
        </w:rPr>
        <w:t>5%</w:t>
      </w:r>
      <w:r>
        <w:rPr>
          <w:rFonts w:ascii="Times New Roman"/>
          <w:szCs w:val="21"/>
        </w:rPr>
        <w:t>。取舍准则不适用于有毒有害物质，产品碳足迹评价应包含所有有毒有害的材料和物质。</w:t>
      </w:r>
    </w:p>
    <w:p w14:paraId="0AFA3EB9" w14:textId="77777777" w:rsidR="009E73DC" w:rsidRDefault="00000000">
      <w:pPr>
        <w:pStyle w:val="a3"/>
        <w:numPr>
          <w:ilvl w:val="3"/>
          <w:numId w:val="2"/>
        </w:numPr>
        <w:rPr>
          <w:rFonts w:ascii="Times New Roman"/>
          <w:szCs w:val="21"/>
        </w:rPr>
      </w:pPr>
      <w:r>
        <w:rPr>
          <w:rFonts w:ascii="Times New Roman"/>
          <w:szCs w:val="21"/>
        </w:rPr>
        <w:t>舍去的温室气体排放应有书面记录。所选择的取舍准则对评价结果产生的影响应在评价报告中做出解释。</w:t>
      </w:r>
    </w:p>
    <w:p w14:paraId="3D44F8AD" w14:textId="77777777" w:rsidR="009E73DC" w:rsidRDefault="00000000">
      <w:pPr>
        <w:pStyle w:val="a3"/>
        <w:ind w:left="0"/>
      </w:pPr>
      <w:r>
        <w:t>分配与计算</w:t>
      </w:r>
    </w:p>
    <w:p w14:paraId="1A04EAE7" w14:textId="77777777" w:rsidR="009E73DC" w:rsidRDefault="00000000">
      <w:pPr>
        <w:pStyle w:val="a3"/>
        <w:numPr>
          <w:ilvl w:val="3"/>
          <w:numId w:val="2"/>
        </w:numPr>
        <w:rPr>
          <w:rFonts w:ascii="Times New Roman"/>
          <w:szCs w:val="21"/>
        </w:rPr>
      </w:pPr>
      <w:r>
        <w:rPr>
          <w:rFonts w:ascii="Times New Roman"/>
          <w:szCs w:val="21"/>
        </w:rPr>
        <w:t>分配</w:t>
      </w:r>
    </w:p>
    <w:p w14:paraId="49B46287" w14:textId="77777777" w:rsidR="009E73DC" w:rsidRDefault="00000000">
      <w:pPr>
        <w:ind w:firstLineChars="200" w:firstLine="420"/>
        <w:rPr>
          <w:color w:val="000000"/>
          <w:szCs w:val="21"/>
        </w:rPr>
      </w:pPr>
      <w:r>
        <w:rPr>
          <w:color w:val="000000"/>
          <w:szCs w:val="21"/>
        </w:rPr>
        <w:lastRenderedPageBreak/>
        <w:t>针对制氢工艺可能存在一个单元过程产生多种产品或副产品的情况，由于这类共生的产品产自同一套装置，且对每种产品和副产品的输入及输出无单独的表计进行计量，因此需要对输入输出的数据进行分配，计算出单位氢气的碳排放量。</w:t>
      </w:r>
    </w:p>
    <w:p w14:paraId="2834C13E" w14:textId="77777777" w:rsidR="009E73DC" w:rsidRDefault="00000000">
      <w:pPr>
        <w:rPr>
          <w:color w:val="000000"/>
          <w:szCs w:val="21"/>
        </w:rPr>
      </w:pPr>
      <w:r>
        <w:rPr>
          <w:color w:val="000000"/>
          <w:szCs w:val="21"/>
        </w:rPr>
        <w:t>分配原则的优先顺序为：</w:t>
      </w:r>
    </w:p>
    <w:p w14:paraId="0AE62618" w14:textId="77777777" w:rsidR="009E73DC" w:rsidRDefault="00000000">
      <w:pPr>
        <w:ind w:firstLineChars="200" w:firstLine="420"/>
        <w:rPr>
          <w:color w:val="000000"/>
          <w:szCs w:val="21"/>
        </w:rPr>
      </w:pPr>
      <w:r>
        <w:rPr>
          <w:color w:val="000000"/>
          <w:szCs w:val="21"/>
        </w:rPr>
        <w:t>a)</w:t>
      </w:r>
      <w:r>
        <w:rPr>
          <w:color w:val="000000"/>
          <w:szCs w:val="21"/>
        </w:rPr>
        <w:t>将不同产品划分为不同的子系统，采集子系统的输入和输出数据。如将制氢过程从工艺流程中独立切分出来，通过子系统的输入和输出数据编制生命周期清单。</w:t>
      </w:r>
    </w:p>
    <w:p w14:paraId="3A500D88" w14:textId="77777777" w:rsidR="009E73DC" w:rsidRDefault="00000000">
      <w:pPr>
        <w:ind w:firstLineChars="200" w:firstLine="420"/>
        <w:rPr>
          <w:color w:val="000000"/>
          <w:szCs w:val="21"/>
        </w:rPr>
      </w:pPr>
      <w:r>
        <w:rPr>
          <w:color w:val="000000"/>
          <w:szCs w:val="21"/>
        </w:rPr>
        <w:t>b)</w:t>
      </w:r>
      <w:r>
        <w:rPr>
          <w:color w:val="000000"/>
          <w:szCs w:val="21"/>
        </w:rPr>
        <w:t>如不能将制氢子系统从工艺流程中切分出来，应进行单元过程的分析，找出不能切分的单元过程（工艺流程可能包括很多单元过程，有的单元过程只与制氢工艺相关，有的单元过程可能同时产生多种产品和副产品，此时将产生多种产品和副产品的单元过程挑选出来进行研究）。明确不同产品和副产品的物理关系，从物理属性的角度选择分配的方法，例如重量、体积、热值等。分配方法应根据实际情况选择。</w:t>
      </w:r>
    </w:p>
    <w:p w14:paraId="2C23F7B2" w14:textId="77777777" w:rsidR="009E73DC" w:rsidRDefault="00000000">
      <w:pPr>
        <w:ind w:firstLineChars="200" w:firstLine="420"/>
        <w:rPr>
          <w:color w:val="000000"/>
          <w:szCs w:val="21"/>
        </w:rPr>
      </w:pPr>
      <w:r>
        <w:rPr>
          <w:color w:val="000000"/>
          <w:szCs w:val="21"/>
        </w:rPr>
        <w:t>如无法找到合适的物理属性对应关系，则可考虑采用经济属性的方式进行分配，如单位产品的价值。</w:t>
      </w:r>
    </w:p>
    <w:p w14:paraId="7AE2209B" w14:textId="77777777" w:rsidR="009E73DC" w:rsidRDefault="00000000">
      <w:pPr>
        <w:ind w:firstLineChars="200" w:firstLine="420"/>
        <w:rPr>
          <w:color w:val="000000"/>
          <w:szCs w:val="21"/>
        </w:rPr>
      </w:pPr>
      <w:r>
        <w:rPr>
          <w:color w:val="000000"/>
          <w:szCs w:val="21"/>
        </w:rPr>
        <w:t xml:space="preserve">c) </w:t>
      </w:r>
      <w:r>
        <w:rPr>
          <w:color w:val="000000"/>
          <w:szCs w:val="21"/>
        </w:rPr>
        <w:t>查找共生产品或副产品的排放因子，并用其计算出共生产品或副产品的碳排放量。用系统的总排放量减去共生产品或副产品的排放量得出单位氢气的碳排放量；废弃物及废气排放不纳入共生产品及副产品的范围。</w:t>
      </w:r>
    </w:p>
    <w:p w14:paraId="5009DC4F" w14:textId="77777777" w:rsidR="009E73DC" w:rsidRDefault="009E73DC">
      <w:pPr>
        <w:rPr>
          <w:color w:val="000000"/>
          <w:szCs w:val="21"/>
        </w:rPr>
      </w:pPr>
    </w:p>
    <w:p w14:paraId="2555A23C" w14:textId="77777777" w:rsidR="009E73DC" w:rsidRDefault="00000000">
      <w:pPr>
        <w:pStyle w:val="a3"/>
        <w:numPr>
          <w:ilvl w:val="3"/>
          <w:numId w:val="2"/>
        </w:numPr>
        <w:rPr>
          <w:rFonts w:ascii="Times New Roman"/>
          <w:szCs w:val="21"/>
        </w:rPr>
      </w:pPr>
      <w:r>
        <w:rPr>
          <w:rFonts w:ascii="Times New Roman"/>
          <w:szCs w:val="21"/>
        </w:rPr>
        <w:t>计算</w:t>
      </w:r>
    </w:p>
    <w:p w14:paraId="613DA1F9" w14:textId="77777777" w:rsidR="009E73DC" w:rsidRDefault="00000000">
      <w:pPr>
        <w:ind w:firstLineChars="200" w:firstLine="420"/>
        <w:rPr>
          <w:szCs w:val="21"/>
        </w:rPr>
      </w:pPr>
      <w:r>
        <w:rPr>
          <w:szCs w:val="21"/>
        </w:rPr>
        <w:t>数据收集完成后，应对可再生</w:t>
      </w:r>
      <w:proofErr w:type="gramStart"/>
      <w:r>
        <w:rPr>
          <w:szCs w:val="21"/>
        </w:rPr>
        <w:t>氢产品</w:t>
      </w:r>
      <w:proofErr w:type="gramEnd"/>
      <w:r>
        <w:rPr>
          <w:szCs w:val="21"/>
        </w:rPr>
        <w:t>系统中每一单元过程的温室气体排放进行量化，汇总获得以二氧化碳当量</w:t>
      </w:r>
      <w:r>
        <w:rPr>
          <w:szCs w:val="21"/>
        </w:rPr>
        <w:t>(kgCO</w:t>
      </w:r>
      <w:r>
        <w:rPr>
          <w:szCs w:val="21"/>
          <w:vertAlign w:val="subscript"/>
        </w:rPr>
        <w:t>2</w:t>
      </w:r>
      <w:r>
        <w:rPr>
          <w:szCs w:val="21"/>
        </w:rPr>
        <w:t>e)</w:t>
      </w:r>
      <w:r>
        <w:rPr>
          <w:szCs w:val="21"/>
        </w:rPr>
        <w:t>表示的可再生</w:t>
      </w:r>
      <w:proofErr w:type="gramStart"/>
      <w:r>
        <w:rPr>
          <w:szCs w:val="21"/>
        </w:rPr>
        <w:t>氢产品碳</w:t>
      </w:r>
      <w:proofErr w:type="gramEnd"/>
      <w:r>
        <w:rPr>
          <w:szCs w:val="21"/>
        </w:rPr>
        <w:t>足迹。计算方法见公式</w:t>
      </w:r>
      <w:r>
        <w:rPr>
          <w:szCs w:val="21"/>
        </w:rPr>
        <w:t>(2)</w:t>
      </w:r>
      <w:r>
        <w:rPr>
          <w:szCs w:val="21"/>
        </w:rPr>
        <w:t>。</w:t>
      </w:r>
    </w:p>
    <w:p w14:paraId="147BC6EB" w14:textId="77777777" w:rsidR="009E73DC" w:rsidRDefault="00000000">
      <w:pPr>
        <w:ind w:leftChars="700" w:left="1470"/>
        <w:rPr>
          <w:szCs w:val="21"/>
        </w:rPr>
      </w:pPr>
      <m:oMath>
        <m:sSub>
          <m:sSubPr>
            <m:ctrlPr>
              <w:rPr>
                <w:rFonts w:ascii="Cambria Math" w:hAnsi="Cambria Math"/>
                <w:i/>
                <w:szCs w:val="21"/>
              </w:rPr>
            </m:ctrlPr>
          </m:sSubPr>
          <m:e>
            <m:r>
              <w:rPr>
                <w:rFonts w:ascii="Cambria Math" w:hAnsi="Cambria Math"/>
                <w:szCs w:val="21"/>
              </w:rPr>
              <m:t>E</m:t>
            </m:r>
          </m:e>
          <m:sub>
            <m:r>
              <w:rPr>
                <w:rFonts w:ascii="Cambria Math" w:hAnsi="Cambria Math"/>
                <w:szCs w:val="21"/>
              </w:rPr>
              <m:t>GHG</m:t>
            </m:r>
          </m:sub>
        </m:sSub>
        <m:r>
          <w:rPr>
            <w:rFonts w:ascii="Cambria Math" w:hAnsi="Cambria Math"/>
            <w:szCs w:val="21"/>
          </w:rPr>
          <m:t>=</m:t>
        </m:r>
        <m:nary>
          <m:naryPr>
            <m:chr m:val="∑"/>
            <m:limLoc m:val="undOvr"/>
            <m:subHide m:val="1"/>
            <m:supHide m:val="1"/>
            <m:ctrlPr>
              <w:rPr>
                <w:rFonts w:ascii="Cambria Math" w:hAnsi="Cambria Math"/>
                <w:i/>
                <w:szCs w:val="21"/>
              </w:rPr>
            </m:ctrlPr>
          </m:naryPr>
          <m:sub/>
          <m:sup/>
          <m:e>
            <m:r>
              <w:rPr>
                <w:rFonts w:ascii="Cambria Math" w:hAnsi="Cambria Math"/>
                <w:szCs w:val="21"/>
              </w:rPr>
              <m:t>（</m:t>
            </m:r>
            <m:sSub>
              <m:sSubPr>
                <m:ctrlPr>
                  <w:rPr>
                    <w:rFonts w:ascii="Cambria Math" w:hAnsi="Cambria Math"/>
                    <w:i/>
                    <w:szCs w:val="21"/>
                  </w:rPr>
                </m:ctrlPr>
              </m:sSubPr>
              <m:e>
                <m:r>
                  <w:rPr>
                    <w:rFonts w:ascii="Cambria Math" w:hAnsi="Cambria Math"/>
                    <w:szCs w:val="21"/>
                  </w:rPr>
                  <m:t>AD</m:t>
                </m:r>
              </m:e>
              <m:sub>
                <m:r>
                  <w:rPr>
                    <w:rFonts w:ascii="Cambria Math" w:hAnsi="Cambria Math"/>
                    <w:szCs w:val="21"/>
                  </w:rPr>
                  <m:t>i</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EF</m:t>
                </m:r>
              </m:e>
              <m:sub>
                <m:r>
                  <w:rPr>
                    <w:rFonts w:ascii="Cambria Math" w:hAnsi="Cambria Math"/>
                    <w:szCs w:val="21"/>
                  </w:rPr>
                  <m:t>i</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GWP</m:t>
                </m:r>
              </m:e>
              <m:sub>
                <m:r>
                  <w:rPr>
                    <w:rFonts w:ascii="Cambria Math" w:hAnsi="Cambria Math"/>
                    <w:szCs w:val="21"/>
                  </w:rPr>
                  <m:t>i</m:t>
                </m:r>
              </m:sub>
            </m:sSub>
            <m:r>
              <w:rPr>
                <w:rFonts w:ascii="Cambria Math" w:hAnsi="Cambria Math"/>
                <w:szCs w:val="21"/>
              </w:rPr>
              <m:t>）</m:t>
            </m:r>
          </m:e>
        </m:nary>
      </m:oMath>
      <w:r>
        <w:rPr>
          <w:szCs w:val="21"/>
        </w:rPr>
        <w:t>...................................................(2)</w:t>
      </w:r>
    </w:p>
    <w:p w14:paraId="6B8AE9B4" w14:textId="77777777" w:rsidR="009E73DC" w:rsidRDefault="009E73DC">
      <w:pPr>
        <w:ind w:leftChars="400" w:left="840"/>
        <w:rPr>
          <w:szCs w:val="21"/>
        </w:rPr>
      </w:pPr>
    </w:p>
    <w:p w14:paraId="4B349168" w14:textId="77777777" w:rsidR="009E73DC" w:rsidRDefault="00000000">
      <w:pPr>
        <w:rPr>
          <w:szCs w:val="21"/>
        </w:rPr>
      </w:pPr>
      <m:oMath>
        <m:sSub>
          <m:sSubPr>
            <m:ctrlPr>
              <w:rPr>
                <w:rFonts w:ascii="Cambria Math" w:hAnsi="Cambria Math"/>
                <w:i/>
                <w:szCs w:val="21"/>
              </w:rPr>
            </m:ctrlPr>
          </m:sSubPr>
          <m:e>
            <m:r>
              <w:rPr>
                <w:rFonts w:ascii="Cambria Math" w:hAnsi="Cambria Math"/>
                <w:szCs w:val="21"/>
              </w:rPr>
              <m:t>E</m:t>
            </m:r>
          </m:e>
          <m:sub>
            <m:r>
              <w:rPr>
                <w:rFonts w:ascii="Cambria Math" w:hAnsi="Cambria Math"/>
                <w:szCs w:val="21"/>
              </w:rPr>
              <m:t>GHG</m:t>
            </m:r>
          </m:sub>
        </m:sSub>
        <m:r>
          <w:rPr>
            <w:rFonts w:ascii="Cambria Math" w:hAnsi="Cambria Math"/>
            <w:szCs w:val="21"/>
          </w:rPr>
          <m:t xml:space="preserve">  </m:t>
        </m:r>
      </m:oMath>
      <w:r>
        <w:rPr>
          <w:szCs w:val="21"/>
        </w:rPr>
        <w:t>——</w:t>
      </w:r>
      <w:r>
        <w:rPr>
          <w:szCs w:val="21"/>
        </w:rPr>
        <w:t>产品碳足迹，单位为千克二氧化碳当量</w:t>
      </w:r>
      <w:r>
        <w:rPr>
          <w:szCs w:val="21"/>
        </w:rPr>
        <w:t>(kgCO</w:t>
      </w:r>
      <w:r>
        <w:rPr>
          <w:szCs w:val="21"/>
          <w:vertAlign w:val="subscript"/>
        </w:rPr>
        <w:t>2</w:t>
      </w:r>
      <w:r>
        <w:rPr>
          <w:szCs w:val="21"/>
        </w:rPr>
        <w:t>e);</w:t>
      </w:r>
    </w:p>
    <w:p w14:paraId="3ABB15BA" w14:textId="77777777" w:rsidR="009E73DC" w:rsidRDefault="00000000">
      <w:pPr>
        <w:rPr>
          <w:szCs w:val="21"/>
        </w:rPr>
      </w:pPr>
      <m:oMath>
        <m:sSub>
          <m:sSubPr>
            <m:ctrlPr>
              <w:rPr>
                <w:rFonts w:ascii="Cambria Math" w:hAnsi="Cambria Math"/>
                <w:i/>
                <w:szCs w:val="21"/>
              </w:rPr>
            </m:ctrlPr>
          </m:sSubPr>
          <m:e>
            <m:r>
              <w:rPr>
                <w:rFonts w:ascii="Cambria Math" w:hAnsi="Cambria Math"/>
                <w:szCs w:val="21"/>
              </w:rPr>
              <m:t>AD</m:t>
            </m:r>
          </m:e>
          <m:sub>
            <m:r>
              <w:rPr>
                <w:rFonts w:ascii="Cambria Math" w:hAnsi="Cambria Math"/>
                <w:szCs w:val="21"/>
              </w:rPr>
              <m:t>i</m:t>
            </m:r>
          </m:sub>
        </m:sSub>
      </m:oMath>
      <w:r>
        <w:rPr>
          <w:szCs w:val="21"/>
        </w:rPr>
        <w:t xml:space="preserve">  ——</w:t>
      </w:r>
      <w:r>
        <w:rPr>
          <w:szCs w:val="21"/>
        </w:rPr>
        <w:t>第</w:t>
      </w:r>
      <w:proofErr w:type="spellStart"/>
      <w:r>
        <w:rPr>
          <w:szCs w:val="21"/>
        </w:rPr>
        <w:t>i</w:t>
      </w:r>
      <w:proofErr w:type="spellEnd"/>
      <w:proofErr w:type="gramStart"/>
      <w:r>
        <w:rPr>
          <w:szCs w:val="21"/>
        </w:rPr>
        <w:t>种活动</w:t>
      </w:r>
      <w:proofErr w:type="gramEnd"/>
      <w:r>
        <w:rPr>
          <w:szCs w:val="21"/>
        </w:rPr>
        <w:t>的温室气体活动数据，单位根据具体排放</w:t>
      </w:r>
      <w:proofErr w:type="gramStart"/>
      <w:r>
        <w:rPr>
          <w:szCs w:val="21"/>
        </w:rPr>
        <w:t>源确定</w:t>
      </w:r>
      <w:proofErr w:type="gramEnd"/>
      <w:r>
        <w:rPr>
          <w:szCs w:val="21"/>
        </w:rPr>
        <w:t>;</w:t>
      </w:r>
    </w:p>
    <w:p w14:paraId="363D5D55" w14:textId="77777777" w:rsidR="009E73DC" w:rsidRDefault="00000000">
      <w:pPr>
        <w:rPr>
          <w:szCs w:val="21"/>
        </w:rPr>
      </w:pPr>
      <m:oMath>
        <m:sSub>
          <m:sSubPr>
            <m:ctrlPr>
              <w:rPr>
                <w:rFonts w:ascii="Cambria Math" w:hAnsi="Cambria Math"/>
                <w:i/>
                <w:szCs w:val="21"/>
              </w:rPr>
            </m:ctrlPr>
          </m:sSubPr>
          <m:e>
            <m:r>
              <w:rPr>
                <w:rFonts w:ascii="Cambria Math" w:hAnsi="Cambria Math"/>
                <w:szCs w:val="21"/>
              </w:rPr>
              <m:t>EF</m:t>
            </m:r>
          </m:e>
          <m:sub>
            <m:r>
              <w:rPr>
                <w:rFonts w:ascii="Cambria Math" w:hAnsi="Cambria Math"/>
                <w:szCs w:val="21"/>
              </w:rPr>
              <m:t>i</m:t>
            </m:r>
          </m:sub>
        </m:sSub>
      </m:oMath>
      <w:r>
        <w:rPr>
          <w:szCs w:val="21"/>
        </w:rPr>
        <w:t xml:space="preserve">  ——</w:t>
      </w:r>
      <w:r>
        <w:rPr>
          <w:szCs w:val="21"/>
        </w:rPr>
        <w:t>第</w:t>
      </w:r>
      <w:proofErr w:type="spellStart"/>
      <w:r>
        <w:rPr>
          <w:szCs w:val="21"/>
        </w:rPr>
        <w:t>i</w:t>
      </w:r>
      <w:proofErr w:type="spellEnd"/>
      <w:proofErr w:type="gramStart"/>
      <w:r>
        <w:rPr>
          <w:szCs w:val="21"/>
        </w:rPr>
        <w:t>种活动</w:t>
      </w:r>
      <w:proofErr w:type="gramEnd"/>
      <w:r>
        <w:rPr>
          <w:szCs w:val="21"/>
        </w:rPr>
        <w:t>对应的温室气体排放因子，单位与温室气体活动数据的单位相匹配</w:t>
      </w:r>
      <w:r>
        <w:rPr>
          <w:szCs w:val="21"/>
        </w:rPr>
        <w:t>;</w:t>
      </w:r>
    </w:p>
    <w:p w14:paraId="6B325AC5" w14:textId="77777777" w:rsidR="009E73DC" w:rsidRDefault="00000000">
      <w:pPr>
        <w:rPr>
          <w:szCs w:val="21"/>
        </w:rPr>
      </w:pPr>
      <m:oMath>
        <m:sSub>
          <m:sSubPr>
            <m:ctrlPr>
              <w:rPr>
                <w:rFonts w:ascii="Cambria Math" w:hAnsi="Cambria Math"/>
                <w:i/>
                <w:szCs w:val="21"/>
              </w:rPr>
            </m:ctrlPr>
          </m:sSubPr>
          <m:e>
            <m:r>
              <w:rPr>
                <w:rFonts w:ascii="Cambria Math" w:hAnsi="Cambria Math"/>
                <w:szCs w:val="21"/>
              </w:rPr>
              <m:t>GWP</m:t>
            </m:r>
          </m:e>
          <m:sub>
            <m:r>
              <w:rPr>
                <w:rFonts w:ascii="Cambria Math" w:hAnsi="Cambria Math"/>
                <w:szCs w:val="21"/>
              </w:rPr>
              <m:t>i</m:t>
            </m:r>
          </m:sub>
        </m:sSub>
      </m:oMath>
      <w:r>
        <w:rPr>
          <w:szCs w:val="21"/>
        </w:rPr>
        <w:t>——</w:t>
      </w:r>
      <w:r>
        <w:rPr>
          <w:szCs w:val="21"/>
        </w:rPr>
        <w:t>第</w:t>
      </w:r>
      <w:proofErr w:type="spellStart"/>
      <w:r>
        <w:rPr>
          <w:szCs w:val="21"/>
        </w:rPr>
        <w:t>i</w:t>
      </w:r>
      <w:proofErr w:type="spellEnd"/>
      <w:proofErr w:type="gramStart"/>
      <w:r>
        <w:rPr>
          <w:szCs w:val="21"/>
        </w:rPr>
        <w:t>种活动</w:t>
      </w:r>
      <w:proofErr w:type="gramEnd"/>
      <w:r>
        <w:rPr>
          <w:szCs w:val="21"/>
        </w:rPr>
        <w:t>对应的全球增温潜势值，数值可参考政府间气候变化专门委员会</w:t>
      </w:r>
      <w:r>
        <w:rPr>
          <w:szCs w:val="21"/>
        </w:rPr>
        <w:t>(IPCC)</w:t>
      </w:r>
      <w:r>
        <w:rPr>
          <w:szCs w:val="21"/>
        </w:rPr>
        <w:t>第一工作组评价报告</w:t>
      </w:r>
      <w:r>
        <w:rPr>
          <w:szCs w:val="21"/>
        </w:rPr>
        <w:t>“</w:t>
      </w:r>
      <w:r>
        <w:rPr>
          <w:szCs w:val="21"/>
        </w:rPr>
        <w:t>自然科学基础</w:t>
      </w:r>
      <w:r>
        <w:rPr>
          <w:szCs w:val="21"/>
        </w:rPr>
        <w:t>”(The Physical Science Basis)</w:t>
      </w:r>
      <w:r>
        <w:rPr>
          <w:szCs w:val="21"/>
        </w:rPr>
        <w:t>中提供的数据。</w:t>
      </w:r>
    </w:p>
    <w:p w14:paraId="05D1300E" w14:textId="77777777" w:rsidR="009E73DC" w:rsidRDefault="009E73DC">
      <w:pPr>
        <w:rPr>
          <w:szCs w:val="21"/>
        </w:rPr>
      </w:pPr>
    </w:p>
    <w:p w14:paraId="452D3F8F" w14:textId="77777777" w:rsidR="009E73DC" w:rsidRDefault="009E73DC">
      <w:pPr>
        <w:pStyle w:val="afffffff5"/>
        <w:ind w:firstLine="420"/>
      </w:pPr>
    </w:p>
    <w:p w14:paraId="73EC2CCF" w14:textId="77777777" w:rsidR="009E73DC" w:rsidRDefault="00000000">
      <w:pPr>
        <w:pStyle w:val="a1"/>
        <w:spacing w:before="312" w:after="312"/>
        <w:outlineLvl w:val="0"/>
        <w:rPr>
          <w:rFonts w:ascii="Times New Roman"/>
          <w:szCs w:val="21"/>
        </w:rPr>
      </w:pPr>
      <w:bookmarkStart w:id="45" w:name="_Toc30624"/>
      <w:bookmarkStart w:id="46" w:name="_Toc523086202"/>
      <w:bookmarkStart w:id="47" w:name="_Toc504935878"/>
      <w:bookmarkStart w:id="48" w:name="_Toc523086296"/>
      <w:bookmarkStart w:id="49" w:name="_Toc17065835"/>
      <w:bookmarkStart w:id="50" w:name="_Toc524096045"/>
      <w:bookmarkStart w:id="51" w:name="_Toc498702080"/>
      <w:bookmarkStart w:id="52" w:name="_Toc509092243"/>
      <w:bookmarkStart w:id="53" w:name="_Toc498689855"/>
      <w:bookmarkStart w:id="54" w:name="_Toc17066039"/>
      <w:bookmarkStart w:id="55" w:name="_Toc498702375"/>
      <w:bookmarkStart w:id="56" w:name="_Toc530129996"/>
      <w:bookmarkStart w:id="57" w:name="_Toc501405910"/>
      <w:bookmarkStart w:id="58" w:name="_Toc517377900"/>
      <w:bookmarkStart w:id="59" w:name="_Toc15823926"/>
      <w:bookmarkStart w:id="60" w:name="_Toc18066402"/>
      <w:bookmarkStart w:id="61" w:name="_Toc18067236"/>
      <w:bookmarkStart w:id="62" w:name="_Toc527888928"/>
      <w:bookmarkStart w:id="63" w:name="_Toc15286957"/>
      <w:bookmarkStart w:id="64" w:name="_Toc17066364"/>
      <w:bookmarkStart w:id="65" w:name="_Toc518028143"/>
      <w:bookmarkStart w:id="66" w:name="_Toc498711863"/>
      <w:bookmarkStart w:id="67" w:name="_Toc10815159"/>
      <w:bookmarkStart w:id="68" w:name="_Toc17066470"/>
      <w:bookmarkStart w:id="69" w:name="_Toc15245691"/>
      <w:bookmarkStart w:id="70" w:name="_Toc15288269"/>
      <w:bookmarkStart w:id="71" w:name="_Toc517377499"/>
      <w:bookmarkStart w:id="72" w:name="_Toc502609594"/>
      <w:bookmarkStart w:id="73" w:name="_Toc15245769"/>
      <w:bookmarkStart w:id="74" w:name="_Toc528146891"/>
      <w:bookmarkStart w:id="75" w:name="_Toc518478189"/>
      <w:bookmarkStart w:id="76" w:name="_Toc523086034"/>
      <w:bookmarkStart w:id="77" w:name="_Toc501891588"/>
      <w:bookmarkStart w:id="78" w:name="_Toc504336664"/>
      <w:bookmarkStart w:id="79" w:name="_Toc501892299"/>
      <w:bookmarkStart w:id="80" w:name="_Toc498700213"/>
      <w:bookmarkStart w:id="81" w:name="_Toc498701974"/>
      <w:bookmarkStart w:id="82" w:name="_Toc501891449"/>
      <w:bookmarkStart w:id="83" w:name="_Toc518028251"/>
      <w:bookmarkStart w:id="84" w:name="_Toc524204479"/>
      <w:bookmarkStart w:id="85" w:name="_Toc524204642"/>
      <w:bookmarkStart w:id="86" w:name="_Toc518028527"/>
      <w:bookmarkStart w:id="87" w:name="_Toc710144"/>
      <w:bookmarkStart w:id="88" w:name="_Toc16013328"/>
      <w:bookmarkStart w:id="89" w:name="_Toc498690126"/>
      <w:bookmarkStart w:id="90" w:name="_Toc498701628"/>
      <w:bookmarkStart w:id="91" w:name="_Toc16432758"/>
      <w:bookmarkStart w:id="92" w:name="_Toc15283339"/>
      <w:bookmarkStart w:id="93" w:name="_Toc498702672"/>
      <w:bookmarkStart w:id="94" w:name="_Toc529364734"/>
      <w:bookmarkStart w:id="95" w:name="_Toc17881734"/>
      <w:bookmarkStart w:id="96" w:name="_Toc528694331"/>
      <w:bookmarkEnd w:id="36"/>
      <w:bookmarkEnd w:id="37"/>
      <w:bookmarkEnd w:id="38"/>
      <w:bookmarkEnd w:id="39"/>
      <w:r>
        <w:rPr>
          <w:rFonts w:ascii="Times New Roman"/>
          <w:szCs w:val="21"/>
        </w:rPr>
        <w:t>管理要求</w:t>
      </w:r>
      <w:bookmarkEnd w:id="45"/>
    </w:p>
    <w:p w14:paraId="467FF590" w14:textId="77777777" w:rsidR="009E73DC" w:rsidRDefault="00000000">
      <w:pPr>
        <w:pStyle w:val="a2"/>
        <w:spacing w:before="156" w:after="156"/>
        <w:outlineLvl w:val="1"/>
        <w:rPr>
          <w:rFonts w:ascii="Times New Roman"/>
          <w:shd w:val="clear" w:color="auto" w:fill="FFFFFF"/>
        </w:rPr>
      </w:pPr>
      <w:bookmarkStart w:id="97" w:name="_Toc15591"/>
      <w:bookmarkStart w:id="98" w:name="_Toc12286"/>
      <w:bookmarkStart w:id="99" w:name="_Toc14518"/>
      <w:r>
        <w:rPr>
          <w:rFonts w:ascii="Times New Roman"/>
          <w:shd w:val="clear" w:color="auto" w:fill="FFFFFF"/>
        </w:rPr>
        <w:t>制度建设</w:t>
      </w:r>
      <w:bookmarkEnd w:id="97"/>
      <w:bookmarkEnd w:id="98"/>
      <w:bookmarkEnd w:id="99"/>
    </w:p>
    <w:p w14:paraId="35FC7299" w14:textId="77777777" w:rsidR="009E73DC" w:rsidRDefault="00000000">
      <w:pPr>
        <w:pStyle w:val="a3"/>
        <w:ind w:left="0"/>
        <w:rPr>
          <w:rFonts w:ascii="Times New Roman"/>
          <w:color w:val="1B1C21"/>
          <w:szCs w:val="21"/>
          <w:shd w:val="clear" w:color="auto" w:fill="FFFFFF"/>
        </w:rPr>
      </w:pPr>
      <w:bookmarkStart w:id="100" w:name="_Toc2491"/>
      <w:r>
        <w:rPr>
          <w:rFonts w:ascii="Times New Roman"/>
          <w:color w:val="1B1C21"/>
          <w:szCs w:val="21"/>
          <w:shd w:val="clear" w:color="auto" w:fill="FFFFFF"/>
        </w:rPr>
        <w:t>企业应建立健全的制度体系，制定涵盖研发设计、建设、生产、储存、运输、环境保护、安全生产等各个环节的管理制度。</w:t>
      </w:r>
    </w:p>
    <w:p w14:paraId="30C536E4" w14:textId="77777777" w:rsidR="009E73DC" w:rsidRDefault="00000000">
      <w:pPr>
        <w:pStyle w:val="a3"/>
        <w:ind w:left="0"/>
        <w:rPr>
          <w:rFonts w:ascii="Times New Roman"/>
          <w:color w:val="1B1C21"/>
          <w:szCs w:val="21"/>
          <w:shd w:val="clear" w:color="auto" w:fill="FFFFFF"/>
        </w:rPr>
      </w:pPr>
      <w:r>
        <w:rPr>
          <w:rFonts w:ascii="Times New Roman"/>
          <w:color w:val="1B1C21"/>
          <w:szCs w:val="21"/>
          <w:shd w:val="clear" w:color="auto" w:fill="FFFFFF"/>
        </w:rPr>
        <w:t>制氢企业应建立健全安全生产责任，制定完善的安全生产规章制度，包括安全操作规程、应急预案、培训制度等。</w:t>
      </w:r>
    </w:p>
    <w:p w14:paraId="18D7A478" w14:textId="77777777" w:rsidR="009E73DC" w:rsidRDefault="00000000">
      <w:pPr>
        <w:pStyle w:val="a3"/>
        <w:ind w:left="0"/>
        <w:rPr>
          <w:rFonts w:ascii="Times New Roman"/>
          <w:color w:val="1B1C21"/>
          <w:szCs w:val="21"/>
          <w:shd w:val="clear" w:color="auto" w:fill="FFFFFF"/>
          <w:lang w:val="zh-CN"/>
        </w:rPr>
      </w:pPr>
      <w:r>
        <w:rPr>
          <w:rFonts w:ascii="Times New Roman"/>
          <w:color w:val="1B1C21"/>
          <w:szCs w:val="21"/>
          <w:shd w:val="clear" w:color="auto" w:fill="FFFFFF"/>
        </w:rPr>
        <w:t>制氢企业应建立设备运行规程，氢气站</w:t>
      </w:r>
      <w:r>
        <w:rPr>
          <w:rFonts w:ascii="Times New Roman"/>
          <w:color w:val="1B1C21"/>
          <w:szCs w:val="21"/>
          <w:shd w:val="clear" w:color="auto" w:fill="FFFFFF"/>
          <w:lang w:val="zh-CN"/>
        </w:rPr>
        <w:t>运行人员</w:t>
      </w:r>
      <w:r>
        <w:rPr>
          <w:rFonts w:ascii="Times New Roman"/>
          <w:color w:val="1B1C21"/>
          <w:szCs w:val="21"/>
          <w:shd w:val="clear" w:color="auto" w:fill="FFFFFF"/>
        </w:rPr>
        <w:t>应</w:t>
      </w:r>
      <w:r>
        <w:rPr>
          <w:rFonts w:ascii="Times New Roman"/>
          <w:color w:val="1B1C21"/>
          <w:szCs w:val="21"/>
          <w:shd w:val="clear" w:color="auto" w:fill="FFFFFF"/>
          <w:lang w:val="zh-CN"/>
        </w:rPr>
        <w:t>熟练掌握制氢设备运行规程，</w:t>
      </w:r>
      <w:proofErr w:type="gramStart"/>
      <w:r>
        <w:rPr>
          <w:rFonts w:ascii="Times New Roman"/>
          <w:color w:val="1B1C21"/>
          <w:szCs w:val="21"/>
          <w:shd w:val="clear" w:color="auto" w:fill="FFFFFF"/>
          <w:lang w:val="zh-CN"/>
        </w:rPr>
        <w:t>熟知氢站工作</w:t>
      </w:r>
      <w:proofErr w:type="gramEnd"/>
      <w:r>
        <w:rPr>
          <w:rFonts w:ascii="Times New Roman"/>
          <w:color w:val="1B1C21"/>
          <w:szCs w:val="21"/>
          <w:shd w:val="clear" w:color="auto" w:fill="FFFFFF"/>
          <w:lang w:val="zh-CN"/>
        </w:rPr>
        <w:t>的安全常识。</w:t>
      </w:r>
    </w:p>
    <w:p w14:paraId="23CD48B1" w14:textId="77777777" w:rsidR="009E73DC" w:rsidRDefault="00000000">
      <w:pPr>
        <w:pStyle w:val="a2"/>
        <w:spacing w:before="156" w:after="156"/>
        <w:outlineLvl w:val="1"/>
        <w:rPr>
          <w:rFonts w:ascii="Times New Roman"/>
          <w:shd w:val="clear" w:color="auto" w:fill="FFFFFF"/>
        </w:rPr>
      </w:pPr>
      <w:bookmarkStart w:id="101" w:name="_Toc1280"/>
      <w:bookmarkStart w:id="102" w:name="_Toc28649"/>
      <w:bookmarkEnd w:id="100"/>
      <w:r>
        <w:rPr>
          <w:rFonts w:ascii="Times New Roman"/>
          <w:shd w:val="clear" w:color="auto" w:fill="FFFFFF"/>
        </w:rPr>
        <w:t>设施设备</w:t>
      </w:r>
      <w:bookmarkEnd w:id="101"/>
      <w:bookmarkEnd w:id="102"/>
    </w:p>
    <w:p w14:paraId="156A7184" w14:textId="77777777" w:rsidR="009E73DC" w:rsidRDefault="00000000">
      <w:pPr>
        <w:pStyle w:val="a3"/>
        <w:ind w:left="0"/>
      </w:pPr>
      <w:r>
        <w:t>爆炸危险区域的电气设备和线路的设计、选型、安装，应符合《爆炸危险环境电力装置设计规范》（GB 50058）和《危险场所电气防爆安全规范》（AQ 3009）的要求。</w:t>
      </w:r>
    </w:p>
    <w:p w14:paraId="2F9185CF" w14:textId="77777777" w:rsidR="009E73DC" w:rsidRDefault="00000000">
      <w:pPr>
        <w:pStyle w:val="a3"/>
        <w:ind w:left="0"/>
        <w:rPr>
          <w:rFonts w:ascii="Times New Roman"/>
          <w:color w:val="1B1C21"/>
          <w:szCs w:val="21"/>
          <w:shd w:val="clear" w:color="auto" w:fill="FFFFFF"/>
        </w:rPr>
      </w:pPr>
      <w:r>
        <w:rPr>
          <w:rFonts w:ascii="Times New Roman"/>
          <w:color w:val="1B1C21"/>
          <w:szCs w:val="21"/>
          <w:shd w:val="clear" w:color="auto" w:fill="FFFFFF"/>
        </w:rPr>
        <w:lastRenderedPageBreak/>
        <w:t>氢气管道及其附件的选用应充分考虑氢气相容性和氢脆等影响，铺设管道应满足《氢气站设计规范》（</w:t>
      </w:r>
      <w:r>
        <w:rPr>
          <w:rFonts w:ascii="Times New Roman"/>
          <w:color w:val="1B1C21"/>
          <w:szCs w:val="21"/>
          <w:shd w:val="clear" w:color="auto" w:fill="FFFFFF"/>
        </w:rPr>
        <w:t>GB50177</w:t>
      </w:r>
      <w:r>
        <w:rPr>
          <w:rFonts w:ascii="Times New Roman"/>
          <w:color w:val="1B1C21"/>
          <w:szCs w:val="21"/>
          <w:shd w:val="clear" w:color="auto" w:fill="FFFFFF"/>
        </w:rPr>
        <w:t>）和《氢气储存输送系统》（</w:t>
      </w:r>
      <w:r>
        <w:rPr>
          <w:rFonts w:ascii="Times New Roman"/>
          <w:color w:val="1B1C21"/>
          <w:szCs w:val="21"/>
          <w:shd w:val="clear" w:color="auto" w:fill="FFFFFF"/>
        </w:rPr>
        <w:t>GB/T 34542</w:t>
      </w:r>
      <w:r>
        <w:rPr>
          <w:rFonts w:ascii="Times New Roman"/>
          <w:color w:val="1B1C21"/>
          <w:szCs w:val="21"/>
          <w:shd w:val="clear" w:color="auto" w:fill="FFFFFF"/>
        </w:rPr>
        <w:t>）的要求。</w:t>
      </w:r>
    </w:p>
    <w:p w14:paraId="7CC71A28" w14:textId="77777777" w:rsidR="009E73DC" w:rsidRDefault="00000000">
      <w:pPr>
        <w:pStyle w:val="a3"/>
        <w:ind w:left="0"/>
        <w:rPr>
          <w:rFonts w:ascii="Times New Roman"/>
          <w:color w:val="1B1C21"/>
          <w:szCs w:val="21"/>
          <w:shd w:val="clear" w:color="auto" w:fill="FFFFFF"/>
        </w:rPr>
      </w:pPr>
      <w:r>
        <w:rPr>
          <w:rFonts w:ascii="Times New Roman"/>
          <w:color w:val="1B1C21"/>
          <w:szCs w:val="21"/>
          <w:shd w:val="clear" w:color="auto" w:fill="FFFFFF"/>
        </w:rPr>
        <w:t>制氢</w:t>
      </w:r>
      <w:r>
        <w:rPr>
          <w:rFonts w:ascii="Times New Roman" w:eastAsia="PingFang SC-Regular"/>
          <w:color w:val="1B1C21"/>
          <w:szCs w:val="21"/>
          <w:shd w:val="clear" w:color="auto" w:fill="FFFFFF"/>
        </w:rPr>
        <w:t>企业</w:t>
      </w:r>
      <w:r>
        <w:rPr>
          <w:rFonts w:ascii="Times New Roman"/>
          <w:color w:val="1B1C21"/>
          <w:szCs w:val="21"/>
          <w:shd w:val="clear" w:color="auto" w:fill="FFFFFF"/>
        </w:rPr>
        <w:t>应</w:t>
      </w:r>
      <w:r>
        <w:rPr>
          <w:rFonts w:ascii="Times New Roman" w:eastAsia="PingFang SC-Regular"/>
          <w:color w:val="1B1C21"/>
          <w:szCs w:val="21"/>
          <w:shd w:val="clear" w:color="auto" w:fill="FFFFFF"/>
        </w:rPr>
        <w:t>配备超压泄放装置、压力检测仪表或传感器、氢气泄漏检测报警仪、氢火焰检测报警仪、防雷及防静电装置、阻火器、超压报警或者低压报警装置等安全设备设施和</w:t>
      </w:r>
      <w:proofErr w:type="gramStart"/>
      <w:r>
        <w:rPr>
          <w:rFonts w:ascii="Times New Roman" w:eastAsia="PingFang SC-Regular"/>
          <w:color w:val="1B1C21"/>
          <w:szCs w:val="21"/>
          <w:shd w:val="clear" w:color="auto" w:fill="FFFFFF"/>
        </w:rPr>
        <w:t>联锁</w:t>
      </w:r>
      <w:proofErr w:type="gramEnd"/>
      <w:r>
        <w:rPr>
          <w:rFonts w:ascii="Times New Roman" w:eastAsia="PingFang SC-Regular"/>
          <w:color w:val="1B1C21"/>
          <w:szCs w:val="21"/>
          <w:shd w:val="clear" w:color="auto" w:fill="FFFFFF"/>
        </w:rPr>
        <w:t>措施</w:t>
      </w:r>
      <w:r>
        <w:rPr>
          <w:rFonts w:ascii="Times New Roman"/>
          <w:color w:val="1B1C21"/>
          <w:szCs w:val="21"/>
          <w:shd w:val="clear" w:color="auto" w:fill="FFFFFF"/>
        </w:rPr>
        <w:t>。</w:t>
      </w:r>
    </w:p>
    <w:p w14:paraId="7D436710" w14:textId="77777777" w:rsidR="009E73DC" w:rsidRDefault="00000000">
      <w:pPr>
        <w:pStyle w:val="a3"/>
        <w:ind w:left="0"/>
        <w:rPr>
          <w:rFonts w:ascii="Times New Roman"/>
          <w:color w:val="1B1C21"/>
          <w:szCs w:val="21"/>
          <w:shd w:val="clear" w:color="auto" w:fill="FFFFFF"/>
        </w:rPr>
      </w:pPr>
      <w:r>
        <w:rPr>
          <w:rFonts w:ascii="Times New Roman"/>
          <w:color w:val="1B1C21"/>
          <w:szCs w:val="21"/>
          <w:shd w:val="clear" w:color="auto" w:fill="FFFFFF"/>
        </w:rPr>
        <w:t>氢气</w:t>
      </w:r>
      <w:r>
        <w:rPr>
          <w:rFonts w:ascii="Times New Roman" w:eastAsia="PingFang SC-Regular"/>
          <w:color w:val="1B1C21"/>
          <w:szCs w:val="21"/>
          <w:shd w:val="clear" w:color="auto" w:fill="FFFFFF"/>
        </w:rPr>
        <w:t>站</w:t>
      </w:r>
      <w:r>
        <w:rPr>
          <w:rFonts w:ascii="Times New Roman"/>
          <w:color w:val="1B1C21"/>
          <w:szCs w:val="21"/>
          <w:shd w:val="clear" w:color="auto" w:fill="FFFFFF"/>
        </w:rPr>
        <w:t>应配备完善的消防系统，包括火灾报警器、自动灭火装置和充足的消防器材。</w:t>
      </w:r>
    </w:p>
    <w:p w14:paraId="1DD5DECE" w14:textId="77777777" w:rsidR="009E73DC" w:rsidRDefault="00000000">
      <w:pPr>
        <w:pStyle w:val="a3"/>
        <w:ind w:left="0"/>
        <w:rPr>
          <w:rFonts w:ascii="Times New Roman" w:eastAsia="PingFang SC-Regular"/>
          <w:color w:val="1B1C21"/>
          <w:kern w:val="2"/>
          <w:szCs w:val="21"/>
          <w:shd w:val="clear" w:color="auto" w:fill="FFFFFF"/>
          <w:lang w:val="zh-CN"/>
        </w:rPr>
      </w:pPr>
      <w:r>
        <w:rPr>
          <w:rFonts w:ascii="Times New Roman" w:eastAsia="PingFang SC-Regular"/>
          <w:color w:val="1B1C21"/>
          <w:kern w:val="2"/>
          <w:szCs w:val="21"/>
          <w:shd w:val="clear" w:color="auto" w:fill="FFFFFF"/>
          <w:lang w:val="zh-CN"/>
        </w:rPr>
        <w:t>氢气储存设施（如高压气瓶、储氢罐等）应符合国家相关标准，具备良好的密封性和耐压性能。例如，《加氢站用储氢装置安全技术要求》（</w:t>
      </w:r>
      <w:r>
        <w:rPr>
          <w:rFonts w:ascii="Times New Roman" w:eastAsia="PingFang SC-Regular"/>
          <w:color w:val="1B1C21"/>
          <w:kern w:val="2"/>
          <w:szCs w:val="21"/>
          <w:shd w:val="clear" w:color="auto" w:fill="FFFFFF"/>
          <w:lang w:val="zh-CN"/>
        </w:rPr>
        <w:t>GB/T 34583-2017</w:t>
      </w:r>
      <w:r>
        <w:rPr>
          <w:rFonts w:ascii="Times New Roman" w:eastAsia="PingFang SC-Regular"/>
          <w:color w:val="1B1C21"/>
          <w:kern w:val="2"/>
          <w:szCs w:val="21"/>
          <w:shd w:val="clear" w:color="auto" w:fill="FFFFFF"/>
          <w:lang w:val="zh-CN"/>
        </w:rPr>
        <w:t>）对加氢站用储氢装置的安全技术要求进行了详细规定。</w:t>
      </w:r>
    </w:p>
    <w:p w14:paraId="30D14068" w14:textId="77777777" w:rsidR="009E73DC" w:rsidRDefault="00000000">
      <w:pPr>
        <w:pStyle w:val="a3"/>
        <w:ind w:left="0"/>
        <w:rPr>
          <w:rFonts w:ascii="Times New Roman" w:eastAsia="PingFang SC-Regular"/>
          <w:color w:val="1B1C21"/>
          <w:szCs w:val="21"/>
          <w:shd w:val="clear" w:color="auto" w:fill="FFFFFF"/>
          <w:lang w:val="zh-CN"/>
        </w:rPr>
      </w:pPr>
      <w:r>
        <w:rPr>
          <w:rFonts w:ascii="Times New Roman"/>
          <w:color w:val="1B1C21"/>
          <w:szCs w:val="21"/>
          <w:shd w:val="clear" w:color="auto" w:fill="FFFFFF"/>
        </w:rPr>
        <w:t>制氢企业</w:t>
      </w:r>
      <w:r>
        <w:rPr>
          <w:rFonts w:ascii="Times New Roman" w:eastAsia="PingFang SC-Regular"/>
          <w:color w:val="1B1C21"/>
          <w:szCs w:val="21"/>
          <w:shd w:val="clear" w:color="auto" w:fill="FFFFFF"/>
          <w:lang w:val="zh-CN"/>
        </w:rPr>
        <w:t>应依据</w:t>
      </w:r>
      <w:r>
        <w:rPr>
          <w:rFonts w:ascii="Times New Roman" w:eastAsia="PingFang SC-Regular"/>
          <w:color w:val="1B1C21"/>
          <w:szCs w:val="21"/>
          <w:shd w:val="clear" w:color="auto" w:fill="FFFFFF"/>
          <w:lang w:val="zh-CN"/>
        </w:rPr>
        <w:t>GB 17167.GB 24789</w:t>
      </w:r>
      <w:r>
        <w:rPr>
          <w:rFonts w:ascii="Times New Roman" w:eastAsia="PingFang SC-Regular"/>
          <w:color w:val="1B1C21"/>
          <w:szCs w:val="21"/>
          <w:shd w:val="clear" w:color="auto" w:fill="FFFFFF"/>
          <w:lang w:val="zh-CN"/>
        </w:rPr>
        <w:t>等要求配备、使用和管理能源、水以及其他资源的计量器具和装置。能源及资源使用的类型不同时，应进行分类计量。</w:t>
      </w:r>
    </w:p>
    <w:p w14:paraId="66A098C4" w14:textId="77777777" w:rsidR="009E73DC" w:rsidRDefault="00000000">
      <w:pPr>
        <w:pStyle w:val="a3"/>
        <w:ind w:left="0"/>
        <w:rPr>
          <w:rFonts w:ascii="Times New Roman"/>
          <w:color w:val="1B1C21"/>
          <w:szCs w:val="21"/>
          <w:shd w:val="clear" w:color="auto" w:fill="FFFFFF"/>
        </w:rPr>
      </w:pPr>
      <w:r>
        <w:rPr>
          <w:rFonts w:ascii="Times New Roman" w:hint="eastAsia"/>
          <w:color w:val="1B1C21"/>
          <w:szCs w:val="21"/>
          <w:shd w:val="clear" w:color="auto" w:fill="FFFFFF"/>
        </w:rPr>
        <w:t>制氢企业应根据需要设置下列计量仪器：原料气体流量计；</w:t>
      </w:r>
      <w:r>
        <w:rPr>
          <w:rFonts w:ascii="Times New Roman" w:hint="eastAsia"/>
          <w:color w:val="1B1C21"/>
          <w:szCs w:val="21"/>
          <w:shd w:val="clear" w:color="auto" w:fill="FFFFFF"/>
        </w:rPr>
        <w:t xml:space="preserve"> </w:t>
      </w:r>
      <w:r>
        <w:rPr>
          <w:rFonts w:ascii="Times New Roman" w:hint="eastAsia"/>
          <w:color w:val="1B1C21"/>
          <w:szCs w:val="21"/>
          <w:shd w:val="clear" w:color="auto" w:fill="FFFFFF"/>
        </w:rPr>
        <w:t>产品氢气或对外供氢的氢气流量计。对可再生氢气产量由清晰的记录。</w:t>
      </w:r>
    </w:p>
    <w:p w14:paraId="3A117FE1" w14:textId="77777777" w:rsidR="009E73DC" w:rsidRDefault="00000000">
      <w:pPr>
        <w:pStyle w:val="a3"/>
        <w:ind w:left="0"/>
        <w:rPr>
          <w:rFonts w:ascii="Times New Roman"/>
          <w:color w:val="1B1C21"/>
          <w:szCs w:val="21"/>
          <w:shd w:val="clear" w:color="auto" w:fill="FFFFFF"/>
        </w:rPr>
      </w:pPr>
      <w:r>
        <w:rPr>
          <w:rFonts w:ascii="Times New Roman"/>
          <w:color w:val="1B1C21"/>
          <w:szCs w:val="21"/>
          <w:shd w:val="clear" w:color="auto" w:fill="FFFFFF"/>
        </w:rPr>
        <w:t>制氢企业宜通过物联网传感器实现对制氢设备及生产环境的实时监控，获取各类数据。</w:t>
      </w:r>
    </w:p>
    <w:p w14:paraId="4C63AB10" w14:textId="77777777" w:rsidR="009E73DC" w:rsidRDefault="009E73DC">
      <w:pPr>
        <w:pStyle w:val="afffffff5"/>
        <w:ind w:firstLine="420"/>
      </w:pPr>
    </w:p>
    <w:p w14:paraId="26A653DD" w14:textId="77777777" w:rsidR="009E73DC" w:rsidRDefault="009E73DC">
      <w:pPr>
        <w:pStyle w:val="afffffff5"/>
        <w:ind w:firstLine="420"/>
      </w:pPr>
    </w:p>
    <w:p w14:paraId="55EC10F6" w14:textId="77777777" w:rsidR="009E73DC" w:rsidRDefault="00000000">
      <w:pPr>
        <w:pStyle w:val="a2"/>
        <w:spacing w:before="156" w:after="156"/>
        <w:outlineLvl w:val="1"/>
        <w:rPr>
          <w:rFonts w:ascii="Times New Roman"/>
          <w:shd w:val="clear" w:color="auto" w:fill="FFFFFF"/>
          <w:lang w:val="zh-CN"/>
        </w:rPr>
      </w:pPr>
      <w:bookmarkStart w:id="103" w:name="_Toc12062"/>
      <w:bookmarkStart w:id="104" w:name="_Toc12866"/>
      <w:r>
        <w:rPr>
          <w:rFonts w:ascii="Times New Roman"/>
          <w:shd w:val="clear" w:color="auto" w:fill="FFFFFF"/>
        </w:rPr>
        <w:t>生产过程管理</w:t>
      </w:r>
      <w:bookmarkEnd w:id="103"/>
      <w:bookmarkEnd w:id="104"/>
    </w:p>
    <w:p w14:paraId="5C5398BD" w14:textId="77777777" w:rsidR="009E73DC" w:rsidRDefault="00000000">
      <w:pPr>
        <w:pStyle w:val="a3"/>
        <w:ind w:left="0"/>
        <w:rPr>
          <w:rFonts w:ascii="Times New Roman"/>
          <w:color w:val="1B1C21"/>
          <w:szCs w:val="21"/>
          <w:shd w:val="clear" w:color="auto" w:fill="FFFFFF"/>
        </w:rPr>
      </w:pPr>
      <w:bookmarkStart w:id="105" w:name="_Toc26224"/>
      <w:r>
        <w:rPr>
          <w:rFonts w:ascii="Times New Roman"/>
          <w:color w:val="1B1C21"/>
          <w:szCs w:val="21"/>
          <w:shd w:val="clear" w:color="auto" w:fill="FFFFFF"/>
        </w:rPr>
        <w:t>制氢所用的水资源应经过严格净化处理，达到电子级或同等级别的水质标准，以防止电解槽结垢和电极腐蚀。</w:t>
      </w:r>
    </w:p>
    <w:p w14:paraId="0E176FAB" w14:textId="77777777" w:rsidR="009E73DC" w:rsidRDefault="00000000">
      <w:pPr>
        <w:pStyle w:val="a3"/>
        <w:ind w:left="0"/>
        <w:rPr>
          <w:rFonts w:ascii="Times New Roman"/>
          <w:color w:val="1B1C21"/>
          <w:szCs w:val="21"/>
          <w:shd w:val="clear" w:color="auto" w:fill="FFFFFF"/>
        </w:rPr>
      </w:pPr>
      <w:r>
        <w:rPr>
          <w:rFonts w:ascii="Times New Roman"/>
          <w:color w:val="1B1C21"/>
          <w:szCs w:val="21"/>
          <w:shd w:val="clear" w:color="auto" w:fill="FFFFFF"/>
        </w:rPr>
        <w:t>电解液（如使用的碱性或酸性电解质）应定期更换和补充，保持其浓度和纯度在最佳状态。</w:t>
      </w:r>
    </w:p>
    <w:p w14:paraId="3423A0E7" w14:textId="77777777" w:rsidR="009E73DC" w:rsidRDefault="00000000">
      <w:pPr>
        <w:pStyle w:val="a3"/>
        <w:ind w:left="0"/>
        <w:rPr>
          <w:rFonts w:ascii="Times New Roman"/>
          <w:color w:val="1B1C21"/>
          <w:szCs w:val="21"/>
          <w:shd w:val="clear" w:color="auto" w:fill="FFFFFF"/>
        </w:rPr>
      </w:pPr>
      <w:r>
        <w:rPr>
          <w:rFonts w:ascii="Times New Roman"/>
          <w:color w:val="1B1C21"/>
          <w:szCs w:val="21"/>
          <w:shd w:val="clear" w:color="auto" w:fill="FFFFFF"/>
        </w:rPr>
        <w:t>氢气生产过程中所需的催化剂、分离膜等关键材料应建立严格的质量检验和使用登记制度。</w:t>
      </w:r>
    </w:p>
    <w:p w14:paraId="55E09715" w14:textId="77777777" w:rsidR="009E73DC" w:rsidRDefault="00000000">
      <w:pPr>
        <w:pStyle w:val="a1"/>
        <w:spacing w:before="312" w:after="312"/>
        <w:outlineLvl w:val="0"/>
      </w:pPr>
      <w:bookmarkStart w:id="106" w:name="_Toc2805"/>
      <w:bookmarkStart w:id="107" w:name="_Toc86312509"/>
      <w:bookmarkStart w:id="108" w:name="_Toc79573282"/>
      <w:bookmarkStart w:id="109" w:name="_Toc73090680"/>
      <w:bookmarkStart w:id="110" w:name="BookMark6"/>
      <w:bookmarkEnd w:id="40"/>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105"/>
      <w:r>
        <w:rPr>
          <w:rFonts w:hint="eastAsia"/>
        </w:rPr>
        <w:t>环境影响</w:t>
      </w:r>
      <w:bookmarkEnd w:id="106"/>
    </w:p>
    <w:p w14:paraId="2410E050" w14:textId="77777777" w:rsidR="009E73DC" w:rsidRDefault="00000000">
      <w:pPr>
        <w:pStyle w:val="a2"/>
        <w:spacing w:before="156" w:after="156"/>
        <w:outlineLvl w:val="9"/>
        <w:rPr>
          <w:rFonts w:ascii="宋体" w:eastAsia="宋体" w:hAnsi="宋体" w:cs="宋体" w:hint="eastAsia"/>
        </w:rPr>
      </w:pPr>
      <w:bookmarkStart w:id="111" w:name="_Toc1159"/>
      <w:r>
        <w:rPr>
          <w:rFonts w:ascii="宋体" w:eastAsia="宋体" w:hAnsi="宋体" w:cs="宋体" w:hint="eastAsia"/>
        </w:rPr>
        <w:t>企业的大气污染物排放应符合相关国家标准、行业标准及地方标准要求，并</w:t>
      </w:r>
      <w:proofErr w:type="gramStart"/>
      <w:r>
        <w:rPr>
          <w:rFonts w:ascii="宋体" w:eastAsia="宋体" w:hAnsi="宋体" w:cs="宋体" w:hint="eastAsia"/>
        </w:rPr>
        <w:t>满足区</w:t>
      </w:r>
      <w:proofErr w:type="gramEnd"/>
      <w:r>
        <w:rPr>
          <w:rFonts w:ascii="宋体" w:eastAsia="宋体" w:hAnsi="宋体" w:cs="宋体" w:hint="eastAsia"/>
        </w:rPr>
        <w:t>城内排放总量控制要。</w:t>
      </w:r>
      <w:bookmarkEnd w:id="111"/>
    </w:p>
    <w:p w14:paraId="367A352E" w14:textId="77777777" w:rsidR="009E73DC" w:rsidRDefault="00000000">
      <w:pPr>
        <w:pStyle w:val="a2"/>
        <w:spacing w:before="156" w:after="156"/>
        <w:outlineLvl w:val="9"/>
        <w:rPr>
          <w:rFonts w:ascii="宋体" w:eastAsia="宋体" w:hAnsi="宋体" w:cs="宋体" w:hint="eastAsia"/>
        </w:rPr>
      </w:pPr>
      <w:bookmarkStart w:id="112" w:name="_Toc23935"/>
      <w:r>
        <w:rPr>
          <w:rFonts w:ascii="宋体" w:eastAsia="宋体" w:hAnsi="宋体" w:cs="宋体" w:hint="eastAsia"/>
        </w:rPr>
        <w:t>企业的水体污染物排放应符合相关国家标准、行业标准及地方标准要求，或在满足要求的前提下委托具备相应能力和资质的处理厂进行处理，并满足区域内排放总量控制要求。</w:t>
      </w:r>
      <w:bookmarkEnd w:id="112"/>
    </w:p>
    <w:p w14:paraId="0956F091" w14:textId="77777777" w:rsidR="009E73DC" w:rsidRDefault="00000000">
      <w:pPr>
        <w:pStyle w:val="a2"/>
        <w:spacing w:before="156" w:after="156"/>
        <w:outlineLvl w:val="9"/>
        <w:rPr>
          <w:rFonts w:ascii="宋体" w:eastAsia="宋体" w:hAnsi="宋体" w:cs="宋体" w:hint="eastAsia"/>
        </w:rPr>
      </w:pPr>
      <w:bookmarkStart w:id="113" w:name="_Toc31425"/>
      <w:r>
        <w:rPr>
          <w:rFonts w:ascii="宋体" w:eastAsia="宋体" w:hAnsi="宋体" w:cs="宋体" w:hint="eastAsia"/>
        </w:rPr>
        <w:t>企业产生的固体废弃物的处理应符合GB 18599及相关标准的要求。企业无法自行处理的，应将固体废弃物转交给具备相应能力和资质的处理厂进行处理。</w:t>
      </w:r>
      <w:bookmarkEnd w:id="113"/>
    </w:p>
    <w:p w14:paraId="6757AFC2" w14:textId="77777777" w:rsidR="009E73DC" w:rsidRDefault="00000000">
      <w:pPr>
        <w:pStyle w:val="a2"/>
        <w:spacing w:before="156" w:after="156"/>
        <w:outlineLvl w:val="9"/>
        <w:rPr>
          <w:rFonts w:ascii="宋体" w:eastAsia="宋体" w:hAnsi="宋体" w:cs="宋体" w:hint="eastAsia"/>
        </w:rPr>
      </w:pPr>
      <w:bookmarkStart w:id="114" w:name="_Toc32491"/>
      <w:r>
        <w:rPr>
          <w:rFonts w:ascii="宋体" w:eastAsia="宋体" w:hAnsi="宋体" w:cs="宋体" w:hint="eastAsia"/>
        </w:rPr>
        <w:t>企业的厂界环境噪声排放应符合相关国家标准、行业标准及地方标准要求。</w:t>
      </w:r>
      <w:bookmarkEnd w:id="114"/>
    </w:p>
    <w:p w14:paraId="29FE9173" w14:textId="77777777" w:rsidR="009E73DC" w:rsidRDefault="00000000">
      <w:pPr>
        <w:pStyle w:val="a2"/>
        <w:spacing w:before="156" w:after="156"/>
        <w:outlineLvl w:val="9"/>
        <w:rPr>
          <w:rFonts w:ascii="宋体" w:eastAsia="宋体" w:hAnsi="宋体" w:cs="宋体" w:hint="eastAsia"/>
        </w:rPr>
      </w:pPr>
      <w:bookmarkStart w:id="115" w:name="_Toc8524"/>
      <w:r>
        <w:rPr>
          <w:rFonts w:ascii="宋体" w:eastAsia="宋体" w:hAnsi="宋体" w:cs="宋体" w:hint="eastAsia"/>
        </w:rPr>
        <w:t>企业应采用 GB/T 32150或适用的标准或规范对其厂界范围内的温室气体排放进行核算和报告，宜进行核查，核查结果</w:t>
      </w:r>
      <w:proofErr w:type="gramStart"/>
      <w:r>
        <w:rPr>
          <w:rFonts w:ascii="宋体" w:eastAsia="宋体" w:hAnsi="宋体" w:cs="宋体" w:hint="eastAsia"/>
        </w:rPr>
        <w:t>宜对外</w:t>
      </w:r>
      <w:proofErr w:type="gramEnd"/>
      <w:r>
        <w:rPr>
          <w:rFonts w:ascii="宋体" w:eastAsia="宋体" w:hAnsi="宋体" w:cs="宋体" w:hint="eastAsia"/>
        </w:rPr>
        <w:t>公布。可行时，企业应利用核算或核查结果对其温室气体的排放进行改善。</w:t>
      </w:r>
      <w:bookmarkEnd w:id="115"/>
    </w:p>
    <w:p w14:paraId="261EB8CD" w14:textId="77777777" w:rsidR="009E73DC" w:rsidRDefault="009E73DC">
      <w:pPr>
        <w:pStyle w:val="affffffff"/>
        <w:spacing w:before="124" w:after="156"/>
        <w:outlineLvl w:val="9"/>
        <w:rPr>
          <w:spacing w:val="105"/>
        </w:rPr>
      </w:pPr>
    </w:p>
    <w:p w14:paraId="03A46A04" w14:textId="77777777" w:rsidR="009E73DC" w:rsidRDefault="00000000">
      <w:pPr>
        <w:pStyle w:val="affffffff"/>
        <w:spacing w:before="124" w:after="156"/>
      </w:pPr>
      <w:bookmarkStart w:id="116" w:name="_Toc9600"/>
      <w:r>
        <w:rPr>
          <w:rFonts w:hint="eastAsia"/>
          <w:spacing w:val="105"/>
        </w:rPr>
        <w:t>参考文</w:t>
      </w:r>
      <w:r>
        <w:rPr>
          <w:rFonts w:hint="eastAsia"/>
        </w:rPr>
        <w:t>献</w:t>
      </w:r>
      <w:bookmarkEnd w:id="107"/>
      <w:bookmarkEnd w:id="108"/>
      <w:bookmarkEnd w:id="109"/>
      <w:bookmarkEnd w:id="116"/>
    </w:p>
    <w:p w14:paraId="5583D140" w14:textId="77777777" w:rsidR="009E73DC" w:rsidRDefault="00000000">
      <w:pPr>
        <w:pStyle w:val="afffffff4"/>
        <w:numPr>
          <w:ilvl w:val="0"/>
          <w:numId w:val="18"/>
        </w:numPr>
        <w:ind w:firstLineChars="0"/>
        <w:rPr>
          <w:rFonts w:ascii="宋体" w:hAnsi="宋体" w:hint="eastAsia"/>
        </w:rPr>
      </w:pPr>
      <w:r>
        <w:rPr>
          <w:rFonts w:ascii="宋体" w:hAnsi="宋体" w:hint="eastAsia"/>
        </w:rPr>
        <w:t>能源计量监督管理办法(</w:t>
      </w:r>
      <w:proofErr w:type="gramStart"/>
      <w:r>
        <w:rPr>
          <w:rFonts w:ascii="宋体" w:hAnsi="宋体" w:hint="eastAsia"/>
        </w:rPr>
        <w:t>国家市监</w:t>
      </w:r>
      <w:proofErr w:type="gramEnd"/>
      <w:r>
        <w:rPr>
          <w:rFonts w:ascii="宋体" w:hAnsi="宋体" w:hint="eastAsia"/>
        </w:rPr>
        <w:t>总局令第31号)</w:t>
      </w:r>
    </w:p>
    <w:p w14:paraId="3CFF6E20" w14:textId="77777777" w:rsidR="009E73DC" w:rsidRDefault="00000000">
      <w:pPr>
        <w:pStyle w:val="afffffff4"/>
        <w:numPr>
          <w:ilvl w:val="0"/>
          <w:numId w:val="18"/>
        </w:numPr>
        <w:ind w:firstLineChars="0"/>
        <w:rPr>
          <w:rFonts w:ascii="宋体" w:hAnsi="宋体" w:hint="eastAsia"/>
        </w:rPr>
      </w:pPr>
      <w:r>
        <w:rPr>
          <w:rFonts w:ascii="宋体" w:hAnsi="宋体" w:hint="eastAsia"/>
        </w:rPr>
        <w:t>重点用能单位节能管理办法（中华人民共和国国家经济贸易委员会令 第7号）</w:t>
      </w:r>
    </w:p>
    <w:p w14:paraId="2E308E5A" w14:textId="77777777" w:rsidR="009E73DC" w:rsidRDefault="00000000">
      <w:pPr>
        <w:pStyle w:val="afffffff4"/>
        <w:numPr>
          <w:ilvl w:val="0"/>
          <w:numId w:val="18"/>
        </w:numPr>
        <w:ind w:firstLineChars="0"/>
        <w:rPr>
          <w:rFonts w:ascii="宋体" w:hAnsi="宋体" w:hint="eastAsia"/>
        </w:rPr>
      </w:pPr>
      <w:r>
        <w:rPr>
          <w:rFonts w:ascii="宋体" w:hAnsi="宋体" w:hint="eastAsia"/>
        </w:rPr>
        <w:t>中华人民共和国计量法（第十三届全国人民代表大会常务委员会第六次会议）</w:t>
      </w:r>
    </w:p>
    <w:p w14:paraId="17D1EC8A" w14:textId="77777777" w:rsidR="009E73DC" w:rsidRDefault="00000000">
      <w:pPr>
        <w:pStyle w:val="afffffff4"/>
        <w:numPr>
          <w:ilvl w:val="0"/>
          <w:numId w:val="18"/>
        </w:numPr>
        <w:ind w:firstLineChars="0"/>
        <w:rPr>
          <w:rFonts w:ascii="宋体" w:hAnsi="宋体" w:hint="eastAsia"/>
        </w:rPr>
      </w:pPr>
      <w:r>
        <w:rPr>
          <w:rFonts w:ascii="宋体" w:hAnsi="宋体" w:hint="eastAsia"/>
        </w:rPr>
        <w:lastRenderedPageBreak/>
        <w:t>中华人民共和国节约能源法（第十三届全国人民代表大会常务委员会第六次会议）</w:t>
      </w:r>
    </w:p>
    <w:p w14:paraId="6B6C1570" w14:textId="77777777" w:rsidR="009E73DC" w:rsidRDefault="00000000">
      <w:pPr>
        <w:pStyle w:val="afffffff4"/>
        <w:numPr>
          <w:ilvl w:val="0"/>
          <w:numId w:val="18"/>
        </w:numPr>
        <w:ind w:firstLineChars="0"/>
        <w:rPr>
          <w:rFonts w:ascii="宋体" w:hAnsi="宋体" w:hint="eastAsia"/>
        </w:rPr>
      </w:pPr>
      <w:proofErr w:type="gramStart"/>
      <w:r>
        <w:rPr>
          <w:rFonts w:ascii="宋体" w:hAnsi="宋体" w:hint="eastAsia"/>
        </w:rPr>
        <w:t>碳管理</w:t>
      </w:r>
      <w:proofErr w:type="gramEnd"/>
      <w:r>
        <w:rPr>
          <w:rFonts w:ascii="宋体" w:hAnsi="宋体" w:hint="eastAsia"/>
        </w:rPr>
        <w:t>体系要求及使用指南（TCIECCPA002-2021）</w:t>
      </w:r>
    </w:p>
    <w:p w14:paraId="2C7F6971" w14:textId="77777777" w:rsidR="009E73DC" w:rsidRDefault="00000000">
      <w:pPr>
        <w:pStyle w:val="afffffff4"/>
        <w:numPr>
          <w:ilvl w:val="0"/>
          <w:numId w:val="18"/>
        </w:numPr>
        <w:ind w:firstLineChars="0"/>
        <w:rPr>
          <w:rFonts w:ascii="宋体" w:hAnsi="宋体" w:hint="eastAsia"/>
        </w:rPr>
      </w:pPr>
      <w:r>
        <w:rPr>
          <w:rFonts w:ascii="宋体" w:hAnsi="宋体" w:hint="eastAsia"/>
        </w:rPr>
        <w:t>绿色工厂评价通则（GBT36132-2018）</w:t>
      </w:r>
    </w:p>
    <w:p w14:paraId="2EFCE25A" w14:textId="77777777" w:rsidR="009E73DC" w:rsidRDefault="00000000">
      <w:pPr>
        <w:pStyle w:val="afffffff4"/>
        <w:numPr>
          <w:ilvl w:val="0"/>
          <w:numId w:val="18"/>
        </w:numPr>
        <w:ind w:firstLineChars="0"/>
        <w:rPr>
          <w:rFonts w:ascii="宋体" w:hAnsi="宋体" w:hint="eastAsia"/>
        </w:rPr>
      </w:pPr>
      <w:r>
        <w:rPr>
          <w:rFonts w:ascii="宋体" w:hAnsi="宋体" w:hint="eastAsia"/>
        </w:rPr>
        <w:t>卓越绩效评价准则实施指南（G</w:t>
      </w:r>
      <w:r>
        <w:rPr>
          <w:rFonts w:ascii="宋体" w:hAnsi="宋体"/>
        </w:rPr>
        <w:t>B/Z 19579-2012</w:t>
      </w:r>
      <w:r>
        <w:rPr>
          <w:rFonts w:ascii="宋体" w:hAnsi="宋体" w:hint="eastAsia"/>
        </w:rPr>
        <w:t>）</w:t>
      </w:r>
    </w:p>
    <w:p w14:paraId="3684696B" w14:textId="77777777" w:rsidR="009E73DC" w:rsidRDefault="00000000">
      <w:pPr>
        <w:pStyle w:val="afffffff4"/>
        <w:numPr>
          <w:ilvl w:val="0"/>
          <w:numId w:val="18"/>
        </w:numPr>
        <w:ind w:firstLineChars="0"/>
        <w:rPr>
          <w:rFonts w:ascii="宋体" w:hAnsi="宋体" w:hint="eastAsia"/>
        </w:rPr>
      </w:pPr>
      <w:r>
        <w:rPr>
          <w:rFonts w:ascii="宋体" w:hAnsi="宋体" w:hint="eastAsia"/>
        </w:rPr>
        <w:t>重点用能单位能源计量审查规范（J</w:t>
      </w:r>
      <w:r>
        <w:rPr>
          <w:rFonts w:ascii="宋体" w:hAnsi="宋体"/>
        </w:rPr>
        <w:t>JF 356-2012</w:t>
      </w:r>
      <w:r>
        <w:rPr>
          <w:rFonts w:ascii="宋体" w:hAnsi="宋体" w:hint="eastAsia"/>
        </w:rPr>
        <w:t>）</w:t>
      </w:r>
    </w:p>
    <w:bookmarkEnd w:id="110"/>
    <w:p w14:paraId="10CCF5BB" w14:textId="77777777" w:rsidR="009E73DC" w:rsidRDefault="009E73DC">
      <w:pPr>
        <w:rPr>
          <w:rFonts w:ascii="宋体" w:hAnsi="宋体" w:hint="eastAsia"/>
          <w:sz w:val="32"/>
          <w:szCs w:val="32"/>
        </w:rPr>
      </w:pPr>
    </w:p>
    <w:sectPr w:rsidR="009E73DC">
      <w:headerReference w:type="even" r:id="rId32"/>
      <w:headerReference w:type="default" r:id="rId33"/>
      <w:footerReference w:type="even" r:id="rId34"/>
      <w:footerReference w:type="default" r:id="rId35"/>
      <w:headerReference w:type="first" r:id="rId36"/>
      <w:pgSz w:w="11906" w:h="16838"/>
      <w:pgMar w:top="1984" w:right="1134" w:bottom="1134" w:left="1418" w:header="1418" w:footer="1134" w:gutter="0"/>
      <w:pgNumType w:start="1"/>
      <w:cols w:space="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9B5267" w14:textId="77777777" w:rsidR="00516441" w:rsidRDefault="00516441">
      <w:r>
        <w:separator/>
      </w:r>
    </w:p>
  </w:endnote>
  <w:endnote w:type="continuationSeparator" w:id="0">
    <w:p w14:paraId="4F9C7D8E" w14:textId="77777777" w:rsidR="00516441" w:rsidRDefault="005164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PingFang SC-Regular">
    <w:altName w:val="Calibri"/>
    <w:charset w:val="00"/>
    <w:family w:val="auto"/>
    <w:pitch w:val="default"/>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466D79" w14:textId="77777777" w:rsidR="009E73DC" w:rsidRDefault="00000000">
    <w:pPr>
      <w:pStyle w:val="affb"/>
    </w:pPr>
    <w:r>
      <w:rPr>
        <w:rFonts w:hint="eastAsia"/>
      </w:rPr>
      <w:t>Ⅱ</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43B369" w14:textId="77777777" w:rsidR="009E73DC" w:rsidRDefault="00000000">
    <w:pPr>
      <w:pStyle w:val="affb"/>
    </w:pPr>
    <w:r>
      <w:rPr>
        <w:noProof/>
      </w:rPr>
      <mc:AlternateContent>
        <mc:Choice Requires="wps">
          <w:drawing>
            <wp:anchor distT="0" distB="0" distL="114300" distR="114300" simplePos="0" relativeHeight="251668480" behindDoc="0" locked="0" layoutInCell="1" allowOverlap="1" wp14:anchorId="502D6803" wp14:editId="78FC11A1">
              <wp:simplePos x="0" y="0"/>
              <wp:positionH relativeFrom="margin">
                <wp:align>outside</wp:align>
              </wp:positionH>
              <wp:positionV relativeFrom="paragraph">
                <wp:posOffset>0</wp:posOffset>
              </wp:positionV>
              <wp:extent cx="191135" cy="131445"/>
              <wp:effectExtent l="0" t="0" r="0" b="0"/>
              <wp:wrapNone/>
              <wp:docPr id="14" name="文本框 2"/>
              <wp:cNvGraphicFramePr/>
              <a:graphic xmlns:a="http://schemas.openxmlformats.org/drawingml/2006/main">
                <a:graphicData uri="http://schemas.microsoft.com/office/word/2010/wordprocessingShape">
                  <wps:wsp>
                    <wps:cNvSpPr txBox="1"/>
                    <wps:spPr>
                      <a:xfrm>
                        <a:off x="0" y="0"/>
                        <a:ext cx="191135" cy="131445"/>
                      </a:xfrm>
                      <a:prstGeom prst="rect">
                        <a:avLst/>
                      </a:prstGeom>
                      <a:noFill/>
                      <a:ln w="6350">
                        <a:noFill/>
                      </a:ln>
                    </wps:spPr>
                    <wps:txbx>
                      <w:txbxContent>
                        <w:p w14:paraId="5E6F7E15" w14:textId="77777777" w:rsidR="009E73DC" w:rsidRDefault="00000000">
                          <w:pPr>
                            <w:pStyle w:val="affb"/>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02D6803" id="_x0000_t202" coordsize="21600,21600" o:spt="202" path="m,l,21600r21600,l21600,xe">
              <v:stroke joinstyle="miter"/>
              <v:path gradientshapeok="t" o:connecttype="rect"/>
            </v:shapetype>
            <v:shape id="文本框 2" o:spid="_x0000_s1031" type="#_x0000_t202" style="position:absolute;left:0;text-align:left;margin-left:-36.15pt;margin-top:0;width:15.05pt;height:10.35pt;z-index:251668480;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" filled="f" stroked="f" strokeweight=".5pt">
              <v:textbox style="mso-fit-shape-to-text:t" inset="0,0,0,0">
                <w:txbxContent>
                  <w:p w14:paraId="5E6F7E15" w14:textId="77777777" w:rsidR="009E73DC" w:rsidRDefault="00000000">
                    <w:pPr>
                      <w:pStyle w:val="affb"/>
                    </w:pPr>
                    <w:r>
                      <w:fldChar w:fldCharType="begin"/>
                    </w:r>
                    <w:r>
                      <w:instrText xml:space="preserve"> PAGE  \* MERGEFORMAT </w:instrText>
                    </w:r>
                    <w:r>
                      <w:fldChar w:fldCharType="separate"/>
                    </w:r>
                    <w:r>
                      <w:t>2</w:t>
                    </w:r>
                    <w:r>
                      <w:fldChar w:fldCharType="end"/>
                    </w:r>
                  </w:p>
                </w:txbxContent>
              </v:textbox>
              <w10:wrap anchorx="margin"/>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8DC403" w14:textId="77777777" w:rsidR="009E73DC" w:rsidRDefault="00000000">
    <w:pPr>
      <w:pStyle w:val="afffa"/>
      <w:spacing w:before="0"/>
      <w:ind w:right="0"/>
      <w:jc w:val="both"/>
    </w:pPr>
    <w:r>
      <w:rPr>
        <w:noProof/>
      </w:rPr>
      <mc:AlternateContent>
        <mc:Choice Requires="wps">
          <w:drawing>
            <wp:anchor distT="0" distB="0" distL="114300" distR="114300" simplePos="0" relativeHeight="251669504" behindDoc="0" locked="0" layoutInCell="1" allowOverlap="1" wp14:anchorId="793D45D2" wp14:editId="3EAC7EB4">
              <wp:simplePos x="0" y="0"/>
              <wp:positionH relativeFrom="margin">
                <wp:align>outside</wp:align>
              </wp:positionH>
              <wp:positionV relativeFrom="paragraph">
                <wp:posOffset>0</wp:posOffset>
              </wp:positionV>
              <wp:extent cx="191135" cy="131445"/>
              <wp:effectExtent l="0" t="0" r="0" b="0"/>
              <wp:wrapNone/>
              <wp:docPr id="15" name="文本框 1"/>
              <wp:cNvGraphicFramePr/>
              <a:graphic xmlns:a="http://schemas.openxmlformats.org/drawingml/2006/main">
                <a:graphicData uri="http://schemas.microsoft.com/office/word/2010/wordprocessingShape">
                  <wps:wsp>
                    <wps:cNvSpPr txBox="1"/>
                    <wps:spPr>
                      <a:xfrm>
                        <a:off x="0" y="0"/>
                        <a:ext cx="191135" cy="131445"/>
                      </a:xfrm>
                      <a:prstGeom prst="rect">
                        <a:avLst/>
                      </a:prstGeom>
                      <a:noFill/>
                      <a:ln w="6350">
                        <a:noFill/>
                      </a:ln>
                    </wps:spPr>
                    <wps:txbx>
                      <w:txbxContent>
                        <w:p w14:paraId="029DCFB4" w14:textId="77777777" w:rsidR="009E73DC" w:rsidRDefault="00000000">
                          <w:pPr>
                            <w:pStyle w:val="affb"/>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93D45D2" id="_x0000_t202" coordsize="21600,21600" o:spt="202" path="m,l,21600r21600,l21600,xe">
              <v:stroke joinstyle="miter"/>
              <v:path gradientshapeok="t" o:connecttype="rect"/>
            </v:shapetype>
            <v:shape id="文本框 1" o:spid="_x0000_s1032" type="#_x0000_t202" style="position:absolute;left:0;text-align:left;margin-left:-36.15pt;margin-top:0;width:15.05pt;height:10.35pt;z-index:251669504;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" filled="f" stroked="f" strokeweight=".5pt">
              <v:textbox style="mso-fit-shape-to-text:t" inset="0,0,0,0">
                <w:txbxContent>
                  <w:p w14:paraId="029DCFB4" w14:textId="77777777" w:rsidR="009E73DC" w:rsidRDefault="00000000">
                    <w:pPr>
                      <w:pStyle w:val="affb"/>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931D62" w14:textId="77777777" w:rsidR="009E73DC" w:rsidRDefault="009E73DC">
    <w:pPr>
      <w:pStyle w:val="aff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57E07D" w14:textId="77777777" w:rsidR="009E73DC" w:rsidRDefault="009E73DC">
    <w:pPr>
      <w:pStyle w:val="affb"/>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46ECD9" w14:textId="77777777" w:rsidR="009E73DC" w:rsidRDefault="00000000">
    <w:pPr>
      <w:pStyle w:val="affb"/>
      <w:jc w:val="left"/>
    </w:pPr>
    <w:r>
      <w:rPr>
        <w:rFonts w:hint="eastAsia"/>
      </w:rPr>
      <w:t>Ⅱ</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C52D81" w14:textId="77777777" w:rsidR="009E73DC" w:rsidRDefault="009E73DC">
    <w:pPr>
      <w:pStyle w:val="afff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A815A0" w14:textId="77777777" w:rsidR="009E73DC" w:rsidRDefault="009E73DC">
    <w:pPr>
      <w:pStyle w:val="affb"/>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4EEC29" w14:textId="77777777" w:rsidR="009E73DC" w:rsidRDefault="009E73DC">
    <w:pPr>
      <w:pStyle w:val="afffa"/>
      <w:jc w:val="lef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148FF2" w14:textId="77777777" w:rsidR="009E73DC" w:rsidRDefault="00000000">
    <w:pPr>
      <w:pStyle w:val="affb"/>
      <w:jc w:val="left"/>
    </w:pPr>
    <w:r>
      <w:rPr>
        <w:rFonts w:hint="eastAsia"/>
      </w:rPr>
      <w:t>Ⅲ</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19D355" w14:textId="77777777" w:rsidR="009E73DC" w:rsidRDefault="00000000">
    <w:pPr>
      <w:pStyle w:val="afffa"/>
      <w:jc w:val="left"/>
    </w:pPr>
    <w:r>
      <w:rPr>
        <w:noProof/>
      </w:rPr>
      <mc:AlternateContent>
        <mc:Choice Requires="wps">
          <w:drawing>
            <wp:anchor distT="0" distB="0" distL="114300" distR="114300" simplePos="0" relativeHeight="251667456" behindDoc="0" locked="0" layoutInCell="1" allowOverlap="1" wp14:anchorId="528AF78C" wp14:editId="3847922C">
              <wp:simplePos x="0" y="0"/>
              <wp:positionH relativeFrom="margin">
                <wp:align>inside</wp:align>
              </wp:positionH>
              <wp:positionV relativeFrom="paragraph">
                <wp:posOffset>0</wp:posOffset>
              </wp:positionV>
              <wp:extent cx="297815" cy="224155"/>
              <wp:effectExtent l="0" t="0" r="0" b="0"/>
              <wp:wrapNone/>
              <wp:docPr id="17" name="文本框 3"/>
              <wp:cNvGraphicFramePr/>
              <a:graphic xmlns:a="http://schemas.openxmlformats.org/drawingml/2006/main">
                <a:graphicData uri="http://schemas.microsoft.com/office/word/2010/wordprocessingShape">
                  <wps:wsp>
                    <wps:cNvSpPr txBox="1"/>
                    <wps:spPr>
                      <a:xfrm>
                        <a:off x="0" y="0"/>
                        <a:ext cx="297815" cy="224155"/>
                      </a:xfrm>
                      <a:prstGeom prst="rect">
                        <a:avLst/>
                      </a:prstGeom>
                      <a:noFill/>
                      <a:ln w="6350">
                        <a:noFill/>
                      </a:ln>
                    </wps:spPr>
                    <wps:txbx>
                      <w:txbxContent>
                        <w:p w14:paraId="3644AA71" w14:textId="77777777" w:rsidR="009E73DC" w:rsidRDefault="00000000">
                          <w:pPr>
                            <w:pStyle w:val="afffa"/>
                            <w:jc w:val="left"/>
                          </w:pPr>
                          <w:r>
                            <w:fldChar w:fldCharType="begin"/>
                          </w:r>
                          <w:r>
                            <w:instrText xml:space="preserve"> PAGE  \* MERGEFORMAT </w:instrText>
                          </w:r>
                          <w:r>
                            <w:fldChar w:fldCharType="separate"/>
                          </w:r>
                          <w:r>
                            <w:t>III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28AF78C" id="_x0000_t202" coordsize="21600,21600" o:spt="202" path="m,l,21600r21600,l21600,xe">
              <v:stroke joinstyle="miter"/>
              <v:path gradientshapeok="t" o:connecttype="rect"/>
            </v:shapetype>
            <v:shape id="文本框 3" o:spid="_x0000_s1030" type="#_x0000_t202" style="position:absolute;margin-left:0;margin-top:0;width:23.45pt;height:17.65pt;z-index:251667456;visibility:visible;mso-wrap-style:none;mso-wrap-distance-left:9pt;mso-wrap-distance-top:0;mso-wrap-distance-right:9pt;mso-wrap-distance-bottom:0;mso-position-horizontal:in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" filled="f" stroked="f" strokeweight=".5pt">
              <v:textbox style="mso-fit-shape-to-text:t" inset="0,0,0,0">
                <w:txbxContent>
                  <w:p w14:paraId="3644AA71" w14:textId="77777777" w:rsidR="009E73DC" w:rsidRDefault="00000000">
                    <w:pPr>
                      <w:pStyle w:val="afffa"/>
                      <w:jc w:val="left"/>
                    </w:pPr>
                    <w:r>
                      <w:fldChar w:fldCharType="begin"/>
                    </w:r>
                    <w:r>
                      <w:instrText xml:space="preserve"> PAGE  \* MERGEFORMAT </w:instrText>
                    </w:r>
                    <w:r>
                      <w:fldChar w:fldCharType="separate"/>
                    </w:r>
                    <w:r>
                      <w:t>III</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CE5EECF" w14:textId="77777777" w:rsidR="00516441" w:rsidRDefault="00516441">
      <w:r>
        <w:separator/>
      </w:r>
    </w:p>
  </w:footnote>
  <w:footnote w:type="continuationSeparator" w:id="0">
    <w:p w14:paraId="554F992A" w14:textId="77777777" w:rsidR="00516441" w:rsidRDefault="005164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6FA7C1" w14:textId="77777777" w:rsidR="009E73DC" w:rsidRDefault="00000000">
    <w:pPr>
      <w:pStyle w:val="affc"/>
    </w:pPr>
    <w:r>
      <w:rPr>
        <w:b/>
      </w:rPr>
      <w:pict w14:anchorId="7891B0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51381047" o:spid="_x0000_s1027" type="#_x0000_t75" style="position:absolute;margin-left:0;margin-top:0;width:339.6pt;height:338.9pt;z-index:-251644928;mso-position-horizontal:center;mso-position-horizontal-relative:margin;mso-position-vertical:center;mso-position-vertical-relative:margin;mso-width-relative:page;mso-height-relative:page" o:allowincell="f">
          <v:imagedata r:id="rId1" o:title="协会LOGO" gain="19661f" blacklevel="22938f"/>
          <w10:wrap anchorx="margin" anchory="margin"/>
        </v:shape>
      </w:pict>
    </w:r>
    <w:r>
      <w:rPr>
        <w:b/>
      </w:rPr>
      <w:t>T/</w:t>
    </w:r>
    <w:r>
      <w:rPr>
        <w:rFonts w:hint="eastAsia"/>
        <w:b/>
      </w:rPr>
      <w:t>CCAA 36</w:t>
    </w:r>
    <w:r>
      <w:t>-20</w:t>
    </w:r>
    <w:r>
      <w:rPr>
        <w:rFonts w:hint="eastAsia"/>
      </w:rPr>
      <w:t>20X</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F10C92" w14:textId="77777777" w:rsidR="009E73DC" w:rsidRDefault="00000000">
    <w:pPr>
      <w:pStyle w:val="affc"/>
      <w:rPr>
        <w:rFonts w:ascii="黑体" w:eastAsia="黑体" w:hAnsi="黑体" w:cs="黑体" w:hint="eastAsia"/>
        <w:sz w:val="21"/>
        <w:szCs w:val="21"/>
      </w:rPr>
    </w:pPr>
    <w:r>
      <w:rPr>
        <w:rFonts w:ascii="黑体" w:eastAsia="黑体" w:hAnsi="黑体" w:cs="黑体" w:hint="eastAsia"/>
        <w:bCs/>
        <w:sz w:val="21"/>
        <w:szCs w:val="21"/>
      </w:rPr>
      <w:pict w14:anchorId="0F22DE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51381056" o:spid="_x0000_s1036" type="#_x0000_t75" style="position:absolute;margin-left:0;margin-top:0;width:339.6pt;height:338.9pt;z-index:-251635712;mso-position-horizontal:center;mso-position-horizontal-relative:margin;mso-position-vertical:center;mso-position-vertical-relative:margin;mso-width-relative:page;mso-height-relative:page" o:allowincell="f">
          <v:imagedata r:id="rId1" o:title="协会LOGO" gain="19661f" blacklevel="22938f"/>
          <w10:wrap anchorx="margin" anchory="margin"/>
        </v:shape>
      </w:pict>
    </w:r>
    <w:r>
      <w:rPr>
        <w:rFonts w:ascii="黑体" w:eastAsia="黑体" w:hAnsi="黑体" w:cs="黑体" w:hint="eastAsia"/>
        <w:bCs/>
        <w:sz w:val="21"/>
        <w:szCs w:val="21"/>
      </w:rPr>
      <w:t xml:space="preserve">T/CCAA </w:t>
    </w:r>
    <w:r>
      <w:rPr>
        <w:rFonts w:ascii="黑体" w:eastAsia="黑体" w:hAnsi="黑体" w:cs="黑体"/>
        <w:bCs/>
        <w:sz w:val="21"/>
        <w:szCs w:val="21"/>
      </w:rPr>
      <w:t>XX</w:t>
    </w:r>
    <w:r>
      <w:rPr>
        <w:rFonts w:ascii="黑体" w:eastAsia="黑体" w:hAnsi="黑体" w:cs="黑体" w:hint="eastAsia"/>
        <w:sz w:val="21"/>
        <w:szCs w:val="21"/>
      </w:rPr>
      <w:t>-202</w:t>
    </w:r>
    <w:r>
      <w:rPr>
        <w:rFonts w:ascii="黑体" w:eastAsia="黑体" w:hAnsi="黑体" w:cs="黑体"/>
        <w:sz w:val="21"/>
        <w:szCs w:val="21"/>
      </w:rPr>
      <w:t>X</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F676DB" w14:textId="77777777" w:rsidR="009E73DC" w:rsidRDefault="00000000">
    <w:pPr>
      <w:pStyle w:val="affc"/>
    </w:pPr>
    <w:r>
      <w:rPr>
        <w:b/>
      </w:rPr>
      <w:pict w14:anchorId="47B053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51381057" o:spid="_x0000_s1035" type="#_x0000_t75" style="position:absolute;margin-left:0;margin-top:0;width:339.6pt;height:338.9pt;z-index:-251634688;mso-position-horizontal:center;mso-position-horizontal-relative:margin;mso-position-vertical:center;mso-position-vertical-relative:margin;mso-width-relative:page;mso-height-relative:page" o:allowincell="f">
          <v:imagedata r:id="rId1" o:title="协会LOGO" gain="19661f" blacklevel="22938f"/>
          <w10:wrap anchorx="margin" anchory="margin"/>
        </v:shape>
      </w:pict>
    </w:r>
    <w:r>
      <w:rPr>
        <w:b/>
      </w:rPr>
      <w:t>T/</w:t>
    </w:r>
    <w:r>
      <w:rPr>
        <w:rFonts w:hint="eastAsia"/>
        <w:b/>
      </w:rPr>
      <w:t>CCAA XX</w:t>
    </w:r>
    <w:r>
      <w:t>-20</w:t>
    </w:r>
    <w:r>
      <w:rPr>
        <w:rFonts w:hint="eastAsia"/>
      </w:rPr>
      <w:t>2X</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83F304" w14:textId="77777777" w:rsidR="009E73DC" w:rsidRDefault="00000000">
    <w:pPr>
      <w:pStyle w:val="affc"/>
    </w:pPr>
    <w:r>
      <w:pict w14:anchorId="2CBF73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51381055" o:spid="_x0000_s1034" type="#_x0000_t75" style="position:absolute;margin-left:0;margin-top:0;width:339.6pt;height:338.9pt;z-index:-251636736;mso-position-horizontal:center;mso-position-horizontal-relative:margin;mso-position-vertical:center;mso-position-vertical-relative:margin;mso-width-relative:page;mso-height-relative:page" o:allowincell="f">
          <v:imagedata r:id="rId1" o:title="协会LOGO" gain="19661f" blacklevel="22938f"/>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9C5577" w14:textId="77777777" w:rsidR="009E73DC" w:rsidRDefault="00000000">
    <w:pPr>
      <w:pStyle w:val="affc"/>
    </w:pPr>
    <w:r>
      <w:pict w14:anchorId="47BC2D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51381059" o:spid="_x0000_s1039" type="#_x0000_t75" style="position:absolute;margin-left:0;margin-top:0;width:339.6pt;height:338.9pt;z-index:-251632640;mso-position-horizontal:center;mso-position-horizontal-relative:margin;mso-position-vertical:center;mso-position-vertical-relative:margin;mso-width-relative:page;mso-height-relative:page" o:allowincell="f">
          <v:imagedata r:id="rId1" o:title="协会LOGO" gain="19661f" blacklevel="22938f"/>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32B750" w14:textId="77777777" w:rsidR="009E73DC" w:rsidRDefault="00000000">
    <w:pPr>
      <w:pStyle w:val="affc"/>
      <w:jc w:val="right"/>
      <w:rPr>
        <w:bCs/>
      </w:rPr>
    </w:pPr>
    <w:r>
      <w:rPr>
        <w:rFonts w:ascii="黑体" w:eastAsia="黑体" w:hAnsi="黑体" w:cs="黑体"/>
        <w:bCs/>
        <w:sz w:val="21"/>
        <w:szCs w:val="21"/>
      </w:rPr>
      <w:pict w14:anchorId="193638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51381060" o:spid="_x0000_s1038" type="#_x0000_t75" style="position:absolute;left:0;text-align:left;margin-left:0;margin-top:0;width:339.6pt;height:338.9pt;z-index:-251631616;mso-position-horizontal:center;mso-position-horizontal-relative:margin;mso-position-vertical:center;mso-position-vertical-relative:margin;mso-width-relative:page;mso-height-relative:page" o:allowincell="f">
          <v:imagedata r:id="rId1" o:title="协会LOGO" gain="19661f" blacklevel="22938f"/>
          <w10:wrap anchorx="margin" anchory="margin"/>
        </v:shape>
      </w:pict>
    </w:r>
    <w:r>
      <w:rPr>
        <w:rFonts w:ascii="黑体" w:eastAsia="黑体" w:hAnsi="黑体" w:cs="黑体" w:hint="eastAsia"/>
        <w:bCs/>
        <w:sz w:val="21"/>
        <w:szCs w:val="21"/>
      </w:rPr>
      <w:t xml:space="preserve">T/CCAA </w:t>
    </w:r>
    <w:r>
      <w:rPr>
        <w:rFonts w:ascii="黑体" w:eastAsia="黑体" w:hAnsi="黑体" w:cs="黑体"/>
        <w:bCs/>
        <w:sz w:val="21"/>
        <w:szCs w:val="21"/>
      </w:rPr>
      <w:t>XX</w:t>
    </w:r>
    <w:r>
      <w:rPr>
        <w:rFonts w:ascii="黑体" w:eastAsia="黑体" w:hAnsi="黑体" w:cs="黑体" w:hint="eastAsia"/>
        <w:bCs/>
        <w:sz w:val="21"/>
        <w:szCs w:val="21"/>
      </w:rPr>
      <w:t>-202</w:t>
    </w:r>
    <w:r>
      <w:rPr>
        <w:rFonts w:ascii="黑体" w:eastAsia="黑体" w:hAnsi="黑体" w:cs="黑体"/>
        <w:bCs/>
        <w:sz w:val="21"/>
        <w:szCs w:val="21"/>
      </w:rPr>
      <w:t>X</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21FE34" w14:textId="77777777" w:rsidR="009E73DC" w:rsidRDefault="00000000">
    <w:pPr>
      <w:pStyle w:val="affc"/>
    </w:pPr>
    <w:r>
      <w:pict w14:anchorId="7A858B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51381058" o:spid="_x0000_s1037" type="#_x0000_t75" style="position:absolute;margin-left:0;margin-top:0;width:339.6pt;height:338.9pt;z-index:-251633664;mso-position-horizontal:center;mso-position-horizontal-relative:margin;mso-position-vertical:center;mso-position-vertical-relative:margin;mso-width-relative:page;mso-height-relative:page" o:allowincell="f">
          <v:imagedata r:id="rId1" o:title="协会LOGO"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BF92C6" w14:textId="77777777" w:rsidR="009E73DC" w:rsidRDefault="00000000">
    <w:pPr>
      <w:pStyle w:val="affc"/>
    </w:pPr>
    <w:r>
      <w:pict w14:anchorId="083B8B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51381048" o:spid="_x0000_s1026" type="#_x0000_t75" style="position:absolute;margin-left:0;margin-top:0;width:339.6pt;height:338.9pt;z-index:-251643904;mso-position-horizontal:center;mso-position-horizontal-relative:margin;mso-position-vertical:center;mso-position-vertical-relative:margin;mso-width-relative:page;mso-height-relative:page" o:allowincell="f">
          <v:imagedata r:id="rId1" o:title="协会LOGO"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3531B9" w14:textId="77777777" w:rsidR="009E73DC" w:rsidRDefault="00000000">
    <w:pPr>
      <w:pStyle w:val="affc"/>
    </w:pPr>
    <w:r>
      <w:pict w14:anchorId="6F59AB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51381046" o:spid="_x0000_s1025" type="#_x0000_t75" style="position:absolute;margin-left:0;margin-top:0;width:339.6pt;height:338.9pt;z-index:-251645952;mso-position-horizontal:center;mso-position-horizontal-relative:margin;mso-position-vertical:center;mso-position-vertical-relative:margin;mso-width-relative:page;mso-height-relative:page" o:allowincell="f">
          <v:imagedata r:id="rId1" o:title="协会LOGO" gain="19661f" blacklevel="22938f"/>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3787FC" w14:textId="77777777" w:rsidR="009E73DC" w:rsidRDefault="00000000">
    <w:pPr>
      <w:pStyle w:val="affc"/>
    </w:pPr>
    <w:r>
      <w:pict w14:anchorId="5E1EE9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51381050" o:spid="_x0000_s1030" type="#_x0000_t75" style="position:absolute;margin-left:0;margin-top:0;width:339.6pt;height:338.9pt;z-index:-251641856;mso-position-horizontal:center;mso-position-horizontal-relative:margin;mso-position-vertical:center;mso-position-vertical-relative:margin;mso-width-relative:page;mso-height-relative:page" o:allowincell="f">
          <v:imagedata r:id="rId1" o:title="协会LOGO" gain="19661f" blacklevel="22938f"/>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7BB8E4" w14:textId="77777777" w:rsidR="009E73DC" w:rsidRDefault="00000000">
    <w:pPr>
      <w:pStyle w:val="affc"/>
      <w:jc w:val="right"/>
    </w:pPr>
    <w:r>
      <w:pict w14:anchorId="6302CD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51381051" o:spid="_x0000_s1029" type="#_x0000_t75" style="position:absolute;left:0;text-align:left;margin-left:0;margin-top:0;width:339.6pt;height:338.9pt;z-index:-251640832;mso-position-horizontal:center;mso-position-horizontal-relative:margin;mso-position-vertical:center;mso-position-vertical-relative:margin;mso-width-relative:page;mso-height-relative:page" o:allowincell="f">
          <v:imagedata r:id="rId1" o:title="协会LOGO" gain="19661f" blacklevel="22938f"/>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74100F" w14:textId="77777777" w:rsidR="009E73DC" w:rsidRDefault="00000000">
    <w:pPr>
      <w:pStyle w:val="affc"/>
    </w:pPr>
    <w:r>
      <w:pict w14:anchorId="7D9DEA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51381049" o:spid="_x0000_s1028" type="#_x0000_t75" style="position:absolute;margin-left:0;margin-top:0;width:339.6pt;height:338.9pt;z-index:-251642880;mso-position-horizontal:center;mso-position-horizontal-relative:margin;mso-position-vertical:center;mso-position-vertical-relative:margin;mso-width-relative:page;mso-height-relative:page" o:allowincell="f">
          <v:imagedata r:id="rId1" o:title="协会LOGO" gain="19661f" blacklevel="22938f"/>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D0895D" w14:textId="77777777" w:rsidR="009E73DC" w:rsidRDefault="00000000">
    <w:pPr>
      <w:pStyle w:val="affc"/>
    </w:pPr>
    <w:r>
      <w:pict w14:anchorId="2E4825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51381053" o:spid="_x0000_s1033" type="#_x0000_t75" style="position:absolute;margin-left:0;margin-top:0;width:339.6pt;height:338.9pt;z-index:-251638784;mso-position-horizontal:center;mso-position-horizontal-relative:margin;mso-position-vertical:center;mso-position-vertical-relative:margin;mso-width-relative:page;mso-height-relative:page" o:allowincell="f">
          <v:imagedata r:id="rId1" o:title="协会LOGO" gain="19661f" blacklevel="22938f"/>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523E74" w14:textId="77777777" w:rsidR="009E73DC" w:rsidRDefault="00000000">
    <w:pPr>
      <w:pStyle w:val="affc"/>
      <w:jc w:val="right"/>
    </w:pPr>
    <w:r>
      <w:rPr>
        <w:b/>
      </w:rPr>
      <w:pict w14:anchorId="20DC64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51381054" o:spid="_x0000_s1032" type="#_x0000_t75" style="position:absolute;left:0;text-align:left;margin-left:0;margin-top:0;width:339.6pt;height:338.9pt;z-index:-251637760;mso-position-horizontal:center;mso-position-horizontal-relative:margin;mso-position-vertical:center;mso-position-vertical-relative:margin;mso-width-relative:page;mso-height-relative:page" o:allowincell="f">
          <v:imagedata r:id="rId1" o:title="协会LOGO" gain="19661f" blacklevel="22938f"/>
          <w10:wrap anchorx="margin" anchory="margin"/>
        </v:shape>
      </w:pict>
    </w:r>
    <w:r>
      <w:rPr>
        <w:b/>
      </w:rPr>
      <w:t>T/</w:t>
    </w:r>
    <w:r>
      <w:rPr>
        <w:rFonts w:hint="eastAsia"/>
        <w:b/>
      </w:rPr>
      <w:t>CCAA 36</w:t>
    </w:r>
    <w:r>
      <w:t>-20</w:t>
    </w:r>
    <w:r>
      <w:rPr>
        <w:rFonts w:hint="eastAsia"/>
      </w:rPr>
      <w:t>20X</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EE4760" w14:textId="77777777" w:rsidR="009E73DC" w:rsidRDefault="00000000">
    <w:pPr>
      <w:pStyle w:val="affc"/>
    </w:pPr>
    <w:r>
      <w:pict w14:anchorId="41F92C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51381052" o:spid="_x0000_s1031" type="#_x0000_t75" style="position:absolute;margin-left:0;margin-top:0;width:339.6pt;height:338.9pt;z-index:-251639808;mso-position-horizontal:center;mso-position-horizontal-relative:margin;mso-position-vertical:center;mso-position-vertical-relative:margin;mso-width-relative:page;mso-height-relative:page" o:allowincell="f">
          <v:imagedata r:id="rId1" o:title="协会LOGO"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E12F89"/>
    <w:multiLevelType w:val="multilevel"/>
    <w:tmpl w:val="02E12F89"/>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A952887"/>
    <w:multiLevelType w:val="multilevel"/>
    <w:tmpl w:val="0A952887"/>
    <w:lvl w:ilvl="0">
      <w:start w:val="1"/>
      <w:numFmt w:val="decimal"/>
      <w:pStyle w:val="a"/>
      <w:suff w:val="nothing"/>
      <w:lvlText w:val="注%1："/>
      <w:lvlJc w:val="left"/>
      <w:pPr>
        <w:ind w:left="0" w:firstLine="363"/>
      </w:pPr>
      <w:rPr>
        <w:rFonts w:ascii="黑体" w:eastAsia="黑体" w:hAnsi="Times New Roman"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 w15:restartNumberingAfterBreak="0">
    <w:nsid w:val="0F805D97"/>
    <w:multiLevelType w:val="multilevel"/>
    <w:tmpl w:val="0F805D97"/>
    <w:lvl w:ilvl="0">
      <w:start w:val="1"/>
      <w:numFmt w:val="none"/>
      <w:pStyle w:val="a0"/>
      <w:suff w:val="nothing"/>
      <w:lvlText w:val="注%1："/>
      <w:lvlJc w:val="left"/>
      <w:pPr>
        <w:ind w:left="0" w:firstLine="363"/>
      </w:pPr>
      <w:rPr>
        <w:rFonts w:ascii="黑体" w:eastAsia="黑体" w:hAnsi="Times New Roman"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 w15:restartNumberingAfterBreak="0">
    <w:nsid w:val="1FC91163"/>
    <w:multiLevelType w:val="multilevel"/>
    <w:tmpl w:val="1FC91163"/>
    <w:lvl w:ilvl="0">
      <w:start w:val="1"/>
      <w:numFmt w:val="decimal"/>
      <w:pStyle w:val="a1"/>
      <w:suff w:val="nothing"/>
      <w:lvlText w:val="%1　"/>
      <w:lvlJc w:val="left"/>
      <w:pPr>
        <w:ind w:left="0" w:firstLine="0"/>
      </w:pPr>
      <w:rPr>
        <w:rFonts w:ascii="黑体" w:eastAsia="黑体" w:hAnsi="Times New Roman" w:hint="eastAsia"/>
        <w:b w:val="0"/>
        <w:i w:val="0"/>
        <w:sz w:val="21"/>
        <w:szCs w:val="21"/>
      </w:rPr>
    </w:lvl>
    <w:lvl w:ilvl="1">
      <w:start w:val="1"/>
      <w:numFmt w:val="decimal"/>
      <w:pStyle w:val="a2"/>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3"/>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 w15:restartNumberingAfterBreak="0">
    <w:nsid w:val="24B435DB"/>
    <w:multiLevelType w:val="multilevel"/>
    <w:tmpl w:val="24B435DB"/>
    <w:lvl w:ilvl="0">
      <w:start w:val="1"/>
      <w:numFmt w:val="lowerLetter"/>
      <w:pStyle w:val="a4"/>
      <w:suff w:val="nothing"/>
      <w:lvlText w:val="%1   "/>
      <w:lvlJc w:val="left"/>
      <w:pPr>
        <w:ind w:left="544" w:hanging="181"/>
      </w:pPr>
      <w:rPr>
        <w:rFonts w:ascii="宋体" w:eastAsia="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5" w15:restartNumberingAfterBreak="0">
    <w:nsid w:val="29707437"/>
    <w:multiLevelType w:val="multilevel"/>
    <w:tmpl w:val="29707437"/>
    <w:lvl w:ilvl="0">
      <w:start w:val="1"/>
      <w:numFmt w:val="none"/>
      <w:pStyle w:val="a5"/>
      <w:suff w:val="nothing"/>
      <w:lvlText w:val="%1注："/>
      <w:lvlJc w:val="left"/>
      <w:pPr>
        <w:ind w:left="0" w:firstLine="363"/>
      </w:pPr>
      <w:rPr>
        <w:rFonts w:ascii="黑体" w:eastAsia="黑体" w:hint="eastAsia"/>
        <w:b w:val="0"/>
        <w:i w:val="0"/>
        <w:sz w:val="18"/>
        <w:szCs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6" w15:restartNumberingAfterBreak="0">
    <w:nsid w:val="2A8F7113"/>
    <w:multiLevelType w:val="multilevel"/>
    <w:tmpl w:val="2A8F7113"/>
    <w:lvl w:ilvl="0">
      <w:start w:val="1"/>
      <w:numFmt w:val="upperLetter"/>
      <w:pStyle w:val="a6"/>
      <w:suff w:val="space"/>
      <w:lvlText w:val="%1"/>
      <w:lvlJc w:val="left"/>
      <w:pPr>
        <w:ind w:left="623" w:hanging="425"/>
      </w:pPr>
      <w:rPr>
        <w:rFonts w:hint="eastAsia"/>
      </w:rPr>
    </w:lvl>
    <w:lvl w:ilvl="1">
      <w:start w:val="1"/>
      <w:numFmt w:val="decimal"/>
      <w:pStyle w:val="a7"/>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7" w15:restartNumberingAfterBreak="0">
    <w:nsid w:val="2C5917C3"/>
    <w:multiLevelType w:val="multilevel"/>
    <w:tmpl w:val="2C5917C3"/>
    <w:lvl w:ilvl="0">
      <w:start w:val="1"/>
      <w:numFmt w:val="none"/>
      <w:pStyle w:val="a8"/>
      <w:suff w:val="nothing"/>
      <w:lvlText w:val="%1——"/>
      <w:lvlJc w:val="left"/>
      <w:pPr>
        <w:ind w:left="833" w:hanging="408"/>
      </w:pPr>
      <w:rPr>
        <w:rFonts w:hint="eastAsia"/>
      </w:rPr>
    </w:lvl>
    <w:lvl w:ilvl="1">
      <w:start w:val="1"/>
      <w:numFmt w:val="bullet"/>
      <w:pStyle w:val="a9"/>
      <w:lvlText w:val=""/>
      <w:lvlJc w:val="left"/>
      <w:pPr>
        <w:tabs>
          <w:tab w:val="left" w:pos="760"/>
        </w:tabs>
        <w:ind w:left="1264" w:hanging="413"/>
      </w:pPr>
      <w:rPr>
        <w:rFonts w:ascii="Symbol" w:hAnsi="Symbol" w:hint="default"/>
        <w:color w:val="auto"/>
      </w:rPr>
    </w:lvl>
    <w:lvl w:ilvl="2">
      <w:start w:val="1"/>
      <w:numFmt w:val="bullet"/>
      <w:pStyle w:val="aa"/>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8" w15:restartNumberingAfterBreak="0">
    <w:nsid w:val="3D733618"/>
    <w:multiLevelType w:val="multilevel"/>
    <w:tmpl w:val="3D733618"/>
    <w:lvl w:ilvl="0">
      <w:start w:val="1"/>
      <w:numFmt w:val="decimal"/>
      <w:pStyle w:val="ab"/>
      <w:lvlText w:val="%1)"/>
      <w:lvlJc w:val="left"/>
      <w:pPr>
        <w:tabs>
          <w:tab w:val="left" w:pos="0"/>
        </w:tabs>
        <w:ind w:left="720" w:hanging="357"/>
      </w:pPr>
      <w:rPr>
        <w:rFonts w:hint="eastAsia"/>
      </w:rPr>
    </w:lvl>
    <w:lvl w:ilvl="1">
      <w:start w:val="1"/>
      <w:numFmt w:val="lowerLetter"/>
      <w:lvlText w:val="%2)"/>
      <w:lvlJc w:val="left"/>
      <w:pPr>
        <w:tabs>
          <w:tab w:val="left" w:pos="504"/>
        </w:tabs>
        <w:ind w:left="544" w:hanging="544"/>
      </w:pPr>
      <w:rPr>
        <w:rFonts w:hint="eastAsia"/>
      </w:rPr>
    </w:lvl>
    <w:lvl w:ilvl="2">
      <w:start w:val="1"/>
      <w:numFmt w:val="lowerRoman"/>
      <w:pStyle w:val="ac"/>
      <w:lvlText w:val="%3."/>
      <w:lvlJc w:val="right"/>
      <w:pPr>
        <w:tabs>
          <w:tab w:val="left" w:pos="532"/>
        </w:tabs>
        <w:ind w:left="544" w:hanging="544"/>
      </w:pPr>
      <w:rPr>
        <w:rFonts w:hint="eastAsia"/>
      </w:rPr>
    </w:lvl>
    <w:lvl w:ilvl="3">
      <w:start w:val="1"/>
      <w:numFmt w:val="decimal"/>
      <w:lvlText w:val="%4."/>
      <w:lvlJc w:val="left"/>
      <w:pPr>
        <w:tabs>
          <w:tab w:val="left" w:pos="560"/>
        </w:tabs>
        <w:ind w:left="544" w:hanging="544"/>
      </w:pPr>
      <w:rPr>
        <w:rFonts w:hint="eastAsia"/>
      </w:rPr>
    </w:lvl>
    <w:lvl w:ilvl="4">
      <w:start w:val="1"/>
      <w:numFmt w:val="lowerLetter"/>
      <w:lvlText w:val="%5)"/>
      <w:lvlJc w:val="left"/>
      <w:pPr>
        <w:tabs>
          <w:tab w:val="left" w:pos="588"/>
        </w:tabs>
        <w:ind w:left="544" w:hanging="544"/>
      </w:pPr>
      <w:rPr>
        <w:rFonts w:hint="eastAsia"/>
      </w:rPr>
    </w:lvl>
    <w:lvl w:ilvl="5">
      <w:start w:val="1"/>
      <w:numFmt w:val="lowerRoman"/>
      <w:lvlText w:val="%6."/>
      <w:lvlJc w:val="right"/>
      <w:pPr>
        <w:tabs>
          <w:tab w:val="left" w:pos="616"/>
        </w:tabs>
        <w:ind w:left="544" w:hanging="544"/>
      </w:pPr>
      <w:rPr>
        <w:rFonts w:hint="eastAsia"/>
      </w:rPr>
    </w:lvl>
    <w:lvl w:ilvl="6">
      <w:start w:val="1"/>
      <w:numFmt w:val="decimal"/>
      <w:lvlText w:val="%7."/>
      <w:lvlJc w:val="left"/>
      <w:pPr>
        <w:tabs>
          <w:tab w:val="left" w:pos="644"/>
        </w:tabs>
        <w:ind w:left="544" w:hanging="544"/>
      </w:pPr>
      <w:rPr>
        <w:rFonts w:hint="eastAsia"/>
      </w:rPr>
    </w:lvl>
    <w:lvl w:ilvl="7">
      <w:start w:val="1"/>
      <w:numFmt w:val="lowerLetter"/>
      <w:lvlText w:val="%8)"/>
      <w:lvlJc w:val="left"/>
      <w:pPr>
        <w:tabs>
          <w:tab w:val="left" w:pos="672"/>
        </w:tabs>
        <w:ind w:left="544" w:hanging="544"/>
      </w:pPr>
      <w:rPr>
        <w:rFonts w:hint="eastAsia"/>
      </w:rPr>
    </w:lvl>
    <w:lvl w:ilvl="8">
      <w:start w:val="1"/>
      <w:numFmt w:val="lowerRoman"/>
      <w:lvlText w:val="%9."/>
      <w:lvlJc w:val="right"/>
      <w:pPr>
        <w:tabs>
          <w:tab w:val="left" w:pos="700"/>
        </w:tabs>
        <w:ind w:left="544" w:hanging="544"/>
      </w:pPr>
      <w:rPr>
        <w:rFonts w:hint="eastAsia"/>
      </w:rPr>
    </w:lvl>
  </w:abstractNum>
  <w:abstractNum w:abstractNumId="9" w15:restartNumberingAfterBreak="0">
    <w:nsid w:val="44C50F90"/>
    <w:multiLevelType w:val="multilevel"/>
    <w:tmpl w:val="44C50F90"/>
    <w:lvl w:ilvl="0">
      <w:start w:val="1"/>
      <w:numFmt w:val="lowerLetter"/>
      <w:pStyle w:val="ad"/>
      <w:lvlText w:val="%1)"/>
      <w:lvlJc w:val="left"/>
      <w:pPr>
        <w:tabs>
          <w:tab w:val="left" w:pos="840"/>
        </w:tabs>
        <w:ind w:left="839" w:hanging="419"/>
      </w:pPr>
      <w:rPr>
        <w:rFonts w:ascii="宋体" w:eastAsia="宋体" w:hint="eastAsia"/>
        <w:b w:val="0"/>
        <w:i w:val="0"/>
        <w:sz w:val="21"/>
        <w:szCs w:val="21"/>
      </w:rPr>
    </w:lvl>
    <w:lvl w:ilvl="1">
      <w:start w:val="1"/>
      <w:numFmt w:val="decimal"/>
      <w:pStyle w:val="ae"/>
      <w:lvlText w:val="%2)"/>
      <w:lvlJc w:val="left"/>
      <w:pPr>
        <w:tabs>
          <w:tab w:val="left" w:pos="1260"/>
        </w:tabs>
        <w:ind w:left="1259" w:hanging="419"/>
      </w:pPr>
      <w:rPr>
        <w:rFonts w:hint="eastAsia"/>
      </w:rPr>
    </w:lvl>
    <w:lvl w:ilvl="2">
      <w:start w:val="1"/>
      <w:numFmt w:val="decimal"/>
      <w:pStyle w:val="af"/>
      <w:lvlText w:val="(%3)"/>
      <w:lvlJc w:val="left"/>
      <w:pPr>
        <w:tabs>
          <w:tab w:val="left" w:pos="0"/>
        </w:tabs>
        <w:ind w:left="1679" w:hanging="420"/>
      </w:pPr>
      <w:rPr>
        <w:rFonts w:ascii="宋体" w:eastAsia="宋体" w:hint="eastAsia"/>
        <w:b w:val="0"/>
        <w:i w:val="0"/>
        <w:sz w:val="21"/>
        <w:szCs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0" w15:restartNumberingAfterBreak="0">
    <w:nsid w:val="520F62E9"/>
    <w:multiLevelType w:val="multilevel"/>
    <w:tmpl w:val="520F62E9"/>
    <w:lvl w:ilvl="0">
      <w:start w:val="1"/>
      <w:numFmt w:val="decimal"/>
      <w:pStyle w:val="af0"/>
      <w:suff w:val="nothing"/>
      <w:lvlText w:val="图%1　"/>
      <w:lvlJc w:val="left"/>
      <w:pPr>
        <w:ind w:left="0" w:firstLine="0"/>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15:restartNumberingAfterBreak="0">
    <w:nsid w:val="5E63562F"/>
    <w:multiLevelType w:val="multilevel"/>
    <w:tmpl w:val="5E63562F"/>
    <w:lvl w:ilvl="0">
      <w:start w:val="1"/>
      <w:numFmt w:val="decimal"/>
      <w:pStyle w:val="af1"/>
      <w:suff w:val="nothing"/>
      <w:lvlText w:val="注%1："/>
      <w:lvlJc w:val="left"/>
      <w:pPr>
        <w:ind w:left="0" w:firstLine="363"/>
      </w:pPr>
      <w:rPr>
        <w:rFonts w:ascii="黑体" w:eastAsia="黑体" w:hAnsi="Times New Roman"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12" w15:restartNumberingAfterBreak="0">
    <w:nsid w:val="60B55DC2"/>
    <w:multiLevelType w:val="multilevel"/>
    <w:tmpl w:val="60B55DC2"/>
    <w:lvl w:ilvl="0">
      <w:start w:val="1"/>
      <w:numFmt w:val="upperLetter"/>
      <w:pStyle w:val="af2"/>
      <w:lvlText w:val="%1"/>
      <w:lvlJc w:val="left"/>
      <w:pPr>
        <w:tabs>
          <w:tab w:val="left" w:pos="0"/>
        </w:tabs>
        <w:ind w:left="0" w:hanging="425"/>
      </w:pPr>
      <w:rPr>
        <w:rFonts w:hint="eastAsia"/>
      </w:rPr>
    </w:lvl>
    <w:lvl w:ilvl="1">
      <w:start w:val="1"/>
      <w:numFmt w:val="decimal"/>
      <w:pStyle w:val="af3"/>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13" w15:restartNumberingAfterBreak="0">
    <w:nsid w:val="63404DBE"/>
    <w:multiLevelType w:val="multilevel"/>
    <w:tmpl w:val="63404DBE"/>
    <w:lvl w:ilvl="0">
      <w:start w:val="1"/>
      <w:numFmt w:val="none"/>
      <w:pStyle w:val="af4"/>
      <w:suff w:val="nothing"/>
      <w:lvlText w:val="%1示例："/>
      <w:lvlJc w:val="left"/>
      <w:pPr>
        <w:ind w:left="0" w:firstLine="363"/>
      </w:pPr>
      <w:rPr>
        <w:rFonts w:ascii="黑体" w:eastAsia="黑体" w:hint="eastAsia"/>
        <w:b w:val="0"/>
        <w:i w:val="0"/>
        <w:sz w:val="18"/>
        <w:szCs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14" w15:restartNumberingAfterBreak="0">
    <w:nsid w:val="63AF7EBF"/>
    <w:multiLevelType w:val="multilevel"/>
    <w:tmpl w:val="63AF7EBF"/>
    <w:lvl w:ilvl="0">
      <w:start w:val="1"/>
      <w:numFmt w:val="decimal"/>
      <w:pStyle w:val="af5"/>
      <w:suff w:val="nothing"/>
      <w:lvlText w:val="表%1　"/>
      <w:lvlJc w:val="left"/>
      <w:pPr>
        <w:ind w:left="0" w:firstLine="0"/>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5" w15:restartNumberingAfterBreak="0">
    <w:nsid w:val="657D3FBC"/>
    <w:multiLevelType w:val="multilevel"/>
    <w:tmpl w:val="657D3FBC"/>
    <w:lvl w:ilvl="0">
      <w:start w:val="1"/>
      <w:numFmt w:val="upperLetter"/>
      <w:pStyle w:val="af6"/>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pStyle w:val="af7"/>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pStyle w:val="af8"/>
      <w:suff w:val="nothing"/>
      <w:lvlText w:val="%1.%2.%3　"/>
      <w:lvlJc w:val="left"/>
      <w:pPr>
        <w:ind w:left="0" w:firstLine="0"/>
      </w:pPr>
      <w:rPr>
        <w:rFonts w:ascii="黑体" w:eastAsia="黑体" w:hAnsi="Times New Roman" w:hint="eastAsia"/>
        <w:b w:val="0"/>
        <w:i w:val="0"/>
        <w:sz w:val="21"/>
      </w:rPr>
    </w:lvl>
    <w:lvl w:ilvl="3">
      <w:start w:val="1"/>
      <w:numFmt w:val="decimal"/>
      <w:pStyle w:val="af9"/>
      <w:suff w:val="nothing"/>
      <w:lvlText w:val="%1.%2.%3.%4　"/>
      <w:lvlJc w:val="left"/>
      <w:pPr>
        <w:ind w:left="0" w:firstLine="0"/>
      </w:pPr>
      <w:rPr>
        <w:rFonts w:ascii="黑体" w:eastAsia="黑体" w:hAnsi="Times New Roman" w:hint="eastAsia"/>
        <w:b w:val="0"/>
        <w:i w:val="0"/>
        <w:sz w:val="21"/>
      </w:rPr>
    </w:lvl>
    <w:lvl w:ilvl="4">
      <w:start w:val="1"/>
      <w:numFmt w:val="decimal"/>
      <w:pStyle w:val="afa"/>
      <w:suff w:val="nothing"/>
      <w:lvlText w:val="%1.%2.%3.%4.%5　"/>
      <w:lvlJc w:val="left"/>
      <w:pPr>
        <w:ind w:left="0" w:firstLine="0"/>
      </w:pPr>
      <w:rPr>
        <w:rFonts w:ascii="黑体" w:eastAsia="黑体" w:hAnsi="Times New Roman" w:hint="eastAsia"/>
        <w:b w:val="0"/>
        <w:i w:val="0"/>
        <w:sz w:val="21"/>
      </w:rPr>
    </w:lvl>
    <w:lvl w:ilvl="5">
      <w:start w:val="1"/>
      <w:numFmt w:val="decimal"/>
      <w:pStyle w:val="afb"/>
      <w:suff w:val="nothing"/>
      <w:lvlText w:val="%1.%2.%3.%4.%5.%6　"/>
      <w:lvlJc w:val="left"/>
      <w:pPr>
        <w:ind w:left="0" w:firstLine="0"/>
      </w:pPr>
      <w:rPr>
        <w:rFonts w:ascii="黑体" w:eastAsia="黑体" w:hAnsi="Times New Roman" w:hint="eastAsia"/>
        <w:b w:val="0"/>
        <w:i w:val="0"/>
        <w:sz w:val="21"/>
      </w:rPr>
    </w:lvl>
    <w:lvl w:ilvl="6">
      <w:start w:val="1"/>
      <w:numFmt w:val="decimal"/>
      <w:pStyle w:val="afc"/>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6" w15:restartNumberingAfterBreak="0">
    <w:nsid w:val="6AB870ED"/>
    <w:multiLevelType w:val="multilevel"/>
    <w:tmpl w:val="6AB870ED"/>
    <w:lvl w:ilvl="0">
      <w:start w:val="1"/>
      <w:numFmt w:val="decimal"/>
      <w:pStyle w:val="afd"/>
      <w:suff w:val="nothing"/>
      <w:lvlText w:val="示例%1："/>
      <w:lvlJc w:val="left"/>
      <w:pPr>
        <w:ind w:left="0" w:firstLine="363"/>
      </w:pPr>
      <w:rPr>
        <w:rFonts w:ascii="黑体" w:eastAsia="黑体" w:hint="eastAsia"/>
        <w:b w:val="0"/>
        <w:i w:val="0"/>
        <w:sz w:val="18"/>
        <w:szCs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17" w15:restartNumberingAfterBreak="0">
    <w:nsid w:val="6D6C07CD"/>
    <w:multiLevelType w:val="multilevel"/>
    <w:tmpl w:val="6D6C07CD"/>
    <w:lvl w:ilvl="0">
      <w:start w:val="1"/>
      <w:numFmt w:val="lowerLetter"/>
      <w:pStyle w:val="afe"/>
      <w:lvlText w:val="%1)"/>
      <w:lvlJc w:val="left"/>
      <w:pPr>
        <w:tabs>
          <w:tab w:val="left" w:pos="839"/>
        </w:tabs>
        <w:ind w:left="839" w:hanging="419"/>
      </w:pPr>
      <w:rPr>
        <w:rFonts w:ascii="宋体" w:eastAsia="宋体" w:hint="eastAsia"/>
        <w:b w:val="0"/>
        <w:i w:val="0"/>
        <w:sz w:val="21"/>
      </w:rPr>
    </w:lvl>
    <w:lvl w:ilvl="1">
      <w:start w:val="1"/>
      <w:numFmt w:val="decimal"/>
      <w:pStyle w:val="aff"/>
      <w:lvlText w:val="%2)"/>
      <w:lvlJc w:val="left"/>
      <w:pPr>
        <w:tabs>
          <w:tab w:val="left" w:pos="840"/>
        </w:tabs>
        <w:ind w:left="839" w:hanging="419"/>
      </w:pPr>
      <w:rPr>
        <w:rFonts w:ascii="宋体" w:eastAsia="宋体" w:hint="eastAsia"/>
        <w:b w:val="0"/>
        <w:i w:val="0"/>
        <w:sz w:val="21"/>
      </w:rPr>
    </w:lvl>
    <w:lvl w:ilvl="2">
      <w:start w:val="1"/>
      <w:numFmt w:val="lowerRoman"/>
      <w:lvlText w:val="%3."/>
      <w:lvlJc w:val="right"/>
      <w:pPr>
        <w:tabs>
          <w:tab w:val="left" w:pos="1260"/>
        </w:tabs>
        <w:ind w:left="1259" w:hanging="419"/>
      </w:pPr>
      <w:rPr>
        <w:rFonts w:hint="eastAsia"/>
      </w:rPr>
    </w:lvl>
    <w:lvl w:ilvl="3">
      <w:start w:val="1"/>
      <w:numFmt w:val="decimal"/>
      <w:lvlText w:val="%4."/>
      <w:lvlJc w:val="left"/>
      <w:pPr>
        <w:tabs>
          <w:tab w:val="left" w:pos="1680"/>
        </w:tabs>
        <w:ind w:left="1679" w:hanging="419"/>
      </w:pPr>
      <w:rPr>
        <w:rFonts w:hint="eastAsia"/>
      </w:rPr>
    </w:lvl>
    <w:lvl w:ilvl="4">
      <w:start w:val="1"/>
      <w:numFmt w:val="lowerLetter"/>
      <w:lvlText w:val="%5)"/>
      <w:lvlJc w:val="left"/>
      <w:pPr>
        <w:tabs>
          <w:tab w:val="left" w:pos="2100"/>
        </w:tabs>
        <w:ind w:left="2099" w:hanging="419"/>
      </w:pPr>
      <w:rPr>
        <w:rFonts w:hint="eastAsia"/>
      </w:rPr>
    </w:lvl>
    <w:lvl w:ilvl="5">
      <w:start w:val="1"/>
      <w:numFmt w:val="lowerRoman"/>
      <w:lvlText w:val="%6."/>
      <w:lvlJc w:val="right"/>
      <w:pPr>
        <w:tabs>
          <w:tab w:val="left" w:pos="2520"/>
        </w:tabs>
        <w:ind w:left="2519" w:hanging="419"/>
      </w:pPr>
      <w:rPr>
        <w:rFonts w:hint="eastAsia"/>
      </w:rPr>
    </w:lvl>
    <w:lvl w:ilvl="6">
      <w:start w:val="1"/>
      <w:numFmt w:val="decimal"/>
      <w:lvlText w:val="%7."/>
      <w:lvlJc w:val="left"/>
      <w:pPr>
        <w:tabs>
          <w:tab w:val="left" w:pos="2940"/>
        </w:tabs>
        <w:ind w:left="2939" w:hanging="419"/>
      </w:pPr>
      <w:rPr>
        <w:rFonts w:hint="eastAsia"/>
      </w:rPr>
    </w:lvl>
    <w:lvl w:ilvl="7">
      <w:start w:val="1"/>
      <w:numFmt w:val="lowerLetter"/>
      <w:lvlText w:val="%8)"/>
      <w:lvlJc w:val="left"/>
      <w:pPr>
        <w:tabs>
          <w:tab w:val="left" w:pos="3360"/>
        </w:tabs>
        <w:ind w:left="3359" w:hanging="419"/>
      </w:pPr>
      <w:rPr>
        <w:rFonts w:hint="eastAsia"/>
      </w:rPr>
    </w:lvl>
    <w:lvl w:ilvl="8">
      <w:start w:val="1"/>
      <w:numFmt w:val="lowerRoman"/>
      <w:lvlText w:val="%9."/>
      <w:lvlJc w:val="right"/>
      <w:pPr>
        <w:tabs>
          <w:tab w:val="left" w:pos="3780"/>
        </w:tabs>
        <w:ind w:left="3779" w:hanging="419"/>
      </w:pPr>
      <w:rPr>
        <w:rFonts w:hint="eastAsia"/>
      </w:rPr>
    </w:lvl>
  </w:abstractNum>
  <w:num w:numId="1" w16cid:durableId="1750426140">
    <w:abstractNumId w:val="8"/>
  </w:num>
  <w:num w:numId="2" w16cid:durableId="617639976">
    <w:abstractNumId w:val="3"/>
  </w:num>
  <w:num w:numId="3" w16cid:durableId="1770851803">
    <w:abstractNumId w:val="7"/>
  </w:num>
  <w:num w:numId="4" w16cid:durableId="1251158988">
    <w:abstractNumId w:val="13"/>
  </w:num>
  <w:num w:numId="5" w16cid:durableId="514150620">
    <w:abstractNumId w:val="9"/>
  </w:num>
  <w:num w:numId="6" w16cid:durableId="1341349957">
    <w:abstractNumId w:val="2"/>
  </w:num>
  <w:num w:numId="7" w16cid:durableId="30152847">
    <w:abstractNumId w:val="11"/>
  </w:num>
  <w:num w:numId="8" w16cid:durableId="226183191">
    <w:abstractNumId w:val="16"/>
  </w:num>
  <w:num w:numId="9" w16cid:durableId="345983919">
    <w:abstractNumId w:val="5"/>
  </w:num>
  <w:num w:numId="10" w16cid:durableId="862086830">
    <w:abstractNumId w:val="1"/>
  </w:num>
  <w:num w:numId="11" w16cid:durableId="1982538096">
    <w:abstractNumId w:val="15"/>
  </w:num>
  <w:num w:numId="12" w16cid:durableId="844634646">
    <w:abstractNumId w:val="12"/>
  </w:num>
  <w:num w:numId="13" w16cid:durableId="56512407">
    <w:abstractNumId w:val="17"/>
  </w:num>
  <w:num w:numId="14" w16cid:durableId="634262923">
    <w:abstractNumId w:val="6"/>
  </w:num>
  <w:num w:numId="15" w16cid:durableId="1727601350">
    <w:abstractNumId w:val="4"/>
  </w:num>
  <w:num w:numId="16" w16cid:durableId="782919959">
    <w:abstractNumId w:val="14"/>
  </w:num>
  <w:num w:numId="17" w16cid:durableId="1594823229">
    <w:abstractNumId w:val="10"/>
  </w:num>
  <w:num w:numId="18" w16cid:durableId="39323583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420"/>
  <w:evenAndOddHeaders/>
  <w:drawingGridHorizontalSpacing w:val="105"/>
  <w:drawingGridVerticalSpacing w:val="156"/>
  <w:noPunctuationKerning/>
  <w:characterSpacingControl w:val="compressPunctuation"/>
  <w:hdrShapeDefaults>
    <o:shapedefaults v:ext="edit" spidmax="2050" fillcolor="white">
      <v:fill color="white"/>
    </o:shapedefaults>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244"/>
    <w:rsid w:val="00000BB3"/>
    <w:rsid w:val="0000185F"/>
    <w:rsid w:val="00004B91"/>
    <w:rsid w:val="00004E32"/>
    <w:rsid w:val="0000586F"/>
    <w:rsid w:val="0000606B"/>
    <w:rsid w:val="00013D86"/>
    <w:rsid w:val="00013E02"/>
    <w:rsid w:val="0002143C"/>
    <w:rsid w:val="00025A65"/>
    <w:rsid w:val="00026C31"/>
    <w:rsid w:val="00027280"/>
    <w:rsid w:val="000320A7"/>
    <w:rsid w:val="000325EA"/>
    <w:rsid w:val="00032E0A"/>
    <w:rsid w:val="00034D2D"/>
    <w:rsid w:val="00035925"/>
    <w:rsid w:val="00036C2C"/>
    <w:rsid w:val="0004530E"/>
    <w:rsid w:val="00045A7C"/>
    <w:rsid w:val="000502B6"/>
    <w:rsid w:val="00053BCA"/>
    <w:rsid w:val="00055081"/>
    <w:rsid w:val="00055371"/>
    <w:rsid w:val="00055A30"/>
    <w:rsid w:val="00056A24"/>
    <w:rsid w:val="00057CE5"/>
    <w:rsid w:val="000607A3"/>
    <w:rsid w:val="000657F7"/>
    <w:rsid w:val="00067CDF"/>
    <w:rsid w:val="000709E3"/>
    <w:rsid w:val="00072FD6"/>
    <w:rsid w:val="00074FBE"/>
    <w:rsid w:val="0007762A"/>
    <w:rsid w:val="00081F6E"/>
    <w:rsid w:val="00083A09"/>
    <w:rsid w:val="00083BFE"/>
    <w:rsid w:val="0009005E"/>
    <w:rsid w:val="000918A9"/>
    <w:rsid w:val="00092001"/>
    <w:rsid w:val="00092618"/>
    <w:rsid w:val="00092857"/>
    <w:rsid w:val="00092BD8"/>
    <w:rsid w:val="000930CD"/>
    <w:rsid w:val="000959B3"/>
    <w:rsid w:val="00095D5A"/>
    <w:rsid w:val="000964C7"/>
    <w:rsid w:val="000979D9"/>
    <w:rsid w:val="000A20A9"/>
    <w:rsid w:val="000A36CA"/>
    <w:rsid w:val="000A48B1"/>
    <w:rsid w:val="000A5F21"/>
    <w:rsid w:val="000A76E3"/>
    <w:rsid w:val="000B2C50"/>
    <w:rsid w:val="000B2F0E"/>
    <w:rsid w:val="000B3143"/>
    <w:rsid w:val="000B405D"/>
    <w:rsid w:val="000B43C2"/>
    <w:rsid w:val="000C2BE6"/>
    <w:rsid w:val="000C6B05"/>
    <w:rsid w:val="000C6DD6"/>
    <w:rsid w:val="000C73D4"/>
    <w:rsid w:val="000D3D4C"/>
    <w:rsid w:val="000D4F51"/>
    <w:rsid w:val="000D54FC"/>
    <w:rsid w:val="000D718B"/>
    <w:rsid w:val="000D7BD9"/>
    <w:rsid w:val="000E025C"/>
    <w:rsid w:val="000E0C46"/>
    <w:rsid w:val="000E15EE"/>
    <w:rsid w:val="000E3676"/>
    <w:rsid w:val="000F030C"/>
    <w:rsid w:val="000F129C"/>
    <w:rsid w:val="000F174F"/>
    <w:rsid w:val="000F36DB"/>
    <w:rsid w:val="000F5661"/>
    <w:rsid w:val="00104E29"/>
    <w:rsid w:val="001056DE"/>
    <w:rsid w:val="0010707E"/>
    <w:rsid w:val="001124C0"/>
    <w:rsid w:val="00117A25"/>
    <w:rsid w:val="00121293"/>
    <w:rsid w:val="001224FE"/>
    <w:rsid w:val="0013175F"/>
    <w:rsid w:val="0013364D"/>
    <w:rsid w:val="001343BB"/>
    <w:rsid w:val="00134539"/>
    <w:rsid w:val="00140F58"/>
    <w:rsid w:val="00143425"/>
    <w:rsid w:val="001512B4"/>
    <w:rsid w:val="00153A26"/>
    <w:rsid w:val="001620A5"/>
    <w:rsid w:val="00164E53"/>
    <w:rsid w:val="00165D35"/>
    <w:rsid w:val="0016699D"/>
    <w:rsid w:val="001670D9"/>
    <w:rsid w:val="00172A27"/>
    <w:rsid w:val="00175159"/>
    <w:rsid w:val="00175AD7"/>
    <w:rsid w:val="00176208"/>
    <w:rsid w:val="0017780C"/>
    <w:rsid w:val="001813B2"/>
    <w:rsid w:val="0018211B"/>
    <w:rsid w:val="00183FE1"/>
    <w:rsid w:val="001840D3"/>
    <w:rsid w:val="00184782"/>
    <w:rsid w:val="00185FB5"/>
    <w:rsid w:val="00187A8A"/>
    <w:rsid w:val="001900F8"/>
    <w:rsid w:val="00191258"/>
    <w:rsid w:val="00192680"/>
    <w:rsid w:val="00193037"/>
    <w:rsid w:val="00193375"/>
    <w:rsid w:val="00193A2C"/>
    <w:rsid w:val="001A0E8F"/>
    <w:rsid w:val="001A288E"/>
    <w:rsid w:val="001B36ED"/>
    <w:rsid w:val="001B3D3A"/>
    <w:rsid w:val="001B6DC2"/>
    <w:rsid w:val="001B754B"/>
    <w:rsid w:val="001C149C"/>
    <w:rsid w:val="001C21AC"/>
    <w:rsid w:val="001C3689"/>
    <w:rsid w:val="001C47BA"/>
    <w:rsid w:val="001C59EA"/>
    <w:rsid w:val="001D3556"/>
    <w:rsid w:val="001D406C"/>
    <w:rsid w:val="001D41EE"/>
    <w:rsid w:val="001D4BEB"/>
    <w:rsid w:val="001D71E6"/>
    <w:rsid w:val="001E0380"/>
    <w:rsid w:val="001E0B1B"/>
    <w:rsid w:val="001E13B1"/>
    <w:rsid w:val="001E2153"/>
    <w:rsid w:val="001F3A19"/>
    <w:rsid w:val="001F4EB7"/>
    <w:rsid w:val="001F771A"/>
    <w:rsid w:val="002009E4"/>
    <w:rsid w:val="00201053"/>
    <w:rsid w:val="0020251B"/>
    <w:rsid w:val="00204DCD"/>
    <w:rsid w:val="002073D3"/>
    <w:rsid w:val="00212EBD"/>
    <w:rsid w:val="00212FCA"/>
    <w:rsid w:val="00213D03"/>
    <w:rsid w:val="00215D48"/>
    <w:rsid w:val="0021624B"/>
    <w:rsid w:val="0022185E"/>
    <w:rsid w:val="0022620A"/>
    <w:rsid w:val="00227FED"/>
    <w:rsid w:val="0023030A"/>
    <w:rsid w:val="00230F08"/>
    <w:rsid w:val="00234467"/>
    <w:rsid w:val="00235BE6"/>
    <w:rsid w:val="00237D8D"/>
    <w:rsid w:val="00241DA2"/>
    <w:rsid w:val="00247FEE"/>
    <w:rsid w:val="00250B57"/>
    <w:rsid w:val="00250E7D"/>
    <w:rsid w:val="002523DB"/>
    <w:rsid w:val="002527DD"/>
    <w:rsid w:val="00252DAA"/>
    <w:rsid w:val="002565D5"/>
    <w:rsid w:val="002622C0"/>
    <w:rsid w:val="00263510"/>
    <w:rsid w:val="002656A5"/>
    <w:rsid w:val="002777BD"/>
    <w:rsid w:val="002778AE"/>
    <w:rsid w:val="0028269A"/>
    <w:rsid w:val="0028314A"/>
    <w:rsid w:val="00283590"/>
    <w:rsid w:val="0028500B"/>
    <w:rsid w:val="00286973"/>
    <w:rsid w:val="00287674"/>
    <w:rsid w:val="002938A4"/>
    <w:rsid w:val="00294E70"/>
    <w:rsid w:val="002954B8"/>
    <w:rsid w:val="002967B2"/>
    <w:rsid w:val="002A1924"/>
    <w:rsid w:val="002A5837"/>
    <w:rsid w:val="002A7420"/>
    <w:rsid w:val="002A7A7E"/>
    <w:rsid w:val="002B0F12"/>
    <w:rsid w:val="002B1308"/>
    <w:rsid w:val="002B4554"/>
    <w:rsid w:val="002B707C"/>
    <w:rsid w:val="002C0FBB"/>
    <w:rsid w:val="002C72D8"/>
    <w:rsid w:val="002D11FA"/>
    <w:rsid w:val="002D17BC"/>
    <w:rsid w:val="002D19A4"/>
    <w:rsid w:val="002D6352"/>
    <w:rsid w:val="002E0DDF"/>
    <w:rsid w:val="002E2906"/>
    <w:rsid w:val="002E5249"/>
    <w:rsid w:val="002E5635"/>
    <w:rsid w:val="002E64C3"/>
    <w:rsid w:val="002E6A2C"/>
    <w:rsid w:val="002F035E"/>
    <w:rsid w:val="002F0FE8"/>
    <w:rsid w:val="002F1D8C"/>
    <w:rsid w:val="002F21DA"/>
    <w:rsid w:val="002F34B8"/>
    <w:rsid w:val="002F3D70"/>
    <w:rsid w:val="00301F39"/>
    <w:rsid w:val="00302058"/>
    <w:rsid w:val="00303D27"/>
    <w:rsid w:val="00305BEE"/>
    <w:rsid w:val="003067E6"/>
    <w:rsid w:val="00312975"/>
    <w:rsid w:val="00313962"/>
    <w:rsid w:val="003234E0"/>
    <w:rsid w:val="00323F03"/>
    <w:rsid w:val="00325926"/>
    <w:rsid w:val="00327252"/>
    <w:rsid w:val="00327A8A"/>
    <w:rsid w:val="003339A3"/>
    <w:rsid w:val="00336610"/>
    <w:rsid w:val="00341F5C"/>
    <w:rsid w:val="00343D23"/>
    <w:rsid w:val="00343F73"/>
    <w:rsid w:val="00345060"/>
    <w:rsid w:val="003451FB"/>
    <w:rsid w:val="00352629"/>
    <w:rsid w:val="0035323B"/>
    <w:rsid w:val="00353D19"/>
    <w:rsid w:val="0035785A"/>
    <w:rsid w:val="003609D2"/>
    <w:rsid w:val="00363F22"/>
    <w:rsid w:val="00364940"/>
    <w:rsid w:val="00375564"/>
    <w:rsid w:val="00376489"/>
    <w:rsid w:val="00377824"/>
    <w:rsid w:val="003818A4"/>
    <w:rsid w:val="00383191"/>
    <w:rsid w:val="00386DED"/>
    <w:rsid w:val="003879E8"/>
    <w:rsid w:val="003912E7"/>
    <w:rsid w:val="0039307C"/>
    <w:rsid w:val="00393947"/>
    <w:rsid w:val="00395141"/>
    <w:rsid w:val="003A0E27"/>
    <w:rsid w:val="003A14AD"/>
    <w:rsid w:val="003A1E26"/>
    <w:rsid w:val="003A2275"/>
    <w:rsid w:val="003A6A4F"/>
    <w:rsid w:val="003A7088"/>
    <w:rsid w:val="003B00DF"/>
    <w:rsid w:val="003B0B56"/>
    <w:rsid w:val="003B1275"/>
    <w:rsid w:val="003B1778"/>
    <w:rsid w:val="003C11CB"/>
    <w:rsid w:val="003C3017"/>
    <w:rsid w:val="003C663B"/>
    <w:rsid w:val="003C6A77"/>
    <w:rsid w:val="003C6E99"/>
    <w:rsid w:val="003C75F3"/>
    <w:rsid w:val="003C78A3"/>
    <w:rsid w:val="003D0EC8"/>
    <w:rsid w:val="003D36AB"/>
    <w:rsid w:val="003E1867"/>
    <w:rsid w:val="003E5729"/>
    <w:rsid w:val="003E6280"/>
    <w:rsid w:val="003E724E"/>
    <w:rsid w:val="003F1D40"/>
    <w:rsid w:val="003F22BB"/>
    <w:rsid w:val="003F2A5B"/>
    <w:rsid w:val="003F4EE0"/>
    <w:rsid w:val="003F5559"/>
    <w:rsid w:val="003F6861"/>
    <w:rsid w:val="00400473"/>
    <w:rsid w:val="00401A53"/>
    <w:rsid w:val="004020BE"/>
    <w:rsid w:val="00402153"/>
    <w:rsid w:val="004023FF"/>
    <w:rsid w:val="00402E26"/>
    <w:rsid w:val="00402FC1"/>
    <w:rsid w:val="004157CB"/>
    <w:rsid w:val="004200D9"/>
    <w:rsid w:val="00425082"/>
    <w:rsid w:val="00430053"/>
    <w:rsid w:val="00431DEB"/>
    <w:rsid w:val="00440A06"/>
    <w:rsid w:val="0044259D"/>
    <w:rsid w:val="004439D9"/>
    <w:rsid w:val="00446B29"/>
    <w:rsid w:val="00451F6D"/>
    <w:rsid w:val="004524BE"/>
    <w:rsid w:val="00453F9A"/>
    <w:rsid w:val="00454CC3"/>
    <w:rsid w:val="00464903"/>
    <w:rsid w:val="00471E91"/>
    <w:rsid w:val="0047401F"/>
    <w:rsid w:val="00474079"/>
    <w:rsid w:val="00474675"/>
    <w:rsid w:val="0047470C"/>
    <w:rsid w:val="00474D75"/>
    <w:rsid w:val="00482582"/>
    <w:rsid w:val="00484C88"/>
    <w:rsid w:val="00486991"/>
    <w:rsid w:val="00490BA1"/>
    <w:rsid w:val="004A203E"/>
    <w:rsid w:val="004A32B4"/>
    <w:rsid w:val="004A35F9"/>
    <w:rsid w:val="004A4662"/>
    <w:rsid w:val="004A7A3B"/>
    <w:rsid w:val="004A7E02"/>
    <w:rsid w:val="004B157A"/>
    <w:rsid w:val="004B24C1"/>
    <w:rsid w:val="004B3092"/>
    <w:rsid w:val="004B49B1"/>
    <w:rsid w:val="004B557C"/>
    <w:rsid w:val="004C292F"/>
    <w:rsid w:val="004C657F"/>
    <w:rsid w:val="004D306F"/>
    <w:rsid w:val="004D4B02"/>
    <w:rsid w:val="004D4F76"/>
    <w:rsid w:val="004E4B13"/>
    <w:rsid w:val="004E4B8C"/>
    <w:rsid w:val="004E5A47"/>
    <w:rsid w:val="004E76B5"/>
    <w:rsid w:val="004F50E5"/>
    <w:rsid w:val="004F6651"/>
    <w:rsid w:val="005036E2"/>
    <w:rsid w:val="00510280"/>
    <w:rsid w:val="0051035F"/>
    <w:rsid w:val="00511F7E"/>
    <w:rsid w:val="00513D73"/>
    <w:rsid w:val="005148B3"/>
    <w:rsid w:val="00514A43"/>
    <w:rsid w:val="00515E9C"/>
    <w:rsid w:val="00516441"/>
    <w:rsid w:val="005174E5"/>
    <w:rsid w:val="005175A0"/>
    <w:rsid w:val="00520898"/>
    <w:rsid w:val="00522393"/>
    <w:rsid w:val="00522620"/>
    <w:rsid w:val="00525656"/>
    <w:rsid w:val="00525BF3"/>
    <w:rsid w:val="00530E6E"/>
    <w:rsid w:val="005338DE"/>
    <w:rsid w:val="00533EAE"/>
    <w:rsid w:val="00534C02"/>
    <w:rsid w:val="00535EAF"/>
    <w:rsid w:val="0053708C"/>
    <w:rsid w:val="0054044C"/>
    <w:rsid w:val="00540A31"/>
    <w:rsid w:val="0054264B"/>
    <w:rsid w:val="00543786"/>
    <w:rsid w:val="00545A49"/>
    <w:rsid w:val="005463CC"/>
    <w:rsid w:val="00546D0D"/>
    <w:rsid w:val="00547C78"/>
    <w:rsid w:val="0055153A"/>
    <w:rsid w:val="005533D7"/>
    <w:rsid w:val="00554B63"/>
    <w:rsid w:val="00562CF6"/>
    <w:rsid w:val="00563044"/>
    <w:rsid w:val="0056544B"/>
    <w:rsid w:val="005657EC"/>
    <w:rsid w:val="00567177"/>
    <w:rsid w:val="005703DE"/>
    <w:rsid w:val="00570B0A"/>
    <w:rsid w:val="005710BC"/>
    <w:rsid w:val="005751F7"/>
    <w:rsid w:val="005755F1"/>
    <w:rsid w:val="00577DE2"/>
    <w:rsid w:val="0058191F"/>
    <w:rsid w:val="00582BBE"/>
    <w:rsid w:val="005836F0"/>
    <w:rsid w:val="0058464E"/>
    <w:rsid w:val="0058650E"/>
    <w:rsid w:val="005A01CB"/>
    <w:rsid w:val="005A19A9"/>
    <w:rsid w:val="005A3F06"/>
    <w:rsid w:val="005A58FF"/>
    <w:rsid w:val="005A5EAF"/>
    <w:rsid w:val="005A6491"/>
    <w:rsid w:val="005A64C0"/>
    <w:rsid w:val="005A7FE9"/>
    <w:rsid w:val="005B1985"/>
    <w:rsid w:val="005B3C11"/>
    <w:rsid w:val="005B6513"/>
    <w:rsid w:val="005C1C28"/>
    <w:rsid w:val="005C43D0"/>
    <w:rsid w:val="005C6DB5"/>
    <w:rsid w:val="005C7424"/>
    <w:rsid w:val="005D0D2C"/>
    <w:rsid w:val="005D221E"/>
    <w:rsid w:val="005D3842"/>
    <w:rsid w:val="005E19E7"/>
    <w:rsid w:val="005E2392"/>
    <w:rsid w:val="005F6091"/>
    <w:rsid w:val="00601622"/>
    <w:rsid w:val="0060313B"/>
    <w:rsid w:val="00605058"/>
    <w:rsid w:val="0060789B"/>
    <w:rsid w:val="0061037E"/>
    <w:rsid w:val="006107BA"/>
    <w:rsid w:val="00613FAA"/>
    <w:rsid w:val="00616C36"/>
    <w:rsid w:val="0061716C"/>
    <w:rsid w:val="006171AF"/>
    <w:rsid w:val="006176D1"/>
    <w:rsid w:val="00617868"/>
    <w:rsid w:val="006243A1"/>
    <w:rsid w:val="00626005"/>
    <w:rsid w:val="00632E56"/>
    <w:rsid w:val="00635CBA"/>
    <w:rsid w:val="00636EFC"/>
    <w:rsid w:val="0064338B"/>
    <w:rsid w:val="00646542"/>
    <w:rsid w:val="00647C8E"/>
    <w:rsid w:val="006504F4"/>
    <w:rsid w:val="0065366F"/>
    <w:rsid w:val="00654BC9"/>
    <w:rsid w:val="006552FD"/>
    <w:rsid w:val="00656F0B"/>
    <w:rsid w:val="00663733"/>
    <w:rsid w:val="00663AF3"/>
    <w:rsid w:val="00666B6C"/>
    <w:rsid w:val="00672F44"/>
    <w:rsid w:val="00677B54"/>
    <w:rsid w:val="00682682"/>
    <w:rsid w:val="00682702"/>
    <w:rsid w:val="00687FC9"/>
    <w:rsid w:val="00692368"/>
    <w:rsid w:val="00695192"/>
    <w:rsid w:val="006A2EBC"/>
    <w:rsid w:val="006A5EA0"/>
    <w:rsid w:val="006A783B"/>
    <w:rsid w:val="006A7B33"/>
    <w:rsid w:val="006B497F"/>
    <w:rsid w:val="006B4E13"/>
    <w:rsid w:val="006B6A25"/>
    <w:rsid w:val="006B75DD"/>
    <w:rsid w:val="006C047C"/>
    <w:rsid w:val="006C3D8B"/>
    <w:rsid w:val="006C67E0"/>
    <w:rsid w:val="006C7ABA"/>
    <w:rsid w:val="006D0A13"/>
    <w:rsid w:val="006D0D60"/>
    <w:rsid w:val="006D1122"/>
    <w:rsid w:val="006D317E"/>
    <w:rsid w:val="006D3B1E"/>
    <w:rsid w:val="006D3C00"/>
    <w:rsid w:val="006E06AD"/>
    <w:rsid w:val="006E3673"/>
    <w:rsid w:val="006E3675"/>
    <w:rsid w:val="006E4A7F"/>
    <w:rsid w:val="006E56E9"/>
    <w:rsid w:val="006F0967"/>
    <w:rsid w:val="006F2274"/>
    <w:rsid w:val="006F64A0"/>
    <w:rsid w:val="0070038F"/>
    <w:rsid w:val="007027B1"/>
    <w:rsid w:val="0070286C"/>
    <w:rsid w:val="00704DF6"/>
    <w:rsid w:val="0070641D"/>
    <w:rsid w:val="0070651C"/>
    <w:rsid w:val="0070683A"/>
    <w:rsid w:val="007132A3"/>
    <w:rsid w:val="00714A4F"/>
    <w:rsid w:val="00716421"/>
    <w:rsid w:val="00716923"/>
    <w:rsid w:val="00721419"/>
    <w:rsid w:val="00724EFB"/>
    <w:rsid w:val="00726575"/>
    <w:rsid w:val="00730310"/>
    <w:rsid w:val="00740A49"/>
    <w:rsid w:val="007419C3"/>
    <w:rsid w:val="007446A8"/>
    <w:rsid w:val="00746559"/>
    <w:rsid w:val="007467A7"/>
    <w:rsid w:val="007469DD"/>
    <w:rsid w:val="0074741B"/>
    <w:rsid w:val="0074759E"/>
    <w:rsid w:val="007478EA"/>
    <w:rsid w:val="0075415C"/>
    <w:rsid w:val="00757097"/>
    <w:rsid w:val="007606CB"/>
    <w:rsid w:val="00761E8B"/>
    <w:rsid w:val="00763502"/>
    <w:rsid w:val="00772089"/>
    <w:rsid w:val="00777725"/>
    <w:rsid w:val="00780DE2"/>
    <w:rsid w:val="00785003"/>
    <w:rsid w:val="007913AB"/>
    <w:rsid w:val="007914F7"/>
    <w:rsid w:val="00795C73"/>
    <w:rsid w:val="007A000F"/>
    <w:rsid w:val="007A2BDB"/>
    <w:rsid w:val="007A4809"/>
    <w:rsid w:val="007A637E"/>
    <w:rsid w:val="007B1625"/>
    <w:rsid w:val="007B706E"/>
    <w:rsid w:val="007B71EB"/>
    <w:rsid w:val="007C0748"/>
    <w:rsid w:val="007C4AC3"/>
    <w:rsid w:val="007C6205"/>
    <w:rsid w:val="007C686A"/>
    <w:rsid w:val="007C728E"/>
    <w:rsid w:val="007C72A8"/>
    <w:rsid w:val="007D0BE0"/>
    <w:rsid w:val="007D204F"/>
    <w:rsid w:val="007D2C53"/>
    <w:rsid w:val="007D3D60"/>
    <w:rsid w:val="007D7E6E"/>
    <w:rsid w:val="007E1980"/>
    <w:rsid w:val="007E22FF"/>
    <w:rsid w:val="007E4B76"/>
    <w:rsid w:val="007E4ECD"/>
    <w:rsid w:val="007E5043"/>
    <w:rsid w:val="007E5EA8"/>
    <w:rsid w:val="007E74ED"/>
    <w:rsid w:val="007F0CF1"/>
    <w:rsid w:val="007F12A5"/>
    <w:rsid w:val="007F2D74"/>
    <w:rsid w:val="007F3FB7"/>
    <w:rsid w:val="007F4CF1"/>
    <w:rsid w:val="007F54D6"/>
    <w:rsid w:val="007F758D"/>
    <w:rsid w:val="007F7D52"/>
    <w:rsid w:val="008000DA"/>
    <w:rsid w:val="00802D2A"/>
    <w:rsid w:val="008047D3"/>
    <w:rsid w:val="0080484A"/>
    <w:rsid w:val="00805589"/>
    <w:rsid w:val="008057A5"/>
    <w:rsid w:val="00805E2F"/>
    <w:rsid w:val="0080654C"/>
    <w:rsid w:val="008071C6"/>
    <w:rsid w:val="00815D1E"/>
    <w:rsid w:val="00817A00"/>
    <w:rsid w:val="0082014D"/>
    <w:rsid w:val="00820907"/>
    <w:rsid w:val="00820B95"/>
    <w:rsid w:val="00820C67"/>
    <w:rsid w:val="00825891"/>
    <w:rsid w:val="00831631"/>
    <w:rsid w:val="0083228D"/>
    <w:rsid w:val="00833D07"/>
    <w:rsid w:val="00835DB3"/>
    <w:rsid w:val="0083617B"/>
    <w:rsid w:val="0083627B"/>
    <w:rsid w:val="00836342"/>
    <w:rsid w:val="00836A2D"/>
    <w:rsid w:val="008371BD"/>
    <w:rsid w:val="00840EBF"/>
    <w:rsid w:val="008503D0"/>
    <w:rsid w:val="008504A8"/>
    <w:rsid w:val="00851B58"/>
    <w:rsid w:val="0085282E"/>
    <w:rsid w:val="00854769"/>
    <w:rsid w:val="008608E6"/>
    <w:rsid w:val="0087198C"/>
    <w:rsid w:val="00872C1F"/>
    <w:rsid w:val="00873B42"/>
    <w:rsid w:val="00875D43"/>
    <w:rsid w:val="00877CB0"/>
    <w:rsid w:val="008805AC"/>
    <w:rsid w:val="00880D1A"/>
    <w:rsid w:val="00884468"/>
    <w:rsid w:val="008856D8"/>
    <w:rsid w:val="00886722"/>
    <w:rsid w:val="00887C29"/>
    <w:rsid w:val="00892E82"/>
    <w:rsid w:val="00893277"/>
    <w:rsid w:val="008943AB"/>
    <w:rsid w:val="008955FB"/>
    <w:rsid w:val="00895FA9"/>
    <w:rsid w:val="00897DC0"/>
    <w:rsid w:val="008A1035"/>
    <w:rsid w:val="008A6E08"/>
    <w:rsid w:val="008C0BE9"/>
    <w:rsid w:val="008C1B58"/>
    <w:rsid w:val="008C39AE"/>
    <w:rsid w:val="008C40DF"/>
    <w:rsid w:val="008C4734"/>
    <w:rsid w:val="008C590D"/>
    <w:rsid w:val="008D447E"/>
    <w:rsid w:val="008D7566"/>
    <w:rsid w:val="008E031B"/>
    <w:rsid w:val="008E0560"/>
    <w:rsid w:val="008E2D8C"/>
    <w:rsid w:val="008E7029"/>
    <w:rsid w:val="008E7757"/>
    <w:rsid w:val="008E7EF6"/>
    <w:rsid w:val="008F01AB"/>
    <w:rsid w:val="008F1F98"/>
    <w:rsid w:val="008F2340"/>
    <w:rsid w:val="008F2790"/>
    <w:rsid w:val="008F6758"/>
    <w:rsid w:val="009040DD"/>
    <w:rsid w:val="00905B47"/>
    <w:rsid w:val="0090690F"/>
    <w:rsid w:val="00911391"/>
    <w:rsid w:val="0091190E"/>
    <w:rsid w:val="0091331C"/>
    <w:rsid w:val="009137BD"/>
    <w:rsid w:val="0091503D"/>
    <w:rsid w:val="009279DE"/>
    <w:rsid w:val="00927AB9"/>
    <w:rsid w:val="00927B37"/>
    <w:rsid w:val="00930116"/>
    <w:rsid w:val="00930625"/>
    <w:rsid w:val="00933A1A"/>
    <w:rsid w:val="00937A1E"/>
    <w:rsid w:val="00941082"/>
    <w:rsid w:val="0094212C"/>
    <w:rsid w:val="00944853"/>
    <w:rsid w:val="0094609D"/>
    <w:rsid w:val="0095378C"/>
    <w:rsid w:val="00954689"/>
    <w:rsid w:val="0095472A"/>
    <w:rsid w:val="00955BFB"/>
    <w:rsid w:val="00956120"/>
    <w:rsid w:val="0096085A"/>
    <w:rsid w:val="009617C9"/>
    <w:rsid w:val="00961C93"/>
    <w:rsid w:val="009625BF"/>
    <w:rsid w:val="00962B4E"/>
    <w:rsid w:val="00965324"/>
    <w:rsid w:val="00967F90"/>
    <w:rsid w:val="0097091E"/>
    <w:rsid w:val="009760D3"/>
    <w:rsid w:val="00977132"/>
    <w:rsid w:val="00981A4B"/>
    <w:rsid w:val="00982250"/>
    <w:rsid w:val="00982501"/>
    <w:rsid w:val="009837EE"/>
    <w:rsid w:val="00983D33"/>
    <w:rsid w:val="00984358"/>
    <w:rsid w:val="009877D3"/>
    <w:rsid w:val="00994E8F"/>
    <w:rsid w:val="009951DC"/>
    <w:rsid w:val="009959BB"/>
    <w:rsid w:val="00997158"/>
    <w:rsid w:val="009A0827"/>
    <w:rsid w:val="009A3A7C"/>
    <w:rsid w:val="009A5D33"/>
    <w:rsid w:val="009A7D84"/>
    <w:rsid w:val="009B2323"/>
    <w:rsid w:val="009B2ADB"/>
    <w:rsid w:val="009B603A"/>
    <w:rsid w:val="009C2A6F"/>
    <w:rsid w:val="009C2D0E"/>
    <w:rsid w:val="009C39C2"/>
    <w:rsid w:val="009C3DAC"/>
    <w:rsid w:val="009C42E0"/>
    <w:rsid w:val="009C74E8"/>
    <w:rsid w:val="009D3230"/>
    <w:rsid w:val="009D5362"/>
    <w:rsid w:val="009E1415"/>
    <w:rsid w:val="009E6116"/>
    <w:rsid w:val="009E73DC"/>
    <w:rsid w:val="009E7E25"/>
    <w:rsid w:val="009F1810"/>
    <w:rsid w:val="009F546C"/>
    <w:rsid w:val="009F5492"/>
    <w:rsid w:val="00A02E43"/>
    <w:rsid w:val="00A05308"/>
    <w:rsid w:val="00A05368"/>
    <w:rsid w:val="00A06514"/>
    <w:rsid w:val="00A065F9"/>
    <w:rsid w:val="00A07011"/>
    <w:rsid w:val="00A07F34"/>
    <w:rsid w:val="00A07F8A"/>
    <w:rsid w:val="00A12A77"/>
    <w:rsid w:val="00A22154"/>
    <w:rsid w:val="00A24058"/>
    <w:rsid w:val="00A25C38"/>
    <w:rsid w:val="00A32D80"/>
    <w:rsid w:val="00A35824"/>
    <w:rsid w:val="00A36A60"/>
    <w:rsid w:val="00A36BBE"/>
    <w:rsid w:val="00A37C20"/>
    <w:rsid w:val="00A40D9E"/>
    <w:rsid w:val="00A41DF7"/>
    <w:rsid w:val="00A420B1"/>
    <w:rsid w:val="00A42ECA"/>
    <w:rsid w:val="00A4307A"/>
    <w:rsid w:val="00A46DEF"/>
    <w:rsid w:val="00A47EBB"/>
    <w:rsid w:val="00A51CDD"/>
    <w:rsid w:val="00A563F8"/>
    <w:rsid w:val="00A56BBA"/>
    <w:rsid w:val="00A653A7"/>
    <w:rsid w:val="00A6730D"/>
    <w:rsid w:val="00A71625"/>
    <w:rsid w:val="00A71B9B"/>
    <w:rsid w:val="00A751C7"/>
    <w:rsid w:val="00A80008"/>
    <w:rsid w:val="00A84CE5"/>
    <w:rsid w:val="00A8558D"/>
    <w:rsid w:val="00A87844"/>
    <w:rsid w:val="00A9227B"/>
    <w:rsid w:val="00A97A55"/>
    <w:rsid w:val="00AA038C"/>
    <w:rsid w:val="00AA0A31"/>
    <w:rsid w:val="00AA0BF7"/>
    <w:rsid w:val="00AA3471"/>
    <w:rsid w:val="00AA7A09"/>
    <w:rsid w:val="00AB3B50"/>
    <w:rsid w:val="00AB3D62"/>
    <w:rsid w:val="00AC05B1"/>
    <w:rsid w:val="00AC450C"/>
    <w:rsid w:val="00AC7966"/>
    <w:rsid w:val="00AD340B"/>
    <w:rsid w:val="00AD356C"/>
    <w:rsid w:val="00AE2914"/>
    <w:rsid w:val="00AE6D15"/>
    <w:rsid w:val="00AE7023"/>
    <w:rsid w:val="00AE7105"/>
    <w:rsid w:val="00AE78AA"/>
    <w:rsid w:val="00AF0EF3"/>
    <w:rsid w:val="00AF1F49"/>
    <w:rsid w:val="00AF2D81"/>
    <w:rsid w:val="00AF6F82"/>
    <w:rsid w:val="00B02463"/>
    <w:rsid w:val="00B04182"/>
    <w:rsid w:val="00B05ECF"/>
    <w:rsid w:val="00B07AE3"/>
    <w:rsid w:val="00B11430"/>
    <w:rsid w:val="00B12A5D"/>
    <w:rsid w:val="00B16A48"/>
    <w:rsid w:val="00B242F4"/>
    <w:rsid w:val="00B2477A"/>
    <w:rsid w:val="00B24D1C"/>
    <w:rsid w:val="00B30072"/>
    <w:rsid w:val="00B30481"/>
    <w:rsid w:val="00B3312F"/>
    <w:rsid w:val="00B34A0E"/>
    <w:rsid w:val="00B353EB"/>
    <w:rsid w:val="00B4016F"/>
    <w:rsid w:val="00B407AC"/>
    <w:rsid w:val="00B42BED"/>
    <w:rsid w:val="00B43374"/>
    <w:rsid w:val="00B439C4"/>
    <w:rsid w:val="00B43ACB"/>
    <w:rsid w:val="00B4535E"/>
    <w:rsid w:val="00B52A8C"/>
    <w:rsid w:val="00B54707"/>
    <w:rsid w:val="00B56155"/>
    <w:rsid w:val="00B62F11"/>
    <w:rsid w:val="00B63042"/>
    <w:rsid w:val="00B636A8"/>
    <w:rsid w:val="00B665C6"/>
    <w:rsid w:val="00B70FA2"/>
    <w:rsid w:val="00B72AD8"/>
    <w:rsid w:val="00B74441"/>
    <w:rsid w:val="00B758A5"/>
    <w:rsid w:val="00B805AF"/>
    <w:rsid w:val="00B814AA"/>
    <w:rsid w:val="00B81C63"/>
    <w:rsid w:val="00B82BD5"/>
    <w:rsid w:val="00B82D46"/>
    <w:rsid w:val="00B84E13"/>
    <w:rsid w:val="00B869EC"/>
    <w:rsid w:val="00B92383"/>
    <w:rsid w:val="00B9397A"/>
    <w:rsid w:val="00B9633D"/>
    <w:rsid w:val="00B967D5"/>
    <w:rsid w:val="00BA148C"/>
    <w:rsid w:val="00BA2EBE"/>
    <w:rsid w:val="00BA5F58"/>
    <w:rsid w:val="00BB0F28"/>
    <w:rsid w:val="00BB2DFF"/>
    <w:rsid w:val="00BB458A"/>
    <w:rsid w:val="00BB568A"/>
    <w:rsid w:val="00BB693F"/>
    <w:rsid w:val="00BB6C11"/>
    <w:rsid w:val="00BC4248"/>
    <w:rsid w:val="00BC5953"/>
    <w:rsid w:val="00BD00D3"/>
    <w:rsid w:val="00BD1659"/>
    <w:rsid w:val="00BD3AA9"/>
    <w:rsid w:val="00BD4A18"/>
    <w:rsid w:val="00BD4DAC"/>
    <w:rsid w:val="00BD6DB2"/>
    <w:rsid w:val="00BD73A1"/>
    <w:rsid w:val="00BE11CF"/>
    <w:rsid w:val="00BE1F60"/>
    <w:rsid w:val="00BE21AB"/>
    <w:rsid w:val="00BE55CB"/>
    <w:rsid w:val="00BE7067"/>
    <w:rsid w:val="00BF3BB2"/>
    <w:rsid w:val="00BF617A"/>
    <w:rsid w:val="00C0379D"/>
    <w:rsid w:val="00C03931"/>
    <w:rsid w:val="00C04E28"/>
    <w:rsid w:val="00C05FE3"/>
    <w:rsid w:val="00C11DA9"/>
    <w:rsid w:val="00C13624"/>
    <w:rsid w:val="00C2136D"/>
    <w:rsid w:val="00C214EE"/>
    <w:rsid w:val="00C22957"/>
    <w:rsid w:val="00C2314B"/>
    <w:rsid w:val="00C244A0"/>
    <w:rsid w:val="00C24971"/>
    <w:rsid w:val="00C25355"/>
    <w:rsid w:val="00C26BE5"/>
    <w:rsid w:val="00C26E4D"/>
    <w:rsid w:val="00C27909"/>
    <w:rsid w:val="00C27B03"/>
    <w:rsid w:val="00C314E1"/>
    <w:rsid w:val="00C32472"/>
    <w:rsid w:val="00C3266E"/>
    <w:rsid w:val="00C34397"/>
    <w:rsid w:val="00C359B6"/>
    <w:rsid w:val="00C40503"/>
    <w:rsid w:val="00C4095D"/>
    <w:rsid w:val="00C41020"/>
    <w:rsid w:val="00C41CE6"/>
    <w:rsid w:val="00C4220D"/>
    <w:rsid w:val="00C57A9C"/>
    <w:rsid w:val="00C601D2"/>
    <w:rsid w:val="00C65BCC"/>
    <w:rsid w:val="00C65FDF"/>
    <w:rsid w:val="00C66970"/>
    <w:rsid w:val="00C71F4D"/>
    <w:rsid w:val="00C7778F"/>
    <w:rsid w:val="00C81BB3"/>
    <w:rsid w:val="00C841BA"/>
    <w:rsid w:val="00C84C10"/>
    <w:rsid w:val="00C8691C"/>
    <w:rsid w:val="00C86CB4"/>
    <w:rsid w:val="00C96295"/>
    <w:rsid w:val="00C96364"/>
    <w:rsid w:val="00C96A3D"/>
    <w:rsid w:val="00CA03DF"/>
    <w:rsid w:val="00CA168A"/>
    <w:rsid w:val="00CA2097"/>
    <w:rsid w:val="00CA357E"/>
    <w:rsid w:val="00CA44F9"/>
    <w:rsid w:val="00CA4A69"/>
    <w:rsid w:val="00CA639E"/>
    <w:rsid w:val="00CB6F0D"/>
    <w:rsid w:val="00CB722E"/>
    <w:rsid w:val="00CC1F0D"/>
    <w:rsid w:val="00CC3E0C"/>
    <w:rsid w:val="00CC58D3"/>
    <w:rsid w:val="00CC6923"/>
    <w:rsid w:val="00CC784D"/>
    <w:rsid w:val="00CD5D33"/>
    <w:rsid w:val="00CD6688"/>
    <w:rsid w:val="00CF1E15"/>
    <w:rsid w:val="00CF4AF6"/>
    <w:rsid w:val="00D00A8D"/>
    <w:rsid w:val="00D03268"/>
    <w:rsid w:val="00D0337B"/>
    <w:rsid w:val="00D07777"/>
    <w:rsid w:val="00D079B2"/>
    <w:rsid w:val="00D114E9"/>
    <w:rsid w:val="00D17CD8"/>
    <w:rsid w:val="00D17FE4"/>
    <w:rsid w:val="00D22148"/>
    <w:rsid w:val="00D226B7"/>
    <w:rsid w:val="00D2527C"/>
    <w:rsid w:val="00D25A85"/>
    <w:rsid w:val="00D26EB3"/>
    <w:rsid w:val="00D27867"/>
    <w:rsid w:val="00D313B3"/>
    <w:rsid w:val="00D3308E"/>
    <w:rsid w:val="00D355A7"/>
    <w:rsid w:val="00D35B8E"/>
    <w:rsid w:val="00D37B1E"/>
    <w:rsid w:val="00D40F07"/>
    <w:rsid w:val="00D429C6"/>
    <w:rsid w:val="00D47748"/>
    <w:rsid w:val="00D5178F"/>
    <w:rsid w:val="00D518DF"/>
    <w:rsid w:val="00D54CC3"/>
    <w:rsid w:val="00D54CDD"/>
    <w:rsid w:val="00D56ECB"/>
    <w:rsid w:val="00D6041A"/>
    <w:rsid w:val="00D60E84"/>
    <w:rsid w:val="00D61258"/>
    <w:rsid w:val="00D633EB"/>
    <w:rsid w:val="00D67AA9"/>
    <w:rsid w:val="00D7169C"/>
    <w:rsid w:val="00D736AC"/>
    <w:rsid w:val="00D747AA"/>
    <w:rsid w:val="00D75A7E"/>
    <w:rsid w:val="00D80DB7"/>
    <w:rsid w:val="00D82FF7"/>
    <w:rsid w:val="00D83E40"/>
    <w:rsid w:val="00D84271"/>
    <w:rsid w:val="00D847FE"/>
    <w:rsid w:val="00D8680E"/>
    <w:rsid w:val="00D86B9C"/>
    <w:rsid w:val="00D900CD"/>
    <w:rsid w:val="00D90A39"/>
    <w:rsid w:val="00D9123D"/>
    <w:rsid w:val="00D964EA"/>
    <w:rsid w:val="00D966D0"/>
    <w:rsid w:val="00D9784A"/>
    <w:rsid w:val="00DA0C59"/>
    <w:rsid w:val="00DA3684"/>
    <w:rsid w:val="00DA3991"/>
    <w:rsid w:val="00DA39B7"/>
    <w:rsid w:val="00DA72A1"/>
    <w:rsid w:val="00DA7F95"/>
    <w:rsid w:val="00DB01F1"/>
    <w:rsid w:val="00DB3222"/>
    <w:rsid w:val="00DB75A8"/>
    <w:rsid w:val="00DB7E6C"/>
    <w:rsid w:val="00DC375C"/>
    <w:rsid w:val="00DC4F68"/>
    <w:rsid w:val="00DC64B0"/>
    <w:rsid w:val="00DC6B1E"/>
    <w:rsid w:val="00DC6B6E"/>
    <w:rsid w:val="00DD252A"/>
    <w:rsid w:val="00DD5949"/>
    <w:rsid w:val="00DD5A29"/>
    <w:rsid w:val="00DD5D9D"/>
    <w:rsid w:val="00DE2E5C"/>
    <w:rsid w:val="00DE35CB"/>
    <w:rsid w:val="00DF0EF0"/>
    <w:rsid w:val="00DF21E9"/>
    <w:rsid w:val="00DF22C7"/>
    <w:rsid w:val="00DF53CA"/>
    <w:rsid w:val="00DF5588"/>
    <w:rsid w:val="00DF5CC9"/>
    <w:rsid w:val="00E005D3"/>
    <w:rsid w:val="00E00F14"/>
    <w:rsid w:val="00E018C9"/>
    <w:rsid w:val="00E01CB8"/>
    <w:rsid w:val="00E03130"/>
    <w:rsid w:val="00E06386"/>
    <w:rsid w:val="00E075C5"/>
    <w:rsid w:val="00E1051A"/>
    <w:rsid w:val="00E111F3"/>
    <w:rsid w:val="00E11668"/>
    <w:rsid w:val="00E118E7"/>
    <w:rsid w:val="00E121FD"/>
    <w:rsid w:val="00E122B7"/>
    <w:rsid w:val="00E13711"/>
    <w:rsid w:val="00E21B55"/>
    <w:rsid w:val="00E221D3"/>
    <w:rsid w:val="00E223DB"/>
    <w:rsid w:val="00E24EB4"/>
    <w:rsid w:val="00E26580"/>
    <w:rsid w:val="00E27F92"/>
    <w:rsid w:val="00E30635"/>
    <w:rsid w:val="00E320ED"/>
    <w:rsid w:val="00E33AFB"/>
    <w:rsid w:val="00E34218"/>
    <w:rsid w:val="00E34B17"/>
    <w:rsid w:val="00E41918"/>
    <w:rsid w:val="00E4294E"/>
    <w:rsid w:val="00E4555B"/>
    <w:rsid w:val="00E46282"/>
    <w:rsid w:val="00E5216E"/>
    <w:rsid w:val="00E5529C"/>
    <w:rsid w:val="00E657C6"/>
    <w:rsid w:val="00E6678D"/>
    <w:rsid w:val="00E72B9D"/>
    <w:rsid w:val="00E75D40"/>
    <w:rsid w:val="00E77A4A"/>
    <w:rsid w:val="00E81965"/>
    <w:rsid w:val="00E81A88"/>
    <w:rsid w:val="00E82344"/>
    <w:rsid w:val="00E8341F"/>
    <w:rsid w:val="00E84C82"/>
    <w:rsid w:val="00E84D64"/>
    <w:rsid w:val="00E87408"/>
    <w:rsid w:val="00E914C4"/>
    <w:rsid w:val="00E934F5"/>
    <w:rsid w:val="00E96961"/>
    <w:rsid w:val="00EA72EC"/>
    <w:rsid w:val="00EA785D"/>
    <w:rsid w:val="00EB11CB"/>
    <w:rsid w:val="00EB1327"/>
    <w:rsid w:val="00EB1C71"/>
    <w:rsid w:val="00EB275A"/>
    <w:rsid w:val="00EB57CA"/>
    <w:rsid w:val="00EB5880"/>
    <w:rsid w:val="00EB786A"/>
    <w:rsid w:val="00EB7D05"/>
    <w:rsid w:val="00EC104C"/>
    <w:rsid w:val="00EC1578"/>
    <w:rsid w:val="00EC1BFC"/>
    <w:rsid w:val="00EC1C72"/>
    <w:rsid w:val="00EC3356"/>
    <w:rsid w:val="00EC3CC9"/>
    <w:rsid w:val="00EC5D85"/>
    <w:rsid w:val="00EC680A"/>
    <w:rsid w:val="00ED3C43"/>
    <w:rsid w:val="00ED45CB"/>
    <w:rsid w:val="00ED511C"/>
    <w:rsid w:val="00ED7229"/>
    <w:rsid w:val="00EE25CB"/>
    <w:rsid w:val="00EE2974"/>
    <w:rsid w:val="00EE2BED"/>
    <w:rsid w:val="00EE374B"/>
    <w:rsid w:val="00EE4A87"/>
    <w:rsid w:val="00EF2869"/>
    <w:rsid w:val="00F05442"/>
    <w:rsid w:val="00F05D60"/>
    <w:rsid w:val="00F060ED"/>
    <w:rsid w:val="00F07224"/>
    <w:rsid w:val="00F07FD3"/>
    <w:rsid w:val="00F11BB5"/>
    <w:rsid w:val="00F1296C"/>
    <w:rsid w:val="00F1316D"/>
    <w:rsid w:val="00F1417B"/>
    <w:rsid w:val="00F1712D"/>
    <w:rsid w:val="00F17A17"/>
    <w:rsid w:val="00F208A0"/>
    <w:rsid w:val="00F2115E"/>
    <w:rsid w:val="00F27B3D"/>
    <w:rsid w:val="00F30ABD"/>
    <w:rsid w:val="00F34243"/>
    <w:rsid w:val="00F34B99"/>
    <w:rsid w:val="00F40B02"/>
    <w:rsid w:val="00F40C40"/>
    <w:rsid w:val="00F41E81"/>
    <w:rsid w:val="00F42861"/>
    <w:rsid w:val="00F47FDE"/>
    <w:rsid w:val="00F51720"/>
    <w:rsid w:val="00F51CF2"/>
    <w:rsid w:val="00F52DAB"/>
    <w:rsid w:val="00F543F0"/>
    <w:rsid w:val="00F55E3E"/>
    <w:rsid w:val="00F57601"/>
    <w:rsid w:val="00F73F99"/>
    <w:rsid w:val="00F75F80"/>
    <w:rsid w:val="00F81D29"/>
    <w:rsid w:val="00F863EE"/>
    <w:rsid w:val="00F877F6"/>
    <w:rsid w:val="00F90BE5"/>
    <w:rsid w:val="00F91C4D"/>
    <w:rsid w:val="00F92FD9"/>
    <w:rsid w:val="00F95A39"/>
    <w:rsid w:val="00F97210"/>
    <w:rsid w:val="00FA0231"/>
    <w:rsid w:val="00FA37B1"/>
    <w:rsid w:val="00FA3E0B"/>
    <w:rsid w:val="00FA5EF7"/>
    <w:rsid w:val="00FA6684"/>
    <w:rsid w:val="00FA731E"/>
    <w:rsid w:val="00FA7BD0"/>
    <w:rsid w:val="00FB034A"/>
    <w:rsid w:val="00FB1DCF"/>
    <w:rsid w:val="00FB2B38"/>
    <w:rsid w:val="00FB61CE"/>
    <w:rsid w:val="00FB7A07"/>
    <w:rsid w:val="00FC04CC"/>
    <w:rsid w:val="00FC2066"/>
    <w:rsid w:val="00FC6358"/>
    <w:rsid w:val="00FD1381"/>
    <w:rsid w:val="00FD320D"/>
    <w:rsid w:val="00FE1B98"/>
    <w:rsid w:val="00FE23DE"/>
    <w:rsid w:val="00FE7E56"/>
    <w:rsid w:val="00FF1801"/>
    <w:rsid w:val="00FF64E5"/>
    <w:rsid w:val="00FF6842"/>
    <w:rsid w:val="00FF6883"/>
    <w:rsid w:val="017C196D"/>
    <w:rsid w:val="021F6D86"/>
    <w:rsid w:val="052160AC"/>
    <w:rsid w:val="0539619A"/>
    <w:rsid w:val="0BD3755E"/>
    <w:rsid w:val="0DB3584C"/>
    <w:rsid w:val="0E163DF4"/>
    <w:rsid w:val="0EBE42C2"/>
    <w:rsid w:val="0F1E241C"/>
    <w:rsid w:val="10EC1F8D"/>
    <w:rsid w:val="13BA03CD"/>
    <w:rsid w:val="13CB2A49"/>
    <w:rsid w:val="14B71810"/>
    <w:rsid w:val="156652A6"/>
    <w:rsid w:val="15BD4C9F"/>
    <w:rsid w:val="165D5E0F"/>
    <w:rsid w:val="1A2D0068"/>
    <w:rsid w:val="1AA05C35"/>
    <w:rsid w:val="1E4476CB"/>
    <w:rsid w:val="20B742D1"/>
    <w:rsid w:val="235932F1"/>
    <w:rsid w:val="25C03667"/>
    <w:rsid w:val="26592C75"/>
    <w:rsid w:val="2B096A2F"/>
    <w:rsid w:val="2BB7496D"/>
    <w:rsid w:val="366A09FC"/>
    <w:rsid w:val="37FA52E4"/>
    <w:rsid w:val="382602FC"/>
    <w:rsid w:val="3AF77A6B"/>
    <w:rsid w:val="41E01F77"/>
    <w:rsid w:val="449E7BE1"/>
    <w:rsid w:val="45425C2D"/>
    <w:rsid w:val="48490323"/>
    <w:rsid w:val="486A7235"/>
    <w:rsid w:val="4B7E4033"/>
    <w:rsid w:val="4C47456F"/>
    <w:rsid w:val="4EA31B8D"/>
    <w:rsid w:val="4F9C3315"/>
    <w:rsid w:val="4FEC5A08"/>
    <w:rsid w:val="519623EB"/>
    <w:rsid w:val="52C80D51"/>
    <w:rsid w:val="546C0184"/>
    <w:rsid w:val="56F67F82"/>
    <w:rsid w:val="57140074"/>
    <w:rsid w:val="58985DD7"/>
    <w:rsid w:val="58B31002"/>
    <w:rsid w:val="5A27111D"/>
    <w:rsid w:val="5B544692"/>
    <w:rsid w:val="5BE62DD4"/>
    <w:rsid w:val="5E640BEB"/>
    <w:rsid w:val="5FD42BF4"/>
    <w:rsid w:val="60E21F13"/>
    <w:rsid w:val="62E84D64"/>
    <w:rsid w:val="64120019"/>
    <w:rsid w:val="64A81B03"/>
    <w:rsid w:val="652E59C2"/>
    <w:rsid w:val="654B7431"/>
    <w:rsid w:val="666304CC"/>
    <w:rsid w:val="673F5F55"/>
    <w:rsid w:val="68C06A08"/>
    <w:rsid w:val="6CCE7942"/>
    <w:rsid w:val="739E0C4B"/>
    <w:rsid w:val="74C531F6"/>
    <w:rsid w:val="75EF56F2"/>
    <w:rsid w:val="7B4A7005"/>
    <w:rsid w:val="7BF102DB"/>
    <w:rsid w:val="7C5B4B6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64CA186"/>
  <w15:docId w15:val="{568EA65B-C5CD-483F-89F9-DCB18593BD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qFormat="1"/>
    <w:lsdException w:name="annotation text" w:semiHidden="1" w:unhideWhenUsed="1" w:qFormat="1"/>
    <w:lsdException w:name="header" w:qFormat="1"/>
    <w:lsdException w:name="footer" w:qFormat="1"/>
    <w:lsdException w:name="index heading"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nhideWhenUsed="1" w:qFormat="1"/>
    <w:lsdException w:name="line number" w:semiHidden="1" w:unhideWhenUsed="1"/>
    <w:lsdException w:name="page number" w:qFormat="1"/>
    <w:lsdException w:name="endnote reference" w:semiHidden="1" w:qFormat="1"/>
    <w:lsdException w:name="endnote text" w:semiHidden="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0">
    <w:name w:val="Normal"/>
    <w:qFormat/>
    <w:pPr>
      <w:widowControl w:val="0"/>
      <w:jc w:val="both"/>
    </w:pPr>
    <w:rPr>
      <w:kern w:val="2"/>
      <w:sz w:val="21"/>
      <w:szCs w:val="24"/>
    </w:rPr>
  </w:style>
  <w:style w:type="paragraph" w:styleId="1">
    <w:name w:val="heading 1"/>
    <w:basedOn w:val="aff0"/>
    <w:next w:val="aff0"/>
    <w:link w:val="10"/>
    <w:qFormat/>
    <w:pPr>
      <w:keepNext/>
      <w:keepLines/>
      <w:spacing w:before="340" w:after="330" w:line="578" w:lineRule="auto"/>
      <w:outlineLvl w:val="0"/>
    </w:pPr>
    <w:rPr>
      <w:b/>
      <w:bCs/>
      <w:kern w:val="44"/>
      <w:sz w:val="44"/>
      <w:szCs w:val="44"/>
    </w:rPr>
  </w:style>
  <w:style w:type="paragraph" w:styleId="2">
    <w:name w:val="heading 2"/>
    <w:basedOn w:val="aff0"/>
    <w:next w:val="aff0"/>
    <w:semiHidden/>
    <w:unhideWhenUsed/>
    <w:qFormat/>
    <w:pPr>
      <w:spacing w:beforeAutospacing="1" w:afterAutospacing="1"/>
      <w:jc w:val="left"/>
      <w:outlineLvl w:val="1"/>
    </w:pPr>
    <w:rPr>
      <w:rFonts w:ascii="宋体" w:hAnsi="宋体" w:hint="eastAsia"/>
      <w:b/>
      <w:bCs/>
      <w:kern w:val="0"/>
      <w:sz w:val="36"/>
      <w:szCs w:val="36"/>
    </w:rPr>
  </w:style>
  <w:style w:type="paragraph" w:styleId="3">
    <w:name w:val="heading 3"/>
    <w:basedOn w:val="aff0"/>
    <w:next w:val="aff0"/>
    <w:semiHidden/>
    <w:unhideWhenUsed/>
    <w:qFormat/>
    <w:pPr>
      <w:spacing w:beforeAutospacing="1" w:afterAutospacing="1"/>
      <w:jc w:val="left"/>
      <w:outlineLvl w:val="2"/>
    </w:pPr>
    <w:rPr>
      <w:rFonts w:ascii="宋体" w:hAnsi="宋体" w:hint="eastAsia"/>
      <w:b/>
      <w:bCs/>
      <w:kern w:val="0"/>
      <w:sz w:val="27"/>
      <w:szCs w:val="27"/>
    </w:rPr>
  </w:style>
  <w:style w:type="character" w:default="1" w:styleId="aff1">
    <w:name w:val="Default Paragraph Font"/>
    <w:uiPriority w:val="1"/>
    <w:semiHidden/>
    <w:unhideWhenUsed/>
  </w:style>
  <w:style w:type="table" w:default="1" w:styleId="aff2">
    <w:name w:val="Normal Table"/>
    <w:uiPriority w:val="99"/>
    <w:semiHidden/>
    <w:unhideWhenUsed/>
    <w:tblPr>
      <w:tblInd w:w="0" w:type="dxa"/>
      <w:tblCellMar>
        <w:top w:w="0" w:type="dxa"/>
        <w:left w:w="108" w:type="dxa"/>
        <w:bottom w:w="0" w:type="dxa"/>
        <w:right w:w="108" w:type="dxa"/>
      </w:tblCellMar>
    </w:tblPr>
  </w:style>
  <w:style w:type="numbering" w:default="1" w:styleId="aff3">
    <w:name w:val="No List"/>
    <w:uiPriority w:val="99"/>
    <w:semiHidden/>
    <w:unhideWhenUsed/>
  </w:style>
  <w:style w:type="paragraph" w:styleId="TOC7">
    <w:name w:val="toc 7"/>
    <w:basedOn w:val="aff0"/>
    <w:next w:val="aff0"/>
    <w:semiHidden/>
    <w:qFormat/>
    <w:pPr>
      <w:tabs>
        <w:tab w:val="right" w:leader="dot" w:pos="9241"/>
      </w:tabs>
      <w:ind w:firstLineChars="500" w:firstLine="505"/>
      <w:jc w:val="left"/>
    </w:pPr>
    <w:rPr>
      <w:rFonts w:ascii="宋体"/>
      <w:szCs w:val="21"/>
    </w:rPr>
  </w:style>
  <w:style w:type="paragraph" w:styleId="8">
    <w:name w:val="index 8"/>
    <w:basedOn w:val="aff0"/>
    <w:next w:val="aff0"/>
    <w:qFormat/>
    <w:pPr>
      <w:ind w:left="1680" w:hanging="210"/>
      <w:jc w:val="left"/>
    </w:pPr>
    <w:rPr>
      <w:rFonts w:ascii="Calibri" w:hAnsi="Calibri"/>
      <w:sz w:val="20"/>
      <w:szCs w:val="20"/>
    </w:rPr>
  </w:style>
  <w:style w:type="paragraph" w:styleId="aff4">
    <w:name w:val="caption"/>
    <w:basedOn w:val="aff0"/>
    <w:next w:val="aff0"/>
    <w:qFormat/>
    <w:pPr>
      <w:spacing w:before="152" w:after="160"/>
    </w:pPr>
    <w:rPr>
      <w:rFonts w:ascii="Arial" w:eastAsia="黑体" w:hAnsi="Arial" w:cs="Arial"/>
      <w:sz w:val="20"/>
      <w:szCs w:val="20"/>
    </w:rPr>
  </w:style>
  <w:style w:type="paragraph" w:styleId="5">
    <w:name w:val="index 5"/>
    <w:basedOn w:val="aff0"/>
    <w:next w:val="aff0"/>
    <w:qFormat/>
    <w:pPr>
      <w:ind w:left="1050" w:hanging="210"/>
      <w:jc w:val="left"/>
    </w:pPr>
    <w:rPr>
      <w:rFonts w:ascii="Calibri" w:hAnsi="Calibri"/>
      <w:sz w:val="20"/>
      <w:szCs w:val="20"/>
    </w:rPr>
  </w:style>
  <w:style w:type="paragraph" w:styleId="aff5">
    <w:name w:val="Document Map"/>
    <w:basedOn w:val="aff0"/>
    <w:semiHidden/>
    <w:qFormat/>
    <w:pPr>
      <w:shd w:val="clear" w:color="auto" w:fill="000080"/>
    </w:pPr>
  </w:style>
  <w:style w:type="paragraph" w:styleId="aff6">
    <w:name w:val="annotation text"/>
    <w:basedOn w:val="aff0"/>
    <w:link w:val="aff7"/>
    <w:semiHidden/>
    <w:unhideWhenUsed/>
    <w:qFormat/>
    <w:pPr>
      <w:jc w:val="left"/>
    </w:pPr>
  </w:style>
  <w:style w:type="paragraph" w:styleId="6">
    <w:name w:val="index 6"/>
    <w:basedOn w:val="aff0"/>
    <w:next w:val="aff0"/>
    <w:qFormat/>
    <w:pPr>
      <w:ind w:left="1260" w:hanging="210"/>
      <w:jc w:val="left"/>
    </w:pPr>
    <w:rPr>
      <w:rFonts w:ascii="Calibri" w:hAnsi="Calibri"/>
      <w:sz w:val="20"/>
      <w:szCs w:val="20"/>
    </w:rPr>
  </w:style>
  <w:style w:type="paragraph" w:styleId="4">
    <w:name w:val="index 4"/>
    <w:basedOn w:val="aff0"/>
    <w:next w:val="aff0"/>
    <w:qFormat/>
    <w:pPr>
      <w:ind w:left="840" w:hanging="210"/>
      <w:jc w:val="left"/>
    </w:pPr>
    <w:rPr>
      <w:rFonts w:ascii="Calibri" w:hAnsi="Calibri"/>
      <w:sz w:val="20"/>
      <w:szCs w:val="20"/>
    </w:rPr>
  </w:style>
  <w:style w:type="paragraph" w:styleId="TOC5">
    <w:name w:val="toc 5"/>
    <w:basedOn w:val="aff0"/>
    <w:next w:val="aff0"/>
    <w:semiHidden/>
    <w:qFormat/>
    <w:pPr>
      <w:tabs>
        <w:tab w:val="right" w:leader="dot" w:pos="9241"/>
      </w:tabs>
      <w:ind w:firstLineChars="300" w:firstLine="300"/>
      <w:jc w:val="left"/>
    </w:pPr>
    <w:rPr>
      <w:rFonts w:ascii="宋体"/>
      <w:szCs w:val="21"/>
    </w:rPr>
  </w:style>
  <w:style w:type="paragraph" w:styleId="TOC3">
    <w:name w:val="toc 3"/>
    <w:basedOn w:val="aff0"/>
    <w:next w:val="aff0"/>
    <w:uiPriority w:val="39"/>
    <w:qFormat/>
    <w:pPr>
      <w:tabs>
        <w:tab w:val="right" w:leader="dot" w:pos="9241"/>
      </w:tabs>
      <w:ind w:firstLineChars="100" w:firstLine="102"/>
      <w:jc w:val="left"/>
    </w:pPr>
    <w:rPr>
      <w:rFonts w:ascii="宋体"/>
      <w:szCs w:val="21"/>
    </w:rPr>
  </w:style>
  <w:style w:type="paragraph" w:styleId="TOC8">
    <w:name w:val="toc 8"/>
    <w:basedOn w:val="aff0"/>
    <w:next w:val="aff0"/>
    <w:semiHidden/>
    <w:qFormat/>
    <w:pPr>
      <w:tabs>
        <w:tab w:val="right" w:leader="dot" w:pos="9241"/>
      </w:tabs>
      <w:ind w:firstLineChars="600" w:firstLine="607"/>
      <w:jc w:val="left"/>
    </w:pPr>
    <w:rPr>
      <w:rFonts w:ascii="宋体"/>
      <w:szCs w:val="21"/>
    </w:rPr>
  </w:style>
  <w:style w:type="paragraph" w:styleId="30">
    <w:name w:val="index 3"/>
    <w:basedOn w:val="aff0"/>
    <w:next w:val="aff0"/>
    <w:qFormat/>
    <w:pPr>
      <w:ind w:left="630" w:hanging="210"/>
      <w:jc w:val="left"/>
    </w:pPr>
    <w:rPr>
      <w:rFonts w:ascii="Calibri" w:hAnsi="Calibri"/>
      <w:sz w:val="20"/>
      <w:szCs w:val="20"/>
    </w:rPr>
  </w:style>
  <w:style w:type="paragraph" w:styleId="aff8">
    <w:name w:val="endnote text"/>
    <w:basedOn w:val="aff0"/>
    <w:semiHidden/>
    <w:qFormat/>
    <w:pPr>
      <w:snapToGrid w:val="0"/>
      <w:jc w:val="left"/>
    </w:pPr>
  </w:style>
  <w:style w:type="paragraph" w:styleId="aff9">
    <w:name w:val="Balloon Text"/>
    <w:basedOn w:val="aff0"/>
    <w:link w:val="affa"/>
    <w:qFormat/>
    <w:rPr>
      <w:sz w:val="18"/>
      <w:szCs w:val="18"/>
    </w:rPr>
  </w:style>
  <w:style w:type="paragraph" w:styleId="affb">
    <w:name w:val="footer"/>
    <w:basedOn w:val="aff0"/>
    <w:qFormat/>
    <w:pPr>
      <w:snapToGrid w:val="0"/>
      <w:ind w:rightChars="100" w:right="210"/>
      <w:jc w:val="right"/>
    </w:pPr>
    <w:rPr>
      <w:sz w:val="18"/>
      <w:szCs w:val="18"/>
    </w:rPr>
  </w:style>
  <w:style w:type="paragraph" w:styleId="affc">
    <w:name w:val="header"/>
    <w:basedOn w:val="aff0"/>
    <w:qFormat/>
    <w:pPr>
      <w:snapToGrid w:val="0"/>
      <w:jc w:val="left"/>
    </w:pPr>
    <w:rPr>
      <w:sz w:val="18"/>
      <w:szCs w:val="18"/>
    </w:rPr>
  </w:style>
  <w:style w:type="paragraph" w:styleId="TOC1">
    <w:name w:val="toc 1"/>
    <w:basedOn w:val="aff0"/>
    <w:next w:val="aff0"/>
    <w:uiPriority w:val="39"/>
    <w:qFormat/>
    <w:pPr>
      <w:tabs>
        <w:tab w:val="right" w:leader="dot" w:pos="9241"/>
      </w:tabs>
      <w:spacing w:beforeLines="25" w:afterLines="25"/>
      <w:jc w:val="left"/>
    </w:pPr>
    <w:rPr>
      <w:rFonts w:ascii="宋体"/>
      <w:szCs w:val="21"/>
    </w:rPr>
  </w:style>
  <w:style w:type="paragraph" w:styleId="TOC4">
    <w:name w:val="toc 4"/>
    <w:basedOn w:val="aff0"/>
    <w:next w:val="aff0"/>
    <w:semiHidden/>
    <w:qFormat/>
    <w:pPr>
      <w:tabs>
        <w:tab w:val="right" w:leader="dot" w:pos="9241"/>
      </w:tabs>
      <w:ind w:firstLineChars="200" w:firstLine="198"/>
      <w:jc w:val="left"/>
    </w:pPr>
    <w:rPr>
      <w:rFonts w:ascii="宋体"/>
      <w:szCs w:val="21"/>
    </w:rPr>
  </w:style>
  <w:style w:type="paragraph" w:styleId="affd">
    <w:name w:val="index heading"/>
    <w:basedOn w:val="aff0"/>
    <w:next w:val="11"/>
    <w:qFormat/>
    <w:pPr>
      <w:spacing w:before="120" w:after="120"/>
      <w:jc w:val="center"/>
    </w:pPr>
    <w:rPr>
      <w:rFonts w:ascii="Calibri" w:hAnsi="Calibri"/>
      <w:b/>
      <w:bCs/>
      <w:iCs/>
      <w:szCs w:val="20"/>
    </w:rPr>
  </w:style>
  <w:style w:type="paragraph" w:styleId="11">
    <w:name w:val="index 1"/>
    <w:basedOn w:val="aff0"/>
    <w:next w:val="affe"/>
    <w:qFormat/>
    <w:pPr>
      <w:tabs>
        <w:tab w:val="right" w:leader="dot" w:pos="9299"/>
      </w:tabs>
      <w:jc w:val="left"/>
    </w:pPr>
    <w:rPr>
      <w:rFonts w:ascii="宋体"/>
      <w:szCs w:val="21"/>
    </w:rPr>
  </w:style>
  <w:style w:type="paragraph" w:customStyle="1" w:styleId="affe">
    <w:name w:val="段"/>
    <w:link w:val="Char"/>
    <w:qFormat/>
    <w:pPr>
      <w:tabs>
        <w:tab w:val="center" w:pos="4201"/>
        <w:tab w:val="right" w:leader="dot" w:pos="9298"/>
      </w:tabs>
      <w:autoSpaceDE w:val="0"/>
      <w:autoSpaceDN w:val="0"/>
      <w:ind w:firstLineChars="200" w:firstLine="420"/>
      <w:jc w:val="both"/>
    </w:pPr>
    <w:rPr>
      <w:rFonts w:ascii="宋体"/>
      <w:sz w:val="21"/>
    </w:rPr>
  </w:style>
  <w:style w:type="paragraph" w:styleId="ab">
    <w:name w:val="footnote text"/>
    <w:basedOn w:val="aff0"/>
    <w:qFormat/>
    <w:pPr>
      <w:numPr>
        <w:numId w:val="1"/>
      </w:numPr>
      <w:snapToGrid w:val="0"/>
      <w:jc w:val="left"/>
    </w:pPr>
    <w:rPr>
      <w:rFonts w:ascii="宋体"/>
      <w:sz w:val="18"/>
      <w:szCs w:val="18"/>
    </w:rPr>
  </w:style>
  <w:style w:type="paragraph" w:styleId="TOC6">
    <w:name w:val="toc 6"/>
    <w:basedOn w:val="aff0"/>
    <w:next w:val="aff0"/>
    <w:semiHidden/>
    <w:qFormat/>
    <w:pPr>
      <w:tabs>
        <w:tab w:val="right" w:leader="dot" w:pos="9241"/>
      </w:tabs>
      <w:ind w:firstLineChars="400" w:firstLine="403"/>
      <w:jc w:val="left"/>
    </w:pPr>
    <w:rPr>
      <w:rFonts w:ascii="宋体"/>
      <w:szCs w:val="21"/>
    </w:rPr>
  </w:style>
  <w:style w:type="paragraph" w:styleId="7">
    <w:name w:val="index 7"/>
    <w:basedOn w:val="aff0"/>
    <w:next w:val="aff0"/>
    <w:qFormat/>
    <w:pPr>
      <w:ind w:left="1470" w:hanging="210"/>
      <w:jc w:val="left"/>
    </w:pPr>
    <w:rPr>
      <w:rFonts w:ascii="Calibri" w:hAnsi="Calibri"/>
      <w:sz w:val="20"/>
      <w:szCs w:val="20"/>
    </w:rPr>
  </w:style>
  <w:style w:type="paragraph" w:styleId="9">
    <w:name w:val="index 9"/>
    <w:basedOn w:val="aff0"/>
    <w:next w:val="aff0"/>
    <w:qFormat/>
    <w:pPr>
      <w:ind w:left="1890" w:hanging="210"/>
      <w:jc w:val="left"/>
    </w:pPr>
    <w:rPr>
      <w:rFonts w:ascii="Calibri" w:hAnsi="Calibri"/>
      <w:sz w:val="20"/>
      <w:szCs w:val="20"/>
    </w:rPr>
  </w:style>
  <w:style w:type="paragraph" w:styleId="TOC2">
    <w:name w:val="toc 2"/>
    <w:basedOn w:val="aff0"/>
    <w:next w:val="aff0"/>
    <w:uiPriority w:val="39"/>
    <w:qFormat/>
    <w:pPr>
      <w:tabs>
        <w:tab w:val="right" w:leader="dot" w:pos="9241"/>
      </w:tabs>
    </w:pPr>
    <w:rPr>
      <w:rFonts w:ascii="宋体"/>
      <w:szCs w:val="21"/>
    </w:rPr>
  </w:style>
  <w:style w:type="paragraph" w:styleId="TOC9">
    <w:name w:val="toc 9"/>
    <w:basedOn w:val="aff0"/>
    <w:next w:val="aff0"/>
    <w:semiHidden/>
    <w:qFormat/>
    <w:pPr>
      <w:ind w:left="1470"/>
      <w:jc w:val="left"/>
    </w:pPr>
    <w:rPr>
      <w:sz w:val="20"/>
      <w:szCs w:val="20"/>
    </w:rPr>
  </w:style>
  <w:style w:type="paragraph" w:styleId="afff">
    <w:name w:val="Normal (Web)"/>
    <w:basedOn w:val="aff0"/>
    <w:uiPriority w:val="99"/>
    <w:semiHidden/>
    <w:unhideWhenUsed/>
    <w:qFormat/>
    <w:pPr>
      <w:spacing w:beforeAutospacing="1" w:afterAutospacing="1"/>
      <w:jc w:val="left"/>
    </w:pPr>
    <w:rPr>
      <w:kern w:val="0"/>
      <w:sz w:val="24"/>
    </w:rPr>
  </w:style>
  <w:style w:type="paragraph" w:styleId="20">
    <w:name w:val="index 2"/>
    <w:basedOn w:val="aff0"/>
    <w:next w:val="aff0"/>
    <w:qFormat/>
    <w:pPr>
      <w:ind w:left="420" w:hanging="210"/>
      <w:jc w:val="left"/>
    </w:pPr>
    <w:rPr>
      <w:rFonts w:ascii="Calibri" w:hAnsi="Calibri"/>
      <w:sz w:val="20"/>
      <w:szCs w:val="20"/>
    </w:rPr>
  </w:style>
  <w:style w:type="paragraph" w:styleId="afff0">
    <w:name w:val="annotation subject"/>
    <w:basedOn w:val="aff6"/>
    <w:next w:val="aff6"/>
    <w:link w:val="afff1"/>
    <w:semiHidden/>
    <w:unhideWhenUsed/>
    <w:qFormat/>
    <w:rPr>
      <w:b/>
      <w:bCs/>
    </w:rPr>
  </w:style>
  <w:style w:type="table" w:styleId="afff2">
    <w:name w:val="Table Grid"/>
    <w:basedOn w:val="aff2"/>
    <w:uiPriority w:val="39"/>
    <w:qFormat/>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3">
    <w:name w:val="Strong"/>
    <w:basedOn w:val="aff1"/>
    <w:qFormat/>
    <w:rPr>
      <w:b/>
    </w:rPr>
  </w:style>
  <w:style w:type="character" w:styleId="afff4">
    <w:name w:val="endnote reference"/>
    <w:semiHidden/>
    <w:qFormat/>
    <w:rPr>
      <w:vertAlign w:val="superscript"/>
    </w:rPr>
  </w:style>
  <w:style w:type="character" w:styleId="afff5">
    <w:name w:val="page number"/>
    <w:qFormat/>
    <w:rPr>
      <w:rFonts w:ascii="Times New Roman" w:eastAsia="宋体" w:hAnsi="Times New Roman"/>
      <w:sz w:val="18"/>
    </w:rPr>
  </w:style>
  <w:style w:type="character" w:styleId="afff6">
    <w:name w:val="FollowedHyperlink"/>
    <w:qFormat/>
    <w:rPr>
      <w:color w:val="800080"/>
      <w:u w:val="single"/>
    </w:rPr>
  </w:style>
  <w:style w:type="character" w:styleId="afff7">
    <w:name w:val="Hyperlink"/>
    <w:uiPriority w:val="99"/>
    <w:qFormat/>
    <w:rPr>
      <w:color w:val="0000FF"/>
      <w:spacing w:val="0"/>
      <w:w w:val="100"/>
      <w:szCs w:val="21"/>
      <w:u w:val="single"/>
    </w:rPr>
  </w:style>
  <w:style w:type="character" w:styleId="afff8">
    <w:name w:val="annotation reference"/>
    <w:basedOn w:val="aff1"/>
    <w:semiHidden/>
    <w:unhideWhenUsed/>
    <w:qFormat/>
    <w:rPr>
      <w:sz w:val="21"/>
      <w:szCs w:val="21"/>
    </w:rPr>
  </w:style>
  <w:style w:type="character" w:styleId="afff9">
    <w:name w:val="footnote reference"/>
    <w:semiHidden/>
    <w:qFormat/>
    <w:rPr>
      <w:vertAlign w:val="superscript"/>
    </w:rPr>
  </w:style>
  <w:style w:type="character" w:customStyle="1" w:styleId="Char">
    <w:name w:val="段 Char"/>
    <w:link w:val="affe"/>
    <w:qFormat/>
    <w:rPr>
      <w:rFonts w:ascii="宋体"/>
      <w:sz w:val="21"/>
      <w:lang w:val="en-US" w:eastAsia="zh-CN" w:bidi="ar-SA"/>
    </w:rPr>
  </w:style>
  <w:style w:type="paragraph" w:customStyle="1" w:styleId="a2">
    <w:name w:val="一级条标题"/>
    <w:next w:val="aff0"/>
    <w:qFormat/>
    <w:pPr>
      <w:numPr>
        <w:ilvl w:val="1"/>
        <w:numId w:val="2"/>
      </w:numPr>
      <w:spacing w:beforeLines="50" w:afterLines="50"/>
      <w:outlineLvl w:val="2"/>
    </w:pPr>
    <w:rPr>
      <w:rFonts w:ascii="黑体" w:eastAsia="黑体"/>
      <w:sz w:val="21"/>
      <w:szCs w:val="21"/>
    </w:rPr>
  </w:style>
  <w:style w:type="paragraph" w:customStyle="1" w:styleId="afffa">
    <w:name w:val="标准书脚_奇数页"/>
    <w:qFormat/>
    <w:pPr>
      <w:spacing w:before="120"/>
      <w:ind w:right="198"/>
      <w:jc w:val="right"/>
    </w:pPr>
    <w:rPr>
      <w:rFonts w:ascii="宋体"/>
      <w:sz w:val="18"/>
      <w:szCs w:val="18"/>
    </w:rPr>
  </w:style>
  <w:style w:type="paragraph" w:customStyle="1" w:styleId="afffb">
    <w:name w:val="标准书眉_奇数页"/>
    <w:next w:val="aff0"/>
    <w:qFormat/>
    <w:pPr>
      <w:tabs>
        <w:tab w:val="center" w:pos="4154"/>
        <w:tab w:val="right" w:pos="8306"/>
      </w:tabs>
      <w:spacing w:after="220"/>
      <w:jc w:val="right"/>
    </w:pPr>
    <w:rPr>
      <w:rFonts w:ascii="黑体" w:eastAsia="黑体"/>
      <w:sz w:val="21"/>
      <w:szCs w:val="21"/>
    </w:rPr>
  </w:style>
  <w:style w:type="paragraph" w:customStyle="1" w:styleId="a1">
    <w:name w:val="章标题"/>
    <w:next w:val="affe"/>
    <w:qFormat/>
    <w:pPr>
      <w:numPr>
        <w:numId w:val="2"/>
      </w:numPr>
      <w:spacing w:beforeLines="100" w:afterLines="100"/>
      <w:jc w:val="both"/>
      <w:outlineLvl w:val="1"/>
    </w:pPr>
    <w:rPr>
      <w:rFonts w:ascii="黑体" w:eastAsia="黑体"/>
      <w:sz w:val="21"/>
    </w:rPr>
  </w:style>
  <w:style w:type="paragraph" w:customStyle="1" w:styleId="afffc">
    <w:name w:val="二级条标题"/>
    <w:basedOn w:val="a2"/>
    <w:next w:val="aff0"/>
    <w:qFormat/>
    <w:pPr>
      <w:numPr>
        <w:ilvl w:val="0"/>
        <w:numId w:val="0"/>
      </w:numPr>
      <w:spacing w:before="50" w:after="50"/>
      <w:outlineLvl w:val="3"/>
    </w:pPr>
  </w:style>
  <w:style w:type="paragraph" w:customStyle="1" w:styleId="21">
    <w:name w:val="封面标准号2"/>
    <w:qFormat/>
    <w:pPr>
      <w:framePr w:w="9140" w:h="1242" w:hRule="exact" w:hSpace="284" w:wrap="around" w:vAnchor="page" w:hAnchor="page" w:x="1645" w:y="2910" w:anchorLock="1"/>
      <w:spacing w:before="357" w:line="280" w:lineRule="exact"/>
      <w:jc w:val="right"/>
    </w:pPr>
    <w:rPr>
      <w:rFonts w:ascii="黑体" w:eastAsia="黑体"/>
      <w:sz w:val="28"/>
      <w:szCs w:val="28"/>
    </w:rPr>
  </w:style>
  <w:style w:type="paragraph" w:customStyle="1" w:styleId="a8">
    <w:name w:val="列项——（一级）"/>
    <w:qFormat/>
    <w:pPr>
      <w:widowControl w:val="0"/>
      <w:numPr>
        <w:numId w:val="3"/>
      </w:numPr>
      <w:jc w:val="both"/>
    </w:pPr>
    <w:rPr>
      <w:rFonts w:ascii="宋体"/>
      <w:sz w:val="21"/>
    </w:rPr>
  </w:style>
  <w:style w:type="paragraph" w:customStyle="1" w:styleId="a9">
    <w:name w:val="列项●（二级）"/>
    <w:qFormat/>
    <w:pPr>
      <w:numPr>
        <w:ilvl w:val="1"/>
        <w:numId w:val="3"/>
      </w:numPr>
      <w:tabs>
        <w:tab w:val="left" w:pos="840"/>
      </w:tabs>
      <w:jc w:val="both"/>
    </w:pPr>
    <w:rPr>
      <w:rFonts w:ascii="宋体"/>
      <w:sz w:val="21"/>
    </w:rPr>
  </w:style>
  <w:style w:type="paragraph" w:customStyle="1" w:styleId="afffd">
    <w:name w:val="目次、标准名称标题"/>
    <w:basedOn w:val="aff0"/>
    <w:next w:val="affe"/>
    <w:link w:val="Char0"/>
    <w:qFormat/>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afffe">
    <w:name w:val="三级条标题"/>
    <w:basedOn w:val="afffc"/>
    <w:next w:val="aff0"/>
    <w:qFormat/>
    <w:pPr>
      <w:numPr>
        <w:ilvl w:val="3"/>
      </w:numPr>
      <w:outlineLvl w:val="4"/>
    </w:pPr>
  </w:style>
  <w:style w:type="paragraph" w:customStyle="1" w:styleId="af4">
    <w:name w:val="示例"/>
    <w:next w:val="affff"/>
    <w:qFormat/>
    <w:pPr>
      <w:widowControl w:val="0"/>
      <w:numPr>
        <w:numId w:val="4"/>
      </w:numPr>
      <w:jc w:val="both"/>
    </w:pPr>
    <w:rPr>
      <w:rFonts w:ascii="宋体"/>
      <w:sz w:val="18"/>
      <w:szCs w:val="18"/>
    </w:rPr>
  </w:style>
  <w:style w:type="paragraph" w:customStyle="1" w:styleId="affff">
    <w:name w:val="示例内容"/>
    <w:qFormat/>
    <w:pPr>
      <w:ind w:firstLineChars="200" w:firstLine="200"/>
    </w:pPr>
    <w:rPr>
      <w:rFonts w:ascii="宋体"/>
      <w:sz w:val="18"/>
      <w:szCs w:val="18"/>
    </w:rPr>
  </w:style>
  <w:style w:type="paragraph" w:customStyle="1" w:styleId="ae">
    <w:name w:val="数字编号列项（二级）"/>
    <w:qFormat/>
    <w:pPr>
      <w:numPr>
        <w:ilvl w:val="1"/>
        <w:numId w:val="5"/>
      </w:numPr>
      <w:jc w:val="both"/>
    </w:pPr>
    <w:rPr>
      <w:rFonts w:ascii="宋体"/>
      <w:sz w:val="21"/>
    </w:rPr>
  </w:style>
  <w:style w:type="paragraph" w:customStyle="1" w:styleId="affff0">
    <w:name w:val="四级条标题"/>
    <w:basedOn w:val="afffe"/>
    <w:next w:val="aff0"/>
    <w:qFormat/>
    <w:pPr>
      <w:numPr>
        <w:ilvl w:val="4"/>
      </w:numPr>
      <w:outlineLvl w:val="5"/>
    </w:pPr>
  </w:style>
  <w:style w:type="paragraph" w:customStyle="1" w:styleId="affff1">
    <w:name w:val="五级条标题"/>
    <w:basedOn w:val="affff0"/>
    <w:next w:val="affe"/>
    <w:qFormat/>
    <w:pPr>
      <w:numPr>
        <w:ilvl w:val="5"/>
      </w:numPr>
      <w:outlineLvl w:val="6"/>
    </w:pPr>
  </w:style>
  <w:style w:type="paragraph" w:customStyle="1" w:styleId="a0">
    <w:name w:val="注："/>
    <w:next w:val="affe"/>
    <w:link w:val="Char1"/>
    <w:qFormat/>
    <w:pPr>
      <w:widowControl w:val="0"/>
      <w:numPr>
        <w:numId w:val="6"/>
      </w:numPr>
      <w:autoSpaceDE w:val="0"/>
      <w:autoSpaceDN w:val="0"/>
      <w:jc w:val="both"/>
    </w:pPr>
    <w:rPr>
      <w:rFonts w:ascii="宋体"/>
      <w:sz w:val="18"/>
      <w:szCs w:val="18"/>
    </w:rPr>
  </w:style>
  <w:style w:type="paragraph" w:customStyle="1" w:styleId="af1">
    <w:name w:val="注×："/>
    <w:qFormat/>
    <w:pPr>
      <w:widowControl w:val="0"/>
      <w:numPr>
        <w:numId w:val="7"/>
      </w:numPr>
      <w:autoSpaceDE w:val="0"/>
      <w:autoSpaceDN w:val="0"/>
      <w:ind w:left="811" w:hanging="448"/>
      <w:jc w:val="both"/>
    </w:pPr>
    <w:rPr>
      <w:rFonts w:ascii="宋体"/>
      <w:sz w:val="18"/>
      <w:szCs w:val="18"/>
    </w:rPr>
  </w:style>
  <w:style w:type="paragraph" w:customStyle="1" w:styleId="ad">
    <w:name w:val="字母编号列项（一级）"/>
    <w:link w:val="Char2"/>
    <w:qFormat/>
    <w:pPr>
      <w:numPr>
        <w:numId w:val="5"/>
      </w:numPr>
      <w:jc w:val="both"/>
    </w:pPr>
    <w:rPr>
      <w:rFonts w:ascii="宋体"/>
      <w:sz w:val="21"/>
    </w:rPr>
  </w:style>
  <w:style w:type="paragraph" w:customStyle="1" w:styleId="aa">
    <w:name w:val="列项◆（三级）"/>
    <w:basedOn w:val="aff0"/>
    <w:qFormat/>
    <w:pPr>
      <w:numPr>
        <w:ilvl w:val="2"/>
        <w:numId w:val="3"/>
      </w:numPr>
    </w:pPr>
    <w:rPr>
      <w:rFonts w:ascii="宋体"/>
      <w:szCs w:val="21"/>
    </w:rPr>
  </w:style>
  <w:style w:type="paragraph" w:customStyle="1" w:styleId="af">
    <w:name w:val="编号列项（三级）"/>
    <w:qFormat/>
    <w:pPr>
      <w:numPr>
        <w:ilvl w:val="2"/>
        <w:numId w:val="5"/>
      </w:numPr>
    </w:pPr>
    <w:rPr>
      <w:rFonts w:ascii="宋体"/>
      <w:sz w:val="21"/>
    </w:rPr>
  </w:style>
  <w:style w:type="paragraph" w:customStyle="1" w:styleId="afd">
    <w:name w:val="示例×："/>
    <w:basedOn w:val="a1"/>
    <w:qFormat/>
    <w:pPr>
      <w:numPr>
        <w:numId w:val="8"/>
      </w:numPr>
      <w:spacing w:beforeLines="0" w:afterLines="0"/>
      <w:outlineLvl w:val="9"/>
    </w:pPr>
    <w:rPr>
      <w:rFonts w:ascii="宋体" w:eastAsia="宋体"/>
      <w:sz w:val="18"/>
      <w:szCs w:val="18"/>
    </w:rPr>
  </w:style>
  <w:style w:type="paragraph" w:customStyle="1" w:styleId="affff2">
    <w:name w:val="二级无"/>
    <w:basedOn w:val="afffc"/>
    <w:qFormat/>
    <w:pPr>
      <w:spacing w:beforeLines="0" w:afterLines="0"/>
    </w:pPr>
    <w:rPr>
      <w:rFonts w:ascii="宋体" w:eastAsia="宋体"/>
    </w:rPr>
  </w:style>
  <w:style w:type="paragraph" w:customStyle="1" w:styleId="a5">
    <w:name w:val="注：（正文）"/>
    <w:basedOn w:val="a0"/>
    <w:next w:val="affe"/>
    <w:qFormat/>
    <w:pPr>
      <w:numPr>
        <w:numId w:val="9"/>
      </w:numPr>
      <w:ind w:left="726" w:hanging="363"/>
    </w:pPr>
  </w:style>
  <w:style w:type="paragraph" w:customStyle="1" w:styleId="a">
    <w:name w:val="注×：（正文）"/>
    <w:qFormat/>
    <w:pPr>
      <w:numPr>
        <w:numId w:val="10"/>
      </w:numPr>
      <w:ind w:left="811" w:hanging="448"/>
      <w:jc w:val="both"/>
    </w:pPr>
    <w:rPr>
      <w:rFonts w:ascii="宋体"/>
      <w:sz w:val="18"/>
      <w:szCs w:val="18"/>
    </w:rPr>
  </w:style>
  <w:style w:type="paragraph" w:customStyle="1" w:styleId="affff3">
    <w:name w:val="标准标志"/>
    <w:next w:val="aff0"/>
    <w:qFormat/>
    <w:pPr>
      <w:framePr w:w="2546" w:h="1389" w:hRule="exact" w:hSpace="181" w:vSpace="181" w:wrap="around" w:hAnchor="margin" w:x="6522" w:y="398" w:anchorLock="1"/>
      <w:shd w:val="solid" w:color="FFFFFF" w:fill="FFFFFF"/>
      <w:spacing w:line="0" w:lineRule="atLeast"/>
      <w:jc w:val="right"/>
    </w:pPr>
    <w:rPr>
      <w:b/>
      <w:w w:val="170"/>
      <w:sz w:val="96"/>
      <w:szCs w:val="96"/>
    </w:rPr>
  </w:style>
  <w:style w:type="paragraph" w:customStyle="1" w:styleId="affff4">
    <w:name w:val="标准称谓"/>
    <w:next w:val="aff0"/>
    <w:qFormat/>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b/>
      <w:bCs/>
      <w:spacing w:val="20"/>
      <w:w w:val="148"/>
      <w:sz w:val="48"/>
    </w:rPr>
  </w:style>
  <w:style w:type="paragraph" w:customStyle="1" w:styleId="affff5">
    <w:name w:val="标准书脚_偶数页"/>
    <w:qFormat/>
    <w:pPr>
      <w:spacing w:before="120"/>
      <w:ind w:left="221"/>
    </w:pPr>
    <w:rPr>
      <w:rFonts w:ascii="宋体"/>
      <w:sz w:val="18"/>
      <w:szCs w:val="18"/>
    </w:rPr>
  </w:style>
  <w:style w:type="paragraph" w:customStyle="1" w:styleId="affff6">
    <w:name w:val="标准书眉_偶数页"/>
    <w:basedOn w:val="afffb"/>
    <w:next w:val="aff0"/>
    <w:qFormat/>
    <w:pPr>
      <w:jc w:val="left"/>
    </w:pPr>
  </w:style>
  <w:style w:type="paragraph" w:customStyle="1" w:styleId="affff7">
    <w:name w:val="标准书眉一"/>
    <w:qFormat/>
    <w:pPr>
      <w:jc w:val="both"/>
    </w:pPr>
  </w:style>
  <w:style w:type="paragraph" w:customStyle="1" w:styleId="affff8">
    <w:name w:val="参考文献"/>
    <w:basedOn w:val="aff0"/>
    <w:next w:val="affe"/>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9">
    <w:name w:val="参考文献、索引标题"/>
    <w:basedOn w:val="aff0"/>
    <w:next w:val="affe"/>
    <w:qFormat/>
    <w:pPr>
      <w:keepNext/>
      <w:pageBreakBefore/>
      <w:widowControl/>
      <w:shd w:val="clear" w:color="FFFFFF" w:fill="FFFFFF"/>
      <w:spacing w:before="640" w:after="200"/>
      <w:jc w:val="center"/>
      <w:outlineLvl w:val="0"/>
    </w:pPr>
    <w:rPr>
      <w:rFonts w:ascii="黑体" w:eastAsia="黑体"/>
      <w:kern w:val="0"/>
      <w:szCs w:val="20"/>
    </w:rPr>
  </w:style>
  <w:style w:type="character" w:customStyle="1" w:styleId="affffa">
    <w:name w:val="发布"/>
    <w:qFormat/>
    <w:rPr>
      <w:rFonts w:ascii="黑体" w:eastAsia="黑体"/>
      <w:spacing w:val="85"/>
      <w:w w:val="100"/>
      <w:position w:val="3"/>
      <w:sz w:val="28"/>
      <w:szCs w:val="28"/>
    </w:rPr>
  </w:style>
  <w:style w:type="paragraph" w:customStyle="1" w:styleId="affffb">
    <w:name w:val="发布部门"/>
    <w:next w:val="affe"/>
    <w:qFormat/>
    <w:pPr>
      <w:framePr w:w="7938" w:h="1134" w:hRule="exact" w:hSpace="125" w:vSpace="181" w:wrap="around" w:vAnchor="page" w:hAnchor="page" w:x="2150" w:y="14630" w:anchorLock="1"/>
      <w:jc w:val="center"/>
    </w:pPr>
    <w:rPr>
      <w:rFonts w:ascii="宋体"/>
      <w:b/>
      <w:spacing w:val="20"/>
      <w:w w:val="135"/>
      <w:sz w:val="28"/>
    </w:rPr>
  </w:style>
  <w:style w:type="paragraph" w:customStyle="1" w:styleId="affffc">
    <w:name w:val="发布日期"/>
    <w:qFormat/>
    <w:pPr>
      <w:framePr w:w="3997" w:h="471" w:hRule="exact" w:vSpace="181" w:wrap="around" w:hAnchor="page" w:x="7089" w:y="14097" w:anchorLock="1"/>
    </w:pPr>
    <w:rPr>
      <w:rFonts w:eastAsia="黑体"/>
      <w:sz w:val="28"/>
    </w:rPr>
  </w:style>
  <w:style w:type="paragraph" w:customStyle="1" w:styleId="affffd">
    <w:name w:val="封面标准代替信息"/>
    <w:qFormat/>
    <w:pPr>
      <w:framePr w:w="9140" w:h="1242" w:hRule="exact" w:hSpace="284" w:wrap="around" w:vAnchor="page" w:hAnchor="page" w:x="1645" w:y="2910" w:anchorLock="1"/>
      <w:spacing w:before="57" w:line="280" w:lineRule="exact"/>
      <w:jc w:val="right"/>
    </w:pPr>
    <w:rPr>
      <w:rFonts w:ascii="宋体"/>
      <w:sz w:val="21"/>
      <w:szCs w:val="21"/>
    </w:rPr>
  </w:style>
  <w:style w:type="paragraph" w:customStyle="1" w:styleId="12">
    <w:name w:val="封面标准号1"/>
    <w:qFormat/>
    <w:pPr>
      <w:widowControl w:val="0"/>
      <w:kinsoku w:val="0"/>
      <w:overflowPunct w:val="0"/>
      <w:autoSpaceDE w:val="0"/>
      <w:autoSpaceDN w:val="0"/>
      <w:spacing w:before="308"/>
      <w:jc w:val="right"/>
      <w:textAlignment w:val="center"/>
    </w:pPr>
    <w:rPr>
      <w:sz w:val="28"/>
    </w:rPr>
  </w:style>
  <w:style w:type="paragraph" w:customStyle="1" w:styleId="affffe">
    <w:name w:val="封面标准名称"/>
    <w:qFormat/>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paragraph" w:customStyle="1" w:styleId="afffff">
    <w:name w:val="封面标准英文名称"/>
    <w:basedOn w:val="affffe"/>
    <w:qFormat/>
    <w:pPr>
      <w:framePr w:wrap="around"/>
      <w:spacing w:before="370" w:line="400" w:lineRule="exact"/>
    </w:pPr>
    <w:rPr>
      <w:rFonts w:ascii="Times New Roman"/>
      <w:sz w:val="28"/>
      <w:szCs w:val="28"/>
    </w:rPr>
  </w:style>
  <w:style w:type="paragraph" w:customStyle="1" w:styleId="afffff0">
    <w:name w:val="封面一致性程度标识"/>
    <w:basedOn w:val="afffff"/>
    <w:qFormat/>
    <w:pPr>
      <w:framePr w:wrap="around"/>
      <w:spacing w:before="440"/>
    </w:pPr>
    <w:rPr>
      <w:rFonts w:ascii="宋体" w:eastAsia="宋体"/>
    </w:rPr>
  </w:style>
  <w:style w:type="paragraph" w:customStyle="1" w:styleId="afffff1">
    <w:name w:val="封面标准文稿类别"/>
    <w:basedOn w:val="afffff0"/>
    <w:qFormat/>
    <w:pPr>
      <w:framePr w:wrap="around"/>
      <w:spacing w:after="160" w:line="240" w:lineRule="auto"/>
    </w:pPr>
    <w:rPr>
      <w:sz w:val="24"/>
    </w:rPr>
  </w:style>
  <w:style w:type="paragraph" w:customStyle="1" w:styleId="afffff2">
    <w:name w:val="封面标准文稿编辑信息"/>
    <w:basedOn w:val="afffff1"/>
    <w:qFormat/>
    <w:pPr>
      <w:framePr w:wrap="around"/>
      <w:spacing w:before="180" w:line="180" w:lineRule="exact"/>
    </w:pPr>
    <w:rPr>
      <w:sz w:val="21"/>
    </w:rPr>
  </w:style>
  <w:style w:type="paragraph" w:customStyle="1" w:styleId="afffff3">
    <w:name w:val="封面正文"/>
    <w:qFormat/>
    <w:pPr>
      <w:jc w:val="both"/>
    </w:pPr>
  </w:style>
  <w:style w:type="paragraph" w:customStyle="1" w:styleId="af6">
    <w:name w:val="附录标识"/>
    <w:basedOn w:val="aff0"/>
    <w:next w:val="affe"/>
    <w:link w:val="Char3"/>
    <w:qFormat/>
    <w:pPr>
      <w:keepNext/>
      <w:widowControl/>
      <w:numPr>
        <w:numId w:val="11"/>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afffff4">
    <w:name w:val="附录标题"/>
    <w:basedOn w:val="affe"/>
    <w:next w:val="affe"/>
    <w:link w:val="Char4"/>
    <w:qFormat/>
    <w:pPr>
      <w:ind w:firstLineChars="0" w:firstLine="0"/>
      <w:jc w:val="center"/>
    </w:pPr>
    <w:rPr>
      <w:rFonts w:ascii="黑体" w:eastAsia="黑体"/>
    </w:rPr>
  </w:style>
  <w:style w:type="paragraph" w:customStyle="1" w:styleId="af2">
    <w:name w:val="附录表标号"/>
    <w:basedOn w:val="aff0"/>
    <w:next w:val="affe"/>
    <w:qFormat/>
    <w:pPr>
      <w:numPr>
        <w:numId w:val="12"/>
      </w:numPr>
      <w:tabs>
        <w:tab w:val="clear" w:pos="0"/>
      </w:tabs>
      <w:spacing w:line="14" w:lineRule="exact"/>
      <w:ind w:left="811" w:hanging="448"/>
      <w:jc w:val="center"/>
      <w:outlineLvl w:val="0"/>
    </w:pPr>
    <w:rPr>
      <w:color w:val="FFFFFF"/>
    </w:rPr>
  </w:style>
  <w:style w:type="paragraph" w:customStyle="1" w:styleId="af3">
    <w:name w:val="附录表标题"/>
    <w:basedOn w:val="aff0"/>
    <w:next w:val="affe"/>
    <w:qFormat/>
    <w:pPr>
      <w:numPr>
        <w:ilvl w:val="1"/>
        <w:numId w:val="12"/>
      </w:numPr>
      <w:tabs>
        <w:tab w:val="left" w:pos="180"/>
      </w:tabs>
      <w:spacing w:beforeLines="50" w:afterLines="50"/>
      <w:ind w:left="0" w:firstLine="0"/>
      <w:jc w:val="center"/>
    </w:pPr>
    <w:rPr>
      <w:rFonts w:ascii="黑体" w:eastAsia="黑体"/>
      <w:szCs w:val="21"/>
    </w:rPr>
  </w:style>
  <w:style w:type="paragraph" w:customStyle="1" w:styleId="af9">
    <w:name w:val="附录二级条标题"/>
    <w:basedOn w:val="aff0"/>
    <w:next w:val="affe"/>
    <w:qFormat/>
    <w:pPr>
      <w:widowControl/>
      <w:numPr>
        <w:ilvl w:val="3"/>
        <w:numId w:val="11"/>
      </w:numPr>
      <w:tabs>
        <w:tab w:val="left" w:pos="360"/>
      </w:tabs>
      <w:wordWrap w:val="0"/>
      <w:overflowPunct w:val="0"/>
      <w:autoSpaceDE w:val="0"/>
      <w:autoSpaceDN w:val="0"/>
      <w:spacing w:beforeLines="50" w:afterLines="50"/>
      <w:textAlignment w:val="baseline"/>
      <w:outlineLvl w:val="3"/>
    </w:pPr>
    <w:rPr>
      <w:rFonts w:ascii="黑体" w:eastAsia="黑体"/>
      <w:kern w:val="21"/>
      <w:szCs w:val="20"/>
    </w:rPr>
  </w:style>
  <w:style w:type="paragraph" w:customStyle="1" w:styleId="afffff5">
    <w:name w:val="附录二级无"/>
    <w:basedOn w:val="af9"/>
    <w:qFormat/>
    <w:pPr>
      <w:tabs>
        <w:tab w:val="clear" w:pos="360"/>
      </w:tabs>
      <w:spacing w:beforeLines="0" w:afterLines="0"/>
    </w:pPr>
    <w:rPr>
      <w:rFonts w:ascii="宋体" w:eastAsia="宋体"/>
      <w:szCs w:val="21"/>
    </w:rPr>
  </w:style>
  <w:style w:type="paragraph" w:customStyle="1" w:styleId="afffff6">
    <w:name w:val="附录公式"/>
    <w:basedOn w:val="affe"/>
    <w:next w:val="affe"/>
    <w:link w:val="Char5"/>
    <w:qFormat/>
  </w:style>
  <w:style w:type="character" w:customStyle="1" w:styleId="Char5">
    <w:name w:val="附录公式 Char"/>
    <w:basedOn w:val="Char"/>
    <w:link w:val="afffff6"/>
    <w:qFormat/>
    <w:rPr>
      <w:rFonts w:ascii="宋体"/>
      <w:sz w:val="21"/>
      <w:lang w:val="en-US" w:eastAsia="zh-CN" w:bidi="ar-SA"/>
    </w:rPr>
  </w:style>
  <w:style w:type="paragraph" w:customStyle="1" w:styleId="afffff7">
    <w:name w:val="附录公式编号制表符"/>
    <w:basedOn w:val="aff0"/>
    <w:next w:val="affe"/>
    <w:qFormat/>
    <w:pPr>
      <w:widowControl/>
      <w:tabs>
        <w:tab w:val="center" w:pos="4201"/>
        <w:tab w:val="right" w:leader="dot" w:pos="9298"/>
      </w:tabs>
      <w:autoSpaceDE w:val="0"/>
      <w:autoSpaceDN w:val="0"/>
    </w:pPr>
    <w:rPr>
      <w:rFonts w:ascii="宋体"/>
      <w:kern w:val="0"/>
      <w:szCs w:val="20"/>
    </w:rPr>
  </w:style>
  <w:style w:type="paragraph" w:customStyle="1" w:styleId="afa">
    <w:name w:val="附录三级条标题"/>
    <w:basedOn w:val="af9"/>
    <w:next w:val="affe"/>
    <w:qFormat/>
    <w:pPr>
      <w:numPr>
        <w:ilvl w:val="4"/>
      </w:numPr>
      <w:outlineLvl w:val="4"/>
    </w:pPr>
  </w:style>
  <w:style w:type="paragraph" w:customStyle="1" w:styleId="afffff8">
    <w:name w:val="附录三级无"/>
    <w:basedOn w:val="afa"/>
    <w:qFormat/>
    <w:pPr>
      <w:tabs>
        <w:tab w:val="clear" w:pos="360"/>
      </w:tabs>
      <w:spacing w:beforeLines="0" w:afterLines="0"/>
    </w:pPr>
    <w:rPr>
      <w:rFonts w:ascii="宋体" w:eastAsia="宋体"/>
      <w:szCs w:val="21"/>
    </w:rPr>
  </w:style>
  <w:style w:type="paragraph" w:customStyle="1" w:styleId="aff">
    <w:name w:val="附录数字编号列项（二级）"/>
    <w:qFormat/>
    <w:pPr>
      <w:numPr>
        <w:ilvl w:val="1"/>
        <w:numId w:val="13"/>
      </w:numPr>
    </w:pPr>
    <w:rPr>
      <w:rFonts w:ascii="宋体"/>
      <w:sz w:val="21"/>
    </w:rPr>
  </w:style>
  <w:style w:type="paragraph" w:customStyle="1" w:styleId="afb">
    <w:name w:val="附录四级条标题"/>
    <w:basedOn w:val="afa"/>
    <w:next w:val="affe"/>
    <w:qFormat/>
    <w:pPr>
      <w:numPr>
        <w:ilvl w:val="5"/>
      </w:numPr>
      <w:outlineLvl w:val="5"/>
    </w:pPr>
  </w:style>
  <w:style w:type="paragraph" w:customStyle="1" w:styleId="afffff9">
    <w:name w:val="附录四级无"/>
    <w:basedOn w:val="afb"/>
    <w:qFormat/>
    <w:pPr>
      <w:tabs>
        <w:tab w:val="clear" w:pos="360"/>
      </w:tabs>
      <w:spacing w:beforeLines="0" w:afterLines="0"/>
    </w:pPr>
    <w:rPr>
      <w:rFonts w:ascii="宋体" w:eastAsia="宋体"/>
      <w:szCs w:val="21"/>
    </w:rPr>
  </w:style>
  <w:style w:type="paragraph" w:customStyle="1" w:styleId="a6">
    <w:name w:val="附录图标号"/>
    <w:basedOn w:val="aff0"/>
    <w:qFormat/>
    <w:pPr>
      <w:keepNext/>
      <w:pageBreakBefore/>
      <w:widowControl/>
      <w:numPr>
        <w:numId w:val="14"/>
      </w:numPr>
      <w:spacing w:line="14" w:lineRule="exact"/>
      <w:ind w:left="0" w:firstLine="363"/>
      <w:jc w:val="center"/>
      <w:outlineLvl w:val="0"/>
    </w:pPr>
    <w:rPr>
      <w:color w:val="FFFFFF"/>
    </w:rPr>
  </w:style>
  <w:style w:type="paragraph" w:customStyle="1" w:styleId="a7">
    <w:name w:val="附录图标题"/>
    <w:basedOn w:val="aff0"/>
    <w:next w:val="affe"/>
    <w:qFormat/>
    <w:pPr>
      <w:numPr>
        <w:ilvl w:val="1"/>
        <w:numId w:val="14"/>
      </w:numPr>
      <w:tabs>
        <w:tab w:val="left" w:pos="363"/>
      </w:tabs>
      <w:spacing w:beforeLines="50" w:afterLines="50"/>
      <w:ind w:left="0" w:firstLine="0"/>
      <w:jc w:val="center"/>
    </w:pPr>
    <w:rPr>
      <w:rFonts w:ascii="黑体" w:eastAsia="黑体"/>
      <w:szCs w:val="21"/>
    </w:rPr>
  </w:style>
  <w:style w:type="paragraph" w:customStyle="1" w:styleId="afc">
    <w:name w:val="附录五级条标题"/>
    <w:basedOn w:val="afb"/>
    <w:next w:val="affe"/>
    <w:qFormat/>
    <w:pPr>
      <w:numPr>
        <w:ilvl w:val="6"/>
      </w:numPr>
      <w:outlineLvl w:val="6"/>
    </w:pPr>
  </w:style>
  <w:style w:type="paragraph" w:customStyle="1" w:styleId="afffffa">
    <w:name w:val="附录五级无"/>
    <w:basedOn w:val="afc"/>
    <w:qFormat/>
    <w:pPr>
      <w:tabs>
        <w:tab w:val="clear" w:pos="360"/>
      </w:tabs>
      <w:spacing w:beforeLines="0" w:afterLines="0"/>
    </w:pPr>
    <w:rPr>
      <w:rFonts w:ascii="宋体" w:eastAsia="宋体"/>
      <w:szCs w:val="21"/>
    </w:rPr>
  </w:style>
  <w:style w:type="paragraph" w:customStyle="1" w:styleId="af7">
    <w:name w:val="附录章标题"/>
    <w:next w:val="affe"/>
    <w:qFormat/>
    <w:pPr>
      <w:numPr>
        <w:ilvl w:val="1"/>
        <w:numId w:val="11"/>
      </w:numPr>
      <w:tabs>
        <w:tab w:val="left" w:pos="360"/>
      </w:tabs>
      <w:wordWrap w:val="0"/>
      <w:overflowPunct w:val="0"/>
      <w:autoSpaceDE w:val="0"/>
      <w:spacing w:beforeLines="100" w:afterLines="100"/>
      <w:jc w:val="both"/>
      <w:textAlignment w:val="baseline"/>
      <w:outlineLvl w:val="1"/>
    </w:pPr>
    <w:rPr>
      <w:rFonts w:ascii="黑体" w:eastAsia="黑体"/>
      <w:kern w:val="21"/>
      <w:sz w:val="21"/>
    </w:rPr>
  </w:style>
  <w:style w:type="paragraph" w:customStyle="1" w:styleId="af8">
    <w:name w:val="附录一级条标题"/>
    <w:basedOn w:val="af7"/>
    <w:next w:val="affe"/>
    <w:link w:val="Char6"/>
    <w:qFormat/>
    <w:pPr>
      <w:numPr>
        <w:ilvl w:val="2"/>
      </w:numPr>
      <w:autoSpaceDN w:val="0"/>
      <w:spacing w:beforeLines="50" w:afterLines="50"/>
      <w:outlineLvl w:val="2"/>
    </w:pPr>
  </w:style>
  <w:style w:type="paragraph" w:customStyle="1" w:styleId="afffffb">
    <w:name w:val="附录一级无"/>
    <w:basedOn w:val="af8"/>
    <w:qFormat/>
    <w:pPr>
      <w:tabs>
        <w:tab w:val="clear" w:pos="360"/>
      </w:tabs>
      <w:spacing w:beforeLines="0" w:afterLines="0"/>
    </w:pPr>
    <w:rPr>
      <w:rFonts w:ascii="宋体" w:eastAsia="宋体"/>
      <w:szCs w:val="21"/>
    </w:rPr>
  </w:style>
  <w:style w:type="paragraph" w:customStyle="1" w:styleId="afe">
    <w:name w:val="附录字母编号列项（一级）"/>
    <w:qFormat/>
    <w:pPr>
      <w:numPr>
        <w:numId w:val="13"/>
      </w:numPr>
    </w:pPr>
    <w:rPr>
      <w:rFonts w:ascii="宋体"/>
      <w:sz w:val="21"/>
    </w:rPr>
  </w:style>
  <w:style w:type="paragraph" w:customStyle="1" w:styleId="afffffc">
    <w:name w:val="列项说明"/>
    <w:basedOn w:val="aff0"/>
    <w:qFormat/>
    <w:pPr>
      <w:adjustRightInd w:val="0"/>
      <w:spacing w:line="320" w:lineRule="exact"/>
      <w:ind w:leftChars="200" w:left="400" w:hangingChars="200" w:hanging="200"/>
      <w:jc w:val="left"/>
      <w:textAlignment w:val="baseline"/>
    </w:pPr>
    <w:rPr>
      <w:rFonts w:ascii="宋体"/>
      <w:kern w:val="0"/>
      <w:szCs w:val="20"/>
    </w:rPr>
  </w:style>
  <w:style w:type="paragraph" w:customStyle="1" w:styleId="afffffd">
    <w:name w:val="列项说明数字编号"/>
    <w:qFormat/>
    <w:pPr>
      <w:ind w:leftChars="400" w:left="600" w:hangingChars="200" w:hanging="200"/>
    </w:pPr>
    <w:rPr>
      <w:rFonts w:ascii="宋体"/>
      <w:sz w:val="21"/>
    </w:rPr>
  </w:style>
  <w:style w:type="paragraph" w:customStyle="1" w:styleId="afffffe">
    <w:name w:val="目次、索引正文"/>
    <w:qFormat/>
    <w:pPr>
      <w:spacing w:line="320" w:lineRule="exact"/>
      <w:jc w:val="both"/>
    </w:pPr>
    <w:rPr>
      <w:rFonts w:ascii="宋体"/>
      <w:sz w:val="21"/>
    </w:rPr>
  </w:style>
  <w:style w:type="paragraph" w:customStyle="1" w:styleId="affffff">
    <w:name w:val="其他标准标志"/>
    <w:basedOn w:val="affff3"/>
    <w:qFormat/>
    <w:pPr>
      <w:framePr w:w="6101" w:wrap="around" w:vAnchor="page" w:hAnchor="page" w:x="4673" w:y="942"/>
    </w:pPr>
    <w:rPr>
      <w:w w:val="130"/>
    </w:rPr>
  </w:style>
  <w:style w:type="paragraph" w:customStyle="1" w:styleId="affffff0">
    <w:name w:val="其他标准称谓"/>
    <w:next w:val="aff0"/>
    <w:qFormat/>
    <w:pPr>
      <w:framePr w:hSpace="181" w:vSpace="181" w:wrap="around" w:vAnchor="page" w:hAnchor="page" w:x="1419" w:y="2286" w:anchorLock="1"/>
      <w:spacing w:line="0" w:lineRule="atLeast"/>
      <w:jc w:val="distribute"/>
    </w:pPr>
    <w:rPr>
      <w:rFonts w:ascii="黑体" w:eastAsia="黑体" w:hAnsi="宋体"/>
      <w:spacing w:val="-40"/>
      <w:sz w:val="48"/>
      <w:szCs w:val="52"/>
    </w:rPr>
  </w:style>
  <w:style w:type="paragraph" w:customStyle="1" w:styleId="affffff1">
    <w:name w:val="其他发布部门"/>
    <w:basedOn w:val="affffb"/>
    <w:qFormat/>
    <w:pPr>
      <w:framePr w:wrap="around" w:y="15310"/>
      <w:spacing w:line="0" w:lineRule="atLeast"/>
    </w:pPr>
    <w:rPr>
      <w:rFonts w:ascii="黑体" w:eastAsia="黑体"/>
      <w:b w:val="0"/>
    </w:rPr>
  </w:style>
  <w:style w:type="paragraph" w:customStyle="1" w:styleId="affffff2">
    <w:name w:val="前言、引言标题"/>
    <w:next w:val="affe"/>
    <w:qFormat/>
    <w:pPr>
      <w:keepNext/>
      <w:pageBreakBefore/>
      <w:shd w:val="clear" w:color="FFFFFF" w:fill="FFFFFF"/>
      <w:spacing w:before="640" w:after="560"/>
      <w:jc w:val="center"/>
      <w:outlineLvl w:val="0"/>
    </w:pPr>
    <w:rPr>
      <w:rFonts w:ascii="黑体" w:eastAsia="黑体"/>
      <w:sz w:val="32"/>
    </w:rPr>
  </w:style>
  <w:style w:type="paragraph" w:customStyle="1" w:styleId="affffff3">
    <w:name w:val="三级无"/>
    <w:basedOn w:val="afffe"/>
    <w:qFormat/>
    <w:pPr>
      <w:spacing w:beforeLines="0" w:afterLines="0"/>
    </w:pPr>
    <w:rPr>
      <w:rFonts w:ascii="宋体" w:eastAsia="宋体"/>
    </w:rPr>
  </w:style>
  <w:style w:type="paragraph" w:customStyle="1" w:styleId="affffff4">
    <w:name w:val="实施日期"/>
    <w:qFormat/>
    <w:pPr>
      <w:framePr w:w="3997" w:h="471" w:hRule="exact" w:vSpace="181" w:wrap="around" w:vAnchor="page" w:hAnchor="page" w:x="7089" w:y="14097"/>
      <w:jc w:val="right"/>
    </w:pPr>
    <w:rPr>
      <w:rFonts w:eastAsia="黑体"/>
      <w:sz w:val="28"/>
    </w:rPr>
  </w:style>
  <w:style w:type="paragraph" w:customStyle="1" w:styleId="affffff5">
    <w:name w:val="示例后文字"/>
    <w:basedOn w:val="affe"/>
    <w:next w:val="affe"/>
    <w:qFormat/>
    <w:pPr>
      <w:ind w:firstLine="360"/>
    </w:pPr>
    <w:rPr>
      <w:sz w:val="18"/>
    </w:rPr>
  </w:style>
  <w:style w:type="paragraph" w:customStyle="1" w:styleId="affffff6">
    <w:name w:val="首示例"/>
    <w:next w:val="affe"/>
    <w:link w:val="Char7"/>
    <w:qFormat/>
    <w:pPr>
      <w:tabs>
        <w:tab w:val="left" w:pos="360"/>
      </w:tabs>
    </w:pPr>
    <w:rPr>
      <w:rFonts w:ascii="宋体" w:hAnsi="宋体"/>
      <w:kern w:val="2"/>
      <w:sz w:val="18"/>
      <w:szCs w:val="18"/>
    </w:rPr>
  </w:style>
  <w:style w:type="character" w:customStyle="1" w:styleId="Char7">
    <w:name w:val="首示例 Char"/>
    <w:link w:val="affffff6"/>
    <w:qFormat/>
    <w:rPr>
      <w:rFonts w:ascii="宋体" w:hAnsi="宋体"/>
      <w:kern w:val="2"/>
      <w:sz w:val="18"/>
      <w:szCs w:val="18"/>
    </w:rPr>
  </w:style>
  <w:style w:type="paragraph" w:customStyle="1" w:styleId="affffff7">
    <w:name w:val="四级无"/>
    <w:basedOn w:val="affff0"/>
    <w:qFormat/>
    <w:pPr>
      <w:spacing w:beforeLines="0" w:afterLines="0"/>
    </w:pPr>
    <w:rPr>
      <w:rFonts w:ascii="宋体" w:eastAsia="宋体"/>
    </w:rPr>
  </w:style>
  <w:style w:type="paragraph" w:customStyle="1" w:styleId="affffff8">
    <w:name w:val="条文脚注"/>
    <w:basedOn w:val="ab"/>
    <w:qFormat/>
    <w:pPr>
      <w:numPr>
        <w:numId w:val="0"/>
      </w:numPr>
      <w:jc w:val="both"/>
    </w:pPr>
  </w:style>
  <w:style w:type="paragraph" w:customStyle="1" w:styleId="affffff9">
    <w:name w:val="图标脚注说明"/>
    <w:basedOn w:val="affe"/>
    <w:qFormat/>
    <w:pPr>
      <w:ind w:left="840" w:firstLineChars="0" w:hanging="420"/>
    </w:pPr>
    <w:rPr>
      <w:sz w:val="18"/>
      <w:szCs w:val="18"/>
    </w:rPr>
  </w:style>
  <w:style w:type="paragraph" w:customStyle="1" w:styleId="a4">
    <w:name w:val="图表脚注说明"/>
    <w:basedOn w:val="aff0"/>
    <w:qFormat/>
    <w:pPr>
      <w:numPr>
        <w:numId w:val="15"/>
      </w:numPr>
    </w:pPr>
    <w:rPr>
      <w:rFonts w:ascii="宋体"/>
      <w:sz w:val="18"/>
      <w:szCs w:val="18"/>
    </w:rPr>
  </w:style>
  <w:style w:type="paragraph" w:customStyle="1" w:styleId="affffffa">
    <w:name w:val="图的脚注"/>
    <w:next w:val="affe"/>
    <w:qFormat/>
    <w:pPr>
      <w:widowControl w:val="0"/>
      <w:ind w:leftChars="200" w:left="840" w:hangingChars="200" w:hanging="420"/>
      <w:jc w:val="both"/>
    </w:pPr>
    <w:rPr>
      <w:rFonts w:ascii="宋体"/>
      <w:sz w:val="18"/>
    </w:rPr>
  </w:style>
  <w:style w:type="paragraph" w:customStyle="1" w:styleId="affffffb">
    <w:name w:val="文献分类号"/>
    <w:qFormat/>
    <w:pPr>
      <w:framePr w:hSpace="180" w:vSpace="180" w:wrap="around" w:hAnchor="margin" w:y="1" w:anchorLock="1"/>
      <w:widowControl w:val="0"/>
      <w:textAlignment w:val="center"/>
    </w:pPr>
    <w:rPr>
      <w:rFonts w:ascii="黑体" w:eastAsia="黑体"/>
      <w:sz w:val="21"/>
      <w:szCs w:val="21"/>
    </w:rPr>
  </w:style>
  <w:style w:type="paragraph" w:customStyle="1" w:styleId="affffffc">
    <w:name w:val="五级无"/>
    <w:basedOn w:val="affff1"/>
    <w:qFormat/>
    <w:pPr>
      <w:spacing w:beforeLines="0" w:afterLines="0"/>
    </w:pPr>
    <w:rPr>
      <w:rFonts w:ascii="宋体" w:eastAsia="宋体"/>
    </w:rPr>
  </w:style>
  <w:style w:type="paragraph" w:customStyle="1" w:styleId="affffffd">
    <w:name w:val="一级无"/>
    <w:basedOn w:val="a2"/>
    <w:qFormat/>
    <w:pPr>
      <w:spacing w:beforeLines="0" w:afterLines="0"/>
    </w:pPr>
    <w:rPr>
      <w:rFonts w:ascii="宋体" w:eastAsia="宋体"/>
    </w:rPr>
  </w:style>
  <w:style w:type="paragraph" w:customStyle="1" w:styleId="af5">
    <w:name w:val="正文表标题"/>
    <w:next w:val="affe"/>
    <w:qFormat/>
    <w:pPr>
      <w:numPr>
        <w:numId w:val="16"/>
      </w:numPr>
      <w:spacing w:beforeLines="50" w:afterLines="50"/>
      <w:jc w:val="center"/>
    </w:pPr>
    <w:rPr>
      <w:rFonts w:ascii="黑体" w:eastAsia="黑体"/>
      <w:sz w:val="21"/>
    </w:rPr>
  </w:style>
  <w:style w:type="paragraph" w:customStyle="1" w:styleId="affffffe">
    <w:name w:val="正文公式编号制表符"/>
    <w:basedOn w:val="affe"/>
    <w:next w:val="affe"/>
    <w:qFormat/>
    <w:pPr>
      <w:ind w:firstLineChars="0" w:firstLine="0"/>
    </w:pPr>
  </w:style>
  <w:style w:type="paragraph" w:customStyle="1" w:styleId="af0">
    <w:name w:val="正文图标题"/>
    <w:next w:val="affe"/>
    <w:qFormat/>
    <w:pPr>
      <w:numPr>
        <w:numId w:val="17"/>
      </w:numPr>
      <w:spacing w:beforeLines="50" w:afterLines="50"/>
      <w:jc w:val="center"/>
    </w:pPr>
    <w:rPr>
      <w:rFonts w:ascii="黑体" w:eastAsia="黑体"/>
      <w:sz w:val="21"/>
    </w:rPr>
  </w:style>
  <w:style w:type="paragraph" w:customStyle="1" w:styleId="afffffff">
    <w:name w:val="终结线"/>
    <w:basedOn w:val="aff0"/>
    <w:qFormat/>
    <w:pPr>
      <w:framePr w:hSpace="181" w:vSpace="181" w:wrap="around" w:vAnchor="text" w:hAnchor="margin" w:xAlign="center" w:y="285"/>
    </w:pPr>
  </w:style>
  <w:style w:type="paragraph" w:customStyle="1" w:styleId="afffffff0">
    <w:name w:val="其他发布日期"/>
    <w:qFormat/>
    <w:pPr>
      <w:framePr w:w="3997" w:h="471" w:hRule="exact" w:vSpace="181" w:wrap="around" w:vAnchor="page" w:hAnchor="page" w:x="1419" w:y="14097" w:anchorLock="1"/>
    </w:pPr>
    <w:rPr>
      <w:rFonts w:eastAsia="黑体"/>
      <w:sz w:val="28"/>
    </w:rPr>
  </w:style>
  <w:style w:type="paragraph" w:customStyle="1" w:styleId="afffffff1">
    <w:name w:val="其他实施日期"/>
    <w:basedOn w:val="affffff4"/>
    <w:qFormat/>
    <w:pPr>
      <w:framePr w:wrap="around"/>
    </w:pPr>
  </w:style>
  <w:style w:type="paragraph" w:customStyle="1" w:styleId="22">
    <w:name w:val="封面标准名称2"/>
    <w:basedOn w:val="affffe"/>
    <w:qFormat/>
    <w:pPr>
      <w:framePr w:wrap="around" w:y="4469"/>
      <w:spacing w:beforeLines="630"/>
    </w:pPr>
  </w:style>
  <w:style w:type="paragraph" w:customStyle="1" w:styleId="23">
    <w:name w:val="封面标准英文名称2"/>
    <w:basedOn w:val="afffff"/>
    <w:qFormat/>
    <w:pPr>
      <w:framePr w:wrap="around" w:y="4469"/>
    </w:pPr>
  </w:style>
  <w:style w:type="paragraph" w:customStyle="1" w:styleId="24">
    <w:name w:val="封面一致性程度标识2"/>
    <w:basedOn w:val="afffff0"/>
    <w:qFormat/>
    <w:pPr>
      <w:framePr w:wrap="around" w:y="4469"/>
    </w:pPr>
  </w:style>
  <w:style w:type="paragraph" w:customStyle="1" w:styleId="25">
    <w:name w:val="封面标准文稿类别2"/>
    <w:basedOn w:val="afffff1"/>
    <w:qFormat/>
    <w:pPr>
      <w:framePr w:wrap="around" w:y="4469"/>
    </w:pPr>
  </w:style>
  <w:style w:type="paragraph" w:customStyle="1" w:styleId="26">
    <w:name w:val="封面标准文稿编辑信息2"/>
    <w:basedOn w:val="afffff2"/>
    <w:qFormat/>
    <w:pPr>
      <w:framePr w:wrap="around" w:y="4469"/>
    </w:pPr>
  </w:style>
  <w:style w:type="paragraph" w:customStyle="1" w:styleId="afffffff2">
    <w:name w:val="标准名称"/>
    <w:basedOn w:val="afffd"/>
    <w:link w:val="Char8"/>
    <w:qFormat/>
  </w:style>
  <w:style w:type="character" w:styleId="afffffff3">
    <w:name w:val="Placeholder Text"/>
    <w:basedOn w:val="aff1"/>
    <w:uiPriority w:val="99"/>
    <w:semiHidden/>
    <w:qFormat/>
    <w:rPr>
      <w:color w:val="808080"/>
    </w:rPr>
  </w:style>
  <w:style w:type="character" w:customStyle="1" w:styleId="Char0">
    <w:name w:val="目次、标准名称标题 Char"/>
    <w:basedOn w:val="aff1"/>
    <w:link w:val="afffd"/>
    <w:qFormat/>
    <w:rPr>
      <w:rFonts w:ascii="黑体" w:eastAsia="黑体"/>
      <w:sz w:val="32"/>
      <w:shd w:val="clear" w:color="FFFFFF" w:fill="FFFFFF"/>
    </w:rPr>
  </w:style>
  <w:style w:type="character" w:customStyle="1" w:styleId="Char8">
    <w:name w:val="标准名称 Char"/>
    <w:basedOn w:val="Char0"/>
    <w:link w:val="afffffff2"/>
    <w:qFormat/>
    <w:rPr>
      <w:rFonts w:ascii="黑体" w:eastAsia="黑体"/>
      <w:sz w:val="32"/>
      <w:shd w:val="clear" w:color="FFFFFF" w:fill="FFFFFF"/>
    </w:rPr>
  </w:style>
  <w:style w:type="character" w:customStyle="1" w:styleId="affa">
    <w:name w:val="批注框文本 字符"/>
    <w:basedOn w:val="aff1"/>
    <w:link w:val="aff9"/>
    <w:qFormat/>
    <w:rPr>
      <w:kern w:val="2"/>
      <w:sz w:val="18"/>
      <w:szCs w:val="18"/>
    </w:rPr>
  </w:style>
  <w:style w:type="character" w:customStyle="1" w:styleId="13">
    <w:name w:val="未处理的提及1"/>
    <w:basedOn w:val="aff1"/>
    <w:uiPriority w:val="99"/>
    <w:semiHidden/>
    <w:unhideWhenUsed/>
    <w:qFormat/>
    <w:rPr>
      <w:color w:val="605E5C"/>
      <w:shd w:val="clear" w:color="auto" w:fill="E1DFDD"/>
    </w:rPr>
  </w:style>
  <w:style w:type="table" w:customStyle="1" w:styleId="110">
    <w:name w:val="网格型11"/>
    <w:basedOn w:val="aff2"/>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6">
    <w:name w:val="附录一级条标题 Char"/>
    <w:link w:val="af8"/>
    <w:qFormat/>
    <w:rPr>
      <w:rFonts w:ascii="黑体" w:eastAsia="黑体"/>
      <w:kern w:val="21"/>
      <w:sz w:val="21"/>
    </w:rPr>
  </w:style>
  <w:style w:type="character" w:customStyle="1" w:styleId="Char4">
    <w:name w:val="附录标题 Char"/>
    <w:link w:val="afffff4"/>
    <w:qFormat/>
    <w:rPr>
      <w:rFonts w:ascii="黑体" w:eastAsia="黑体"/>
    </w:rPr>
  </w:style>
  <w:style w:type="character" w:customStyle="1" w:styleId="Char3">
    <w:name w:val="附录标识 Char"/>
    <w:link w:val="af6"/>
    <w:qFormat/>
    <w:rPr>
      <w:rFonts w:ascii="黑体" w:eastAsia="黑体"/>
      <w:sz w:val="21"/>
      <w:shd w:val="clear" w:color="FFFFFF" w:fill="FFFFFF"/>
    </w:rPr>
  </w:style>
  <w:style w:type="paragraph" w:styleId="afffffff4">
    <w:name w:val="List Paragraph"/>
    <w:basedOn w:val="aff0"/>
    <w:uiPriority w:val="34"/>
    <w:qFormat/>
    <w:pPr>
      <w:ind w:firstLineChars="200" w:firstLine="420"/>
    </w:pPr>
    <w:rPr>
      <w:rFonts w:ascii="Calibri" w:hAnsi="Calibri"/>
      <w:szCs w:val="22"/>
    </w:rPr>
  </w:style>
  <w:style w:type="paragraph" w:customStyle="1" w:styleId="Bodytext1">
    <w:name w:val="Body text|1"/>
    <w:basedOn w:val="aff0"/>
    <w:qFormat/>
    <w:pPr>
      <w:spacing w:line="329" w:lineRule="auto"/>
      <w:ind w:firstLine="400"/>
      <w:jc w:val="left"/>
    </w:pPr>
    <w:rPr>
      <w:rFonts w:ascii="宋体" w:hAnsi="宋体" w:cs="宋体"/>
      <w:sz w:val="20"/>
      <w:szCs w:val="20"/>
      <w:lang w:val="zh-TW" w:eastAsia="zh-TW" w:bidi="zh-TW"/>
    </w:rPr>
  </w:style>
  <w:style w:type="character" w:customStyle="1" w:styleId="Char1">
    <w:name w:val="注： Char"/>
    <w:link w:val="a0"/>
    <w:qFormat/>
    <w:rPr>
      <w:rFonts w:ascii="宋体"/>
      <w:sz w:val="18"/>
      <w:szCs w:val="18"/>
    </w:rPr>
  </w:style>
  <w:style w:type="character" w:customStyle="1" w:styleId="Char2">
    <w:name w:val="字母编号列项（一级） Char"/>
    <w:link w:val="ad"/>
    <w:qFormat/>
    <w:rPr>
      <w:rFonts w:ascii="宋体"/>
      <w:sz w:val="21"/>
    </w:rPr>
  </w:style>
  <w:style w:type="character" w:customStyle="1" w:styleId="fontstyle01">
    <w:name w:val="fontstyle01"/>
    <w:basedOn w:val="aff1"/>
    <w:qFormat/>
    <w:rPr>
      <w:rFonts w:ascii="宋体" w:eastAsia="宋体" w:hAnsi="宋体" w:hint="eastAsia"/>
      <w:color w:val="000000"/>
      <w:sz w:val="24"/>
      <w:szCs w:val="24"/>
    </w:rPr>
  </w:style>
  <w:style w:type="paragraph" w:customStyle="1" w:styleId="WPSOffice1">
    <w:name w:val="WPSOffice手动目录 1"/>
    <w:qFormat/>
  </w:style>
  <w:style w:type="paragraph" w:customStyle="1" w:styleId="WPSOffice2">
    <w:name w:val="WPSOffice手动目录 2"/>
    <w:qFormat/>
    <w:pPr>
      <w:ind w:leftChars="200" w:left="200"/>
    </w:pPr>
  </w:style>
  <w:style w:type="character" w:customStyle="1" w:styleId="aff7">
    <w:name w:val="批注文字 字符"/>
    <w:basedOn w:val="aff1"/>
    <w:link w:val="aff6"/>
    <w:semiHidden/>
    <w:qFormat/>
    <w:rPr>
      <w:kern w:val="2"/>
      <w:sz w:val="21"/>
      <w:szCs w:val="24"/>
    </w:rPr>
  </w:style>
  <w:style w:type="character" w:customStyle="1" w:styleId="afff1">
    <w:name w:val="批注主题 字符"/>
    <w:basedOn w:val="aff7"/>
    <w:link w:val="afff0"/>
    <w:semiHidden/>
    <w:qFormat/>
    <w:rPr>
      <w:b/>
      <w:bCs/>
      <w:kern w:val="2"/>
      <w:sz w:val="21"/>
      <w:szCs w:val="24"/>
    </w:rPr>
  </w:style>
  <w:style w:type="paragraph" w:customStyle="1" w:styleId="14">
    <w:name w:val="修订1"/>
    <w:hidden/>
    <w:uiPriority w:val="99"/>
    <w:unhideWhenUsed/>
    <w:qFormat/>
    <w:rPr>
      <w:kern w:val="2"/>
      <w:sz w:val="21"/>
      <w:szCs w:val="24"/>
    </w:rPr>
  </w:style>
  <w:style w:type="character" w:customStyle="1" w:styleId="10">
    <w:name w:val="标题 1 字符"/>
    <w:basedOn w:val="aff1"/>
    <w:link w:val="1"/>
    <w:qFormat/>
    <w:rPr>
      <w:b/>
      <w:bCs/>
      <w:kern w:val="44"/>
      <w:sz w:val="44"/>
      <w:szCs w:val="44"/>
    </w:rPr>
  </w:style>
  <w:style w:type="paragraph" w:customStyle="1" w:styleId="TOC10">
    <w:name w:val="TOC 标题1"/>
    <w:basedOn w:val="1"/>
    <w:next w:val="aff0"/>
    <w:uiPriority w:val="39"/>
    <w:semiHidden/>
    <w:unhideWhenUsed/>
    <w:qFormat/>
    <w:pPr>
      <w:outlineLvl w:val="9"/>
    </w:pPr>
  </w:style>
  <w:style w:type="paragraph" w:customStyle="1" w:styleId="afffffff5">
    <w:name w:val="标准文件_段"/>
    <w:link w:val="Char9"/>
    <w:qFormat/>
    <w:pPr>
      <w:autoSpaceDE w:val="0"/>
      <w:autoSpaceDN w:val="0"/>
      <w:ind w:firstLineChars="200" w:firstLine="200"/>
      <w:jc w:val="both"/>
    </w:pPr>
    <w:rPr>
      <w:rFonts w:ascii="宋体"/>
      <w:sz w:val="21"/>
    </w:rPr>
  </w:style>
  <w:style w:type="paragraph" w:customStyle="1" w:styleId="afffffff6">
    <w:name w:val="标准文件_二级条标题"/>
    <w:next w:val="afffffff5"/>
    <w:qFormat/>
    <w:pPr>
      <w:widowControl w:val="0"/>
      <w:spacing w:beforeLines="50" w:afterLines="50"/>
      <w:jc w:val="both"/>
      <w:outlineLvl w:val="2"/>
    </w:pPr>
    <w:rPr>
      <w:rFonts w:ascii="黑体" w:eastAsia="黑体"/>
      <w:sz w:val="21"/>
    </w:rPr>
  </w:style>
  <w:style w:type="paragraph" w:customStyle="1" w:styleId="afffffff7">
    <w:name w:val="标准文件_三级条标题"/>
    <w:basedOn w:val="afffffff6"/>
    <w:next w:val="afffffff5"/>
    <w:qFormat/>
    <w:pPr>
      <w:widowControl/>
      <w:outlineLvl w:val="3"/>
    </w:pPr>
  </w:style>
  <w:style w:type="paragraph" w:customStyle="1" w:styleId="afffffff8">
    <w:name w:val="标准文件_四级条标题"/>
    <w:next w:val="afffffff5"/>
    <w:qFormat/>
    <w:pPr>
      <w:widowControl w:val="0"/>
      <w:spacing w:beforeLines="50" w:afterLines="50"/>
      <w:jc w:val="both"/>
      <w:outlineLvl w:val="4"/>
    </w:pPr>
    <w:rPr>
      <w:rFonts w:ascii="黑体" w:eastAsia="黑体"/>
      <w:sz w:val="21"/>
    </w:rPr>
  </w:style>
  <w:style w:type="paragraph" w:customStyle="1" w:styleId="afffffff9">
    <w:name w:val="标准文件_五级条标题"/>
    <w:next w:val="afffffff5"/>
    <w:qFormat/>
    <w:pPr>
      <w:widowControl w:val="0"/>
      <w:spacing w:beforeLines="50" w:afterLines="50"/>
      <w:jc w:val="both"/>
      <w:outlineLvl w:val="5"/>
    </w:pPr>
    <w:rPr>
      <w:rFonts w:ascii="黑体" w:eastAsia="黑体"/>
      <w:sz w:val="21"/>
    </w:rPr>
  </w:style>
  <w:style w:type="paragraph" w:customStyle="1" w:styleId="afffffffa">
    <w:name w:val="标准文件_章标题"/>
    <w:next w:val="afffffff5"/>
    <w:qFormat/>
    <w:pPr>
      <w:spacing w:beforeLines="100" w:afterLines="100"/>
      <w:jc w:val="both"/>
      <w:outlineLvl w:val="0"/>
    </w:pPr>
    <w:rPr>
      <w:rFonts w:ascii="黑体" w:eastAsia="黑体"/>
      <w:sz w:val="21"/>
    </w:rPr>
  </w:style>
  <w:style w:type="paragraph" w:customStyle="1" w:styleId="afffffffb">
    <w:name w:val="标准文件_一级条标题"/>
    <w:basedOn w:val="afffffffa"/>
    <w:next w:val="afffffff5"/>
    <w:qFormat/>
    <w:pPr>
      <w:spacing w:beforeLines="50" w:afterLines="50"/>
      <w:outlineLvl w:val="1"/>
    </w:pPr>
  </w:style>
  <w:style w:type="paragraph" w:customStyle="1" w:styleId="afffffffc">
    <w:name w:val="前言标题"/>
    <w:next w:val="aff0"/>
    <w:qFormat/>
    <w:pPr>
      <w:shd w:val="clear" w:color="FFFFFF" w:fill="FFFFFF"/>
      <w:spacing w:before="540" w:after="600"/>
      <w:jc w:val="center"/>
      <w:outlineLvl w:val="0"/>
    </w:pPr>
    <w:rPr>
      <w:rFonts w:ascii="黑体" w:eastAsia="黑体"/>
      <w:sz w:val="32"/>
    </w:rPr>
  </w:style>
  <w:style w:type="character" w:customStyle="1" w:styleId="Char9">
    <w:name w:val="标准文件_段 Char"/>
    <w:link w:val="afffffff5"/>
    <w:qFormat/>
    <w:rPr>
      <w:rFonts w:ascii="宋体"/>
      <w:sz w:val="21"/>
    </w:rPr>
  </w:style>
  <w:style w:type="paragraph" w:customStyle="1" w:styleId="a3">
    <w:name w:val="标准文件_术语条一"/>
    <w:basedOn w:val="ac"/>
    <w:next w:val="afffffff5"/>
    <w:qFormat/>
    <w:pPr>
      <w:numPr>
        <w:numId w:val="2"/>
      </w:numPr>
      <w:ind w:left="283"/>
    </w:pPr>
  </w:style>
  <w:style w:type="paragraph" w:customStyle="1" w:styleId="ac">
    <w:name w:val="标准文件_一级无标题"/>
    <w:basedOn w:val="afffffffb"/>
    <w:qFormat/>
    <w:pPr>
      <w:numPr>
        <w:ilvl w:val="2"/>
        <w:numId w:val="1"/>
      </w:numPr>
      <w:spacing w:beforeLines="0" w:afterLines="0"/>
      <w:ind w:left="283"/>
      <w:outlineLvl w:val="9"/>
    </w:pPr>
    <w:rPr>
      <w:rFonts w:ascii="宋体" w:eastAsia="宋体"/>
    </w:rPr>
  </w:style>
  <w:style w:type="paragraph" w:customStyle="1" w:styleId="afffffffd">
    <w:name w:val="标准文件_二级无标题"/>
    <w:basedOn w:val="afffffff6"/>
    <w:qFormat/>
    <w:pPr>
      <w:spacing w:beforeLines="0" w:afterLines="0"/>
      <w:outlineLvl w:val="9"/>
    </w:pPr>
    <w:rPr>
      <w:rFonts w:ascii="宋体" w:eastAsia="宋体"/>
    </w:rPr>
  </w:style>
  <w:style w:type="paragraph" w:customStyle="1" w:styleId="afffffffe">
    <w:name w:val="标准文件_三级无标题"/>
    <w:basedOn w:val="afffffff7"/>
    <w:qFormat/>
    <w:pPr>
      <w:spacing w:beforeLines="0" w:afterLines="0"/>
      <w:outlineLvl w:val="9"/>
    </w:pPr>
    <w:rPr>
      <w:rFonts w:ascii="宋体" w:eastAsia="宋体"/>
    </w:rPr>
  </w:style>
  <w:style w:type="paragraph" w:customStyle="1" w:styleId="affffffff">
    <w:name w:val="标准文件_参考文献标题"/>
    <w:basedOn w:val="aff0"/>
    <w:next w:val="aff0"/>
    <w:qFormat/>
    <w:pPr>
      <w:widowControl/>
      <w:shd w:val="clear" w:color="auto" w:fill="FFFFFF"/>
      <w:spacing w:beforeLines="40" w:afterLines="50"/>
      <w:jc w:val="center"/>
      <w:outlineLvl w:val="0"/>
    </w:pPr>
    <w:rPr>
      <w:rFonts w:ascii="黑体" w:eastAsia="黑体" w:hAnsi="Calibri"/>
      <w:kern w:val="0"/>
      <w:szCs w:val="21"/>
    </w:rPr>
  </w:style>
  <w:style w:type="paragraph" w:customStyle="1" w:styleId="Default">
    <w:name w:val="Default"/>
    <w:uiPriority w:val="99"/>
    <w:unhideWhenUsed/>
    <w:qFormat/>
    <w:pPr>
      <w:widowControl w:val="0"/>
      <w:autoSpaceDE w:val="0"/>
      <w:autoSpaceDN w:val="0"/>
      <w:adjustRightInd w:val="0"/>
    </w:pPr>
    <w:rPr>
      <w:rFonts w:ascii="宋体" w:hAnsi="宋体" w:hint="eastAsi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header" Target="header10.xml"/><Relationship Id="rId21" Type="http://schemas.openxmlformats.org/officeDocument/2006/relationships/header" Target="header7.xml"/><Relationship Id="rId34" Type="http://schemas.openxmlformats.org/officeDocument/2006/relationships/footer" Target="footer10.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eader" Target="header9.xml"/><Relationship Id="rId33" Type="http://schemas.openxmlformats.org/officeDocument/2006/relationships/header" Target="header14.xm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footer" Target="footer9.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eader" Target="header2.xml"/><Relationship Id="rId24" Type="http://schemas.openxmlformats.org/officeDocument/2006/relationships/footer" Target="footer7.xml"/><Relationship Id="rId32" Type="http://schemas.openxmlformats.org/officeDocument/2006/relationships/header" Target="header13.xml"/><Relationship Id="rId37"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footer" Target="footer3.xml"/><Relationship Id="rId23" Type="http://schemas.openxmlformats.org/officeDocument/2006/relationships/footer" Target="footer6.xml"/><Relationship Id="rId28" Type="http://schemas.openxmlformats.org/officeDocument/2006/relationships/footer" Target="footer8.xml"/><Relationship Id="rId36" Type="http://schemas.openxmlformats.org/officeDocument/2006/relationships/header" Target="header15.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image" Target="media/image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 Id="rId22" Type="http://schemas.openxmlformats.org/officeDocument/2006/relationships/header" Target="header8.xml"/><Relationship Id="rId27" Type="http://schemas.openxmlformats.org/officeDocument/2006/relationships/header" Target="header11.xml"/><Relationship Id="rId30" Type="http://schemas.openxmlformats.org/officeDocument/2006/relationships/header" Target="header12.xml"/><Relationship Id="rId35" Type="http://schemas.openxmlformats.org/officeDocument/2006/relationships/footer" Target="footer11.xml"/><Relationship Id="rId8" Type="http://schemas.openxmlformats.org/officeDocument/2006/relationships/footnotes" Target="footnotes.xml"/><Relationship Id="rId3" Type="http://schemas.openxmlformats.org/officeDocument/2006/relationships/customXml" Target="../customXml/item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1" Type="http://schemas.openxmlformats.org/officeDocument/2006/relationships/image" Target="media/image1.jpeg"/></Relationships>
</file>

<file path=word/_rels/header12.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14.xml.rels><?xml version="1.0" encoding="UTF-8" standalone="yes"?>
<Relationships xmlns="http://schemas.openxmlformats.org/package/2006/relationships"><Relationship Id="rId1" Type="http://schemas.openxmlformats.org/officeDocument/2006/relationships/image" Target="media/image1.jpeg"/></Relationships>
</file>

<file path=word/_rels/header15.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2050"/>
    <customShpInfo spid="_x0000_s2051" textRotate="1"/>
    <customShpInfo spid="_x0000_s2049"/>
    <customShpInfo spid="_x0000_s2053"/>
    <customShpInfo spid="_x0000_s2054"/>
    <customShpInfo spid="_x0000_s2052"/>
    <customShpInfo spid="_x0000_s2056"/>
    <customShpInfo spid="_x0000_s2057"/>
    <customShpInfo spid="_x0000_s2055"/>
    <customShpInfo spid="_x0000_s2059"/>
    <customShpInfo spid="_x0000_s2060"/>
    <customShpInfo spid="_x0000_s2058"/>
    <customShpInfo spid="_x0000_s1026" textRotate="1"/>
    <customShpInfo spid="_x0000_s2062"/>
    <customShpInfo spid="_x0000_s2063"/>
    <customShpInfo spid="_x0000_s206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19AAE45-A396-47CC-AA97-190C9EEE86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1079</Words>
  <Characters>6156</Characters>
  <Application>Microsoft Office Word</Application>
  <DocSecurity>0</DocSecurity>
  <Lines>51</Lines>
  <Paragraphs>14</Paragraphs>
  <ScaleCrop>false</ScaleCrop>
  <Company>zle</Company>
  <LinksUpToDate>false</LinksUpToDate>
  <CharactersWithSpaces>7221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标准名称</dc:title>
  <dc:creator>CNIS</dc:creator>
  <cp:lastModifiedBy>王亚宁</cp:lastModifiedBy>
  <cp:revision>6</cp:revision>
  <cp:lastPrinted>2024-11-22T07:38:00Z</cp:lastPrinted>
  <dcterms:created xsi:type="dcterms:W3CDTF">2024-09-26T08:00:00Z</dcterms:created>
  <dcterms:modified xsi:type="dcterms:W3CDTF">2024-12-05T07:20:00Z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2052-11.8.2.11473</vt:lpwstr>
  </property>
  <property fmtid="{D5CDD505-2E9C-101B-9397-08002B2CF9AE}" pid="3" name="ICV">
    <vt:lpwstr>A1F73C42144F47908F5CC6F445AAED6C</vt:lpwstr>
  </property>
</Properties>
</file>