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360" w:lineRule="auto"/>
        <w:jc w:val="center"/>
        <w:rPr>
          <w:rFonts w:ascii="Times New Roman" w:hAnsi="Times New Roman" w:eastAsia="黑体"/>
          <w:sz w:val="32"/>
          <w:szCs w:val="32"/>
        </w:rPr>
      </w:pPr>
      <w:r>
        <w:rPr>
          <w:rFonts w:hint="eastAsia" w:ascii="Times New Roman" w:hAnsi="Times New Roman" w:eastAsia="黑体"/>
          <w:sz w:val="32"/>
          <w:szCs w:val="32"/>
        </w:rPr>
        <w:t>CCAA团体</w:t>
      </w:r>
      <w:r>
        <w:rPr>
          <w:rFonts w:ascii="Times New Roman" w:hAnsi="Times New Roman" w:eastAsia="黑体"/>
          <w:sz w:val="32"/>
          <w:szCs w:val="32"/>
        </w:rPr>
        <w:t>标准草案编制说明</w:t>
      </w:r>
    </w:p>
    <w:p>
      <w:pPr>
        <w:autoSpaceDE w:val="0"/>
        <w:autoSpaceDN w:val="0"/>
        <w:adjustRightInd w:val="0"/>
        <w:jc w:val="center"/>
        <w:rPr>
          <w:rFonts w:ascii="Times New Roman" w:hAnsi="Times New Roman"/>
          <w:color w:val="000000"/>
          <w:szCs w:val="21"/>
        </w:rPr>
      </w:pPr>
    </w:p>
    <w:tbl>
      <w:tblPr>
        <w:tblStyle w:val="4"/>
        <w:tblW w:w="9215" w:type="dxa"/>
        <w:tblInd w:w="-43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32"/>
        <w:gridCol w:w="170"/>
        <w:gridCol w:w="538"/>
        <w:gridCol w:w="3573"/>
        <w:gridCol w:w="1276"/>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215" w:type="dxa"/>
            <w:gridSpan w:val="6"/>
          </w:tcPr>
          <w:p>
            <w:pPr>
              <w:jc w:val="center"/>
              <w:rPr>
                <w:rFonts w:ascii="Times New Roman" w:hAnsi="Times New Roman" w:eastAsia="宋体" w:cs="Times New Roman"/>
              </w:rPr>
            </w:pPr>
            <w:r>
              <w:rPr>
                <w:rFonts w:ascii="Times New Roman" w:hAnsi="Times New Roman" w:eastAsia="宋体" w:cs="Times New Roman"/>
                <w:b/>
                <w:color w:val="000000"/>
                <w:sz w:val="28"/>
                <w:szCs w:val="28"/>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1532" w:type="dxa"/>
            <w:vMerge w:val="restart"/>
          </w:tcPr>
          <w:p>
            <w:pPr>
              <w:rPr>
                <w:rFonts w:ascii="Times New Roman" w:hAnsi="Times New Roman" w:eastAsia="宋体" w:cs="Times New Roman"/>
              </w:rPr>
            </w:pPr>
            <w:r>
              <w:rPr>
                <w:rFonts w:ascii="Times New Roman" w:hAnsi="Times New Roman" w:eastAsia="宋体" w:cs="Times New Roman"/>
                <w:color w:val="000000"/>
                <w:szCs w:val="21"/>
              </w:rPr>
              <w:t>标准草案名称</w:t>
            </w:r>
          </w:p>
        </w:tc>
        <w:tc>
          <w:tcPr>
            <w:tcW w:w="708" w:type="dxa"/>
            <w:gridSpan w:val="2"/>
            <w:vAlign w:val="center"/>
          </w:tcPr>
          <w:p>
            <w:pPr>
              <w:jc w:val="center"/>
              <w:rPr>
                <w:rFonts w:ascii="Times New Roman" w:hAnsi="Times New Roman" w:eastAsia="宋体" w:cs="Times New Roman"/>
              </w:rPr>
            </w:pPr>
            <w:r>
              <w:rPr>
                <w:rFonts w:ascii="Times New Roman" w:hAnsi="Times New Roman" w:eastAsia="宋体" w:cs="Times New Roman"/>
                <w:color w:val="000000"/>
                <w:szCs w:val="21"/>
              </w:rPr>
              <w:t>中文</w:t>
            </w:r>
          </w:p>
        </w:tc>
        <w:tc>
          <w:tcPr>
            <w:tcW w:w="6975" w:type="dxa"/>
            <w:gridSpan w:val="3"/>
            <w:vAlign w:val="center"/>
          </w:tcPr>
          <w:p>
            <w:pPr>
              <w:rPr>
                <w:rFonts w:ascii="Times New Roman" w:hAnsi="Times New Roman" w:eastAsia="宋体" w:cs="Times New Roman"/>
              </w:rPr>
            </w:pPr>
            <w:r>
              <w:rPr>
                <w:rFonts w:hint="eastAsia" w:ascii="Times New Roman" w:hAnsi="Times New Roman" w:eastAsia="宋体" w:cs="Times New Roman"/>
              </w:rPr>
              <w:t>可再生氢生产溯源管理指南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Merge w:val="continue"/>
          </w:tcPr>
          <w:p>
            <w:pPr>
              <w:rPr>
                <w:rFonts w:ascii="Times New Roman" w:hAnsi="Times New Roman" w:eastAsia="宋体" w:cs="Times New Roman"/>
              </w:rPr>
            </w:pPr>
          </w:p>
        </w:tc>
        <w:tc>
          <w:tcPr>
            <w:tcW w:w="708" w:type="dxa"/>
            <w:gridSpan w:val="2"/>
            <w:vAlign w:val="center"/>
          </w:tcPr>
          <w:p>
            <w:pPr>
              <w:jc w:val="center"/>
              <w:rPr>
                <w:rFonts w:ascii="Times New Roman" w:hAnsi="Times New Roman" w:eastAsia="宋体" w:cs="Times New Roman"/>
              </w:rPr>
            </w:pPr>
            <w:r>
              <w:rPr>
                <w:rFonts w:ascii="Times New Roman" w:hAnsi="Times New Roman" w:eastAsia="宋体" w:cs="Times New Roman"/>
                <w:color w:val="000000"/>
                <w:szCs w:val="21"/>
              </w:rPr>
              <w:t>英文</w:t>
            </w:r>
          </w:p>
        </w:tc>
        <w:tc>
          <w:tcPr>
            <w:tcW w:w="6975" w:type="dxa"/>
            <w:gridSpan w:val="3"/>
            <w:vAlign w:val="center"/>
          </w:tcPr>
          <w:p>
            <w:pPr>
              <w:rPr>
                <w:rFonts w:ascii="Times New Roman" w:hAnsi="Times New Roman" w:eastAsia="宋体" w:cs="Times New Roman"/>
              </w:rPr>
            </w:pPr>
            <w:r>
              <w:rPr>
                <w:rFonts w:hint="eastAsia" w:ascii="Times New Roman" w:hAnsi="Times New Roman" w:eastAsia="宋体" w:cs="Times New Roman"/>
                <w:sz w:val="20"/>
                <w:szCs w:val="21"/>
              </w:rPr>
              <w:t>Guidelines for the Traceability Management of Renewable Hydrogen Production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rPr>
            </w:pPr>
            <w:r>
              <w:rPr>
                <w:rFonts w:ascii="Times New Roman" w:hAnsi="Times New Roman" w:eastAsia="宋体" w:cs="Times New Roman"/>
                <w:color w:val="000000"/>
                <w:szCs w:val="21"/>
              </w:rPr>
              <w:t>项目类型</w:t>
            </w:r>
          </w:p>
        </w:tc>
        <w:tc>
          <w:tcPr>
            <w:tcW w:w="4281" w:type="dxa"/>
            <w:gridSpan w:val="3"/>
            <w:vAlign w:val="center"/>
          </w:tcPr>
          <w:p>
            <w:pPr>
              <w:rPr>
                <w:rFonts w:ascii="Times New Roman" w:hAnsi="Times New Roman" w:eastAsia="宋体" w:cs="Times New Roman"/>
                <w:snapToGrid w:val="0"/>
                <w:color w:val="000000"/>
                <w:kern w:val="0"/>
                <w:szCs w:val="21"/>
              </w:rPr>
            </w:pPr>
            <w:r>
              <w:rPr>
                <w:rFonts w:ascii="Times New Roman" w:hAnsi="Times New Roman" w:eastAsia="宋体" w:cs="Times New Roman"/>
                <w:snapToGrid w:val="0"/>
                <w:color w:val="000000"/>
                <w:kern w:val="0"/>
                <w:szCs w:val="21"/>
              </w:rPr>
              <w:sym w:font="Wingdings 2" w:char="F052"/>
            </w:r>
            <w:r>
              <w:rPr>
                <w:rFonts w:ascii="Times New Roman" w:hAnsi="Times New Roman" w:eastAsia="宋体" w:cs="Times New Roman"/>
                <w:snapToGrid w:val="0"/>
                <w:color w:val="000000"/>
                <w:kern w:val="0"/>
                <w:szCs w:val="21"/>
              </w:rPr>
              <w:t>制定</w:t>
            </w:r>
            <w:r>
              <w:rPr>
                <w:rFonts w:hint="eastAsia" w:ascii="Times New Roman" w:hAnsi="Times New Roman" w:eastAsia="宋体" w:cs="Times New Roman"/>
                <w:snapToGrid w:val="0"/>
                <w:color w:val="000000"/>
                <w:kern w:val="0"/>
                <w:szCs w:val="21"/>
              </w:rPr>
              <w:t xml:space="preserve">   </w:t>
            </w:r>
            <w:r>
              <w:rPr>
                <w:rFonts w:ascii="Times New Roman" w:hAnsi="Times New Roman" w:eastAsia="宋体" w:cs="Times New Roman"/>
                <w:snapToGrid w:val="0"/>
                <w:color w:val="000000"/>
                <w:kern w:val="0"/>
                <w:szCs w:val="21"/>
              </w:rPr>
              <w:t>□修订</w:t>
            </w:r>
          </w:p>
          <w:p>
            <w:pPr>
              <w:jc w:val="center"/>
              <w:rPr>
                <w:rFonts w:ascii="Times New Roman" w:hAnsi="Times New Roman" w:eastAsia="宋体" w:cs="Times New Roman"/>
              </w:rPr>
            </w:pPr>
            <w:r>
              <w:rPr>
                <w:rFonts w:ascii="Times New Roman" w:hAnsi="Times New Roman" w:eastAsia="宋体" w:cs="Times New Roman"/>
                <w:szCs w:val="21"/>
              </w:rPr>
              <w:t>（被修订标准名称及编号：）</w:t>
            </w:r>
          </w:p>
        </w:tc>
        <w:tc>
          <w:tcPr>
            <w:tcW w:w="1276" w:type="dxa"/>
          </w:tcPr>
          <w:p>
            <w:pPr>
              <w:jc w:val="center"/>
              <w:rPr>
                <w:rFonts w:ascii="Times New Roman" w:hAnsi="Times New Roman" w:eastAsia="宋体" w:cs="Times New Roman"/>
              </w:rPr>
            </w:pPr>
            <w:r>
              <w:rPr>
                <w:rFonts w:ascii="Times New Roman" w:hAnsi="Times New Roman" w:eastAsia="宋体" w:cs="Times New Roman"/>
                <w:color w:val="000000"/>
                <w:szCs w:val="21"/>
              </w:rPr>
              <w:t>计划编号</w:t>
            </w:r>
          </w:p>
        </w:tc>
        <w:tc>
          <w:tcPr>
            <w:tcW w:w="2126" w:type="dxa"/>
          </w:tcPr>
          <w:p>
            <w:pPr>
              <w:jc w:val="center"/>
              <w:rPr>
                <w:rFonts w:ascii="Times New Roman" w:hAnsi="Times New Roman" w:eastAsia="宋体" w:cs="Times New Roman"/>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起止时间</w:t>
            </w:r>
          </w:p>
        </w:tc>
        <w:tc>
          <w:tcPr>
            <w:tcW w:w="7683" w:type="dxa"/>
            <w:gridSpan w:val="5"/>
            <w:vAlign w:val="center"/>
          </w:tcPr>
          <w:p>
            <w:pPr>
              <w:jc w:val="center"/>
              <w:rPr>
                <w:rFonts w:ascii="Times New Roman" w:hAnsi="Times New Roman" w:eastAsia="宋体" w:cs="Times New Roman"/>
                <w:szCs w:val="21"/>
              </w:rPr>
            </w:pPr>
            <w:r>
              <w:rPr>
                <w:rFonts w:ascii="Times New Roman" w:hAnsi="Times New Roman" w:eastAsia="宋体" w:cs="Times New Roman"/>
                <w:color w:val="000000"/>
                <w:szCs w:val="21"/>
              </w:rPr>
              <w:t>2023年3月</w:t>
            </w:r>
            <w:r>
              <w:rPr>
                <w:rFonts w:hint="eastAsia" w:ascii="Times New Roman" w:hAnsi="Times New Roman" w:eastAsia="宋体" w:cs="Times New Roman"/>
                <w:color w:val="000000"/>
                <w:szCs w:val="21"/>
              </w:rPr>
              <w:t>—</w:t>
            </w:r>
            <w:r>
              <w:rPr>
                <w:rFonts w:ascii="Times New Roman" w:hAnsi="Times New Roman" w:eastAsia="宋体" w:cs="Times New Roman"/>
                <w:color w:val="000000"/>
                <w:szCs w:val="21"/>
              </w:rPr>
              <w:t>202</w:t>
            </w:r>
            <w:r>
              <w:rPr>
                <w:rFonts w:hint="eastAsia" w:ascii="Times New Roman" w:hAnsi="Times New Roman" w:eastAsia="宋体" w:cs="Times New Roman"/>
                <w:color w:val="000000"/>
                <w:szCs w:val="21"/>
                <w:lang w:val="en-US" w:eastAsia="zh-CN"/>
              </w:rPr>
              <w:t>5</w:t>
            </w:r>
            <w:r>
              <w:rPr>
                <w:rFonts w:ascii="Times New Roman" w:hAnsi="Times New Roman" w:eastAsia="宋体" w:cs="Times New Roman"/>
                <w:color w:val="000000"/>
                <w:szCs w:val="21"/>
              </w:rPr>
              <w:t>年</w:t>
            </w:r>
            <w:r>
              <w:rPr>
                <w:rFonts w:hint="eastAsia" w:ascii="Times New Roman" w:hAnsi="Times New Roman" w:eastAsia="宋体" w:cs="Times New Roman"/>
                <w:color w:val="000000"/>
                <w:szCs w:val="21"/>
                <w:lang w:val="en-US" w:eastAsia="zh-CN"/>
              </w:rPr>
              <w:t>2</w:t>
            </w:r>
            <w:bookmarkStart w:id="1" w:name="_GoBack"/>
            <w:bookmarkEnd w:id="1"/>
            <w:r>
              <w:rPr>
                <w:rFonts w:ascii="Times New Roman" w:hAnsi="Times New Roman" w:eastAsia="宋体" w:cs="Times New Roman"/>
                <w:color w:val="000000"/>
                <w:szCs w:val="21"/>
              </w:rPr>
              <w:t>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标准起草单位</w:t>
            </w:r>
          </w:p>
        </w:tc>
        <w:tc>
          <w:tcPr>
            <w:tcW w:w="7683" w:type="dxa"/>
            <w:gridSpan w:val="5"/>
            <w:vAlign w:val="center"/>
          </w:tcPr>
          <w:p>
            <w:pPr>
              <w:jc w:val="left"/>
              <w:rPr>
                <w:rFonts w:ascii="Times New Roman" w:hAnsi="Times New Roman" w:eastAsia="宋体" w:cs="Times New Roman"/>
                <w:szCs w:val="21"/>
              </w:rPr>
            </w:pPr>
            <w:r>
              <w:rPr>
                <w:rFonts w:hint="eastAsia" w:ascii="Times New Roman" w:hAnsi="Times New Roman" w:eastAsia="宋体" w:cs="Times New Roman"/>
                <w:szCs w:val="21"/>
                <w:lang w:val="en-US" w:eastAsia="zh-CN"/>
              </w:rPr>
              <w:t>上海联合矿权交易所有限公司、上海质量管理科学研究院有限公司、上海临港氢能产业发展有限公司</w:t>
            </w:r>
            <w:r>
              <w:rPr>
                <w:rFonts w:hint="eastAsia" w:ascii="Times New Roman" w:hAnsi="Times New Roman" w:eastAsia="宋体" w:cs="Times New Roman"/>
                <w:szCs w:val="21"/>
              </w:rPr>
              <w:t>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起草组成员</w:t>
            </w:r>
          </w:p>
        </w:tc>
        <w:tc>
          <w:tcPr>
            <w:tcW w:w="7683" w:type="dxa"/>
            <w:gridSpan w:val="5"/>
            <w:vAlign w:val="center"/>
          </w:tcPr>
          <w:p>
            <w:pPr>
              <w:pStyle w:val="6"/>
              <w:rPr>
                <w:rFonts w:ascii="Times New Roman" w:eastAsia="宋体" w:cs="Times New Roman"/>
                <w:szCs w:val="21"/>
              </w:rPr>
            </w:pPr>
            <w:r>
              <w:rPr>
                <w:rFonts w:hint="eastAsia" w:ascii="Times New Roman" w:eastAsia="宋体" w:cs="Times New Roman"/>
                <w:szCs w:val="21"/>
                <w:lang w:val="en-US" w:eastAsia="zh-CN"/>
              </w:rPr>
              <w:t>沈轶、屈妍、魏玉剑、孟凯、</w:t>
            </w:r>
            <w:r>
              <w:rPr>
                <w:rFonts w:hint="eastAsia" w:ascii="Times New Roman" w:hAnsi="Times New Roman" w:eastAsia="宋体" w:cs="Times New Roman"/>
                <w:color w:val="000000"/>
                <w:szCs w:val="21"/>
                <w:lang w:val="en-US" w:eastAsia="zh-CN"/>
              </w:rPr>
              <w:t>刘司嘉、</w:t>
            </w:r>
            <w:r>
              <w:rPr>
                <w:rFonts w:hint="eastAsia" w:ascii="Times New Roman" w:eastAsia="宋体" w:cs="Times New Roman"/>
                <w:szCs w:val="21"/>
                <w:lang w:val="en-US" w:eastAsia="zh-CN"/>
              </w:rPr>
              <w:t>诸曾慧、申沛等</w:t>
            </w:r>
            <w:r>
              <w:rPr>
                <w:rFonts w:hint="eastAsia" w:ascii="Times New Roman" w:eastAsia="宋体" w:cs="Times New Roman"/>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项目调整情况</w:t>
            </w:r>
          </w:p>
        </w:tc>
        <w:tc>
          <w:tcPr>
            <w:tcW w:w="7683" w:type="dxa"/>
            <w:gridSpan w:val="5"/>
            <w:vAlign w:val="center"/>
          </w:tcPr>
          <w:p>
            <w:pPr>
              <w:jc w:val="left"/>
              <w:rPr>
                <w:rFonts w:ascii="Times New Roman" w:hAnsi="Times New Roman" w:eastAsia="宋体" w:cs="Times New Roman"/>
                <w:szCs w:val="21"/>
              </w:rPr>
            </w:pPr>
            <w:r>
              <w:rPr>
                <w:rFonts w:hint="eastAsia" w:ascii="Times New Roman" w:hAnsi="Times New Roman" w:eastAsia="宋体" w:cs="Times New Roman"/>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背景、目的和意义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背景</w:t>
            </w:r>
          </w:p>
        </w:tc>
        <w:tc>
          <w:tcPr>
            <w:tcW w:w="7683" w:type="dxa"/>
            <w:gridSpan w:val="5"/>
            <w:vAlign w:val="center"/>
          </w:tcPr>
          <w:p>
            <w:pPr>
              <w:ind w:firstLine="420" w:firstLineChars="200"/>
              <w:rPr>
                <w:rFonts w:ascii="Times New Roman" w:hAnsi="Times New Roman" w:eastAsia="宋体" w:cs="Times New Roman"/>
              </w:rPr>
            </w:pPr>
            <w:r>
              <w:rPr>
                <w:rFonts w:hint="eastAsia" w:ascii="Times New Roman" w:hAnsi="Times New Roman" w:eastAsia="宋体" w:cs="Times New Roman"/>
              </w:rPr>
              <w:t>氢能作为未来国家能源体系的重要组成部分，技术创新活跃，是全球产业发展的热点。现阶段制氢路径主要包括化石能源制氢、可再生能源电解水制氢、化工过程副产制氢三种。</w:t>
            </w:r>
            <w:r>
              <w:rPr>
                <w:rFonts w:hint="eastAsia" w:ascii="Times New Roman" w:hAnsi="Times New Roman" w:eastAsia="宋体" w:cs="Times New Roman"/>
                <w:lang w:val="en-US" w:eastAsia="zh-CN"/>
              </w:rPr>
              <w:t>可再生</w:t>
            </w:r>
            <w:r>
              <w:rPr>
                <w:rFonts w:hint="eastAsia" w:ascii="Times New Roman" w:hAnsi="Times New Roman" w:eastAsia="宋体" w:cs="Times New Roman"/>
              </w:rPr>
              <w:t>氢是指通过可再生能源方法制备得到的氢气，具有减少碳排放、提高能源效率和推动可持续发展等诸多优势。随着全球能源转型的持续推进和我国“碳达峰、碳中和”目标的确定，</w:t>
            </w:r>
            <w:r>
              <w:rPr>
                <w:rFonts w:hint="eastAsia" w:ascii="Times New Roman" w:hAnsi="Times New Roman" w:eastAsia="宋体" w:cs="Times New Roman"/>
                <w:lang w:val="en-US" w:eastAsia="zh-CN"/>
              </w:rPr>
              <w:t>可再生</w:t>
            </w:r>
            <w:r>
              <w:rPr>
                <w:rFonts w:hint="eastAsia" w:ascii="Times New Roman" w:hAnsi="Times New Roman" w:eastAsia="宋体" w:cs="Times New Roman"/>
              </w:rPr>
              <w:t>氢产业已成为应对气候变化、建设脱碳社会的重要方向。然而，要实现</w:t>
            </w:r>
            <w:r>
              <w:rPr>
                <w:rFonts w:hint="eastAsia" w:ascii="Times New Roman" w:hAnsi="Times New Roman" w:eastAsia="宋体" w:cs="Times New Roman"/>
                <w:lang w:val="en-US" w:eastAsia="zh-CN"/>
              </w:rPr>
              <w:t>可再生</w:t>
            </w:r>
            <w:r>
              <w:rPr>
                <w:rFonts w:hint="eastAsia" w:ascii="Times New Roman" w:hAnsi="Times New Roman" w:eastAsia="宋体" w:cs="Times New Roman"/>
              </w:rPr>
              <w:t>氢的大规模应用，需要确保其生产和供应链的透明度、可靠性和可追溯性。《</w:t>
            </w:r>
            <w:r>
              <w:rPr>
                <w:rFonts w:hint="eastAsia" w:ascii="Times New Roman" w:hAnsi="Times New Roman" w:eastAsia="宋体" w:cs="Times New Roman"/>
                <w:lang w:val="en-US" w:eastAsia="zh-CN"/>
              </w:rPr>
              <w:t>可再生</w:t>
            </w:r>
            <w:r>
              <w:rPr>
                <w:rFonts w:hint="eastAsia" w:ascii="Times New Roman" w:hAnsi="Times New Roman" w:eastAsia="宋体" w:cs="Times New Roman"/>
              </w:rPr>
              <w:t>氢溯源管理</w:t>
            </w:r>
            <w:r>
              <w:rPr>
                <w:rFonts w:hint="eastAsia" w:ascii="Times New Roman" w:hAnsi="Times New Roman" w:eastAsia="宋体" w:cs="Times New Roman"/>
                <w:lang w:val="en-US" w:eastAsia="zh-CN"/>
              </w:rPr>
              <w:t>指南</w:t>
            </w:r>
            <w:r>
              <w:rPr>
                <w:rFonts w:hint="eastAsia" w:ascii="Times New Roman" w:hAnsi="Times New Roman" w:eastAsia="宋体" w:cs="Times New Roman"/>
              </w:rPr>
              <w:t>》（以下简称《管理</w:t>
            </w:r>
            <w:r>
              <w:rPr>
                <w:rFonts w:hint="eastAsia" w:ascii="Times New Roman" w:hAnsi="Times New Roman" w:eastAsia="宋体" w:cs="Times New Roman"/>
                <w:lang w:val="en-US" w:eastAsia="zh-CN"/>
              </w:rPr>
              <w:t>指南</w:t>
            </w:r>
            <w:r>
              <w:rPr>
                <w:rFonts w:hint="eastAsia" w:ascii="Times New Roman" w:hAnsi="Times New Roman" w:eastAsia="宋体" w:cs="Times New Roman"/>
              </w:rPr>
              <w:t>》）制定的目的主要是建立</w:t>
            </w:r>
            <w:r>
              <w:rPr>
                <w:rFonts w:hint="eastAsia" w:ascii="Times New Roman" w:hAnsi="Times New Roman" w:eastAsia="宋体" w:cs="Times New Roman"/>
                <w:lang w:val="en-US" w:eastAsia="zh-CN"/>
              </w:rPr>
              <w:t>可再生</w:t>
            </w:r>
            <w:r>
              <w:rPr>
                <w:rFonts w:hint="eastAsia" w:ascii="Times New Roman" w:hAnsi="Times New Roman" w:eastAsia="宋体" w:cs="Times New Roman"/>
              </w:rPr>
              <w:t>氢生产管理标准，为今后</w:t>
            </w:r>
            <w:r>
              <w:rPr>
                <w:rFonts w:hint="eastAsia" w:ascii="Times New Roman" w:hAnsi="Times New Roman" w:eastAsia="宋体" w:cs="Times New Roman"/>
                <w:lang w:val="en-US" w:eastAsia="zh-CN"/>
              </w:rPr>
              <w:t>可再生</w:t>
            </w:r>
            <w:r>
              <w:rPr>
                <w:rFonts w:hint="eastAsia" w:ascii="Times New Roman" w:hAnsi="Times New Roman" w:eastAsia="宋体" w:cs="Times New Roman"/>
              </w:rPr>
              <w:t>氢交易建立基础。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目的</w:t>
            </w:r>
          </w:p>
        </w:tc>
        <w:tc>
          <w:tcPr>
            <w:tcW w:w="7683" w:type="dxa"/>
            <w:gridSpan w:val="5"/>
            <w:vAlign w:val="center"/>
          </w:tcPr>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为推动“双碳”目标的实现，助力氢气制取方式向</w:t>
            </w:r>
            <w:r>
              <w:rPr>
                <w:rFonts w:hint="eastAsia" w:ascii="Times New Roman" w:hAnsi="Times New Roman" w:eastAsia="宋体" w:cs="Times New Roman"/>
                <w:color w:val="000000"/>
                <w:szCs w:val="21"/>
                <w:lang w:val="en-US" w:eastAsia="zh-CN"/>
              </w:rPr>
              <w:t>可再生</w:t>
            </w:r>
            <w:r>
              <w:rPr>
                <w:rFonts w:hint="eastAsia" w:ascii="Times New Roman" w:hAnsi="Times New Roman" w:eastAsia="宋体" w:cs="Times New Roman"/>
                <w:color w:val="000000"/>
                <w:szCs w:val="21"/>
              </w:rPr>
              <w:t>氢加速转变，制定</w:t>
            </w:r>
            <w:r>
              <w:rPr>
                <w:rFonts w:hint="eastAsia" w:ascii="Times New Roman" w:hAnsi="Times New Roman" w:eastAsia="宋体" w:cs="Times New Roman"/>
                <w:color w:val="000000"/>
                <w:szCs w:val="21"/>
                <w:lang w:val="en-US" w:eastAsia="zh-CN"/>
              </w:rPr>
              <w:t>可再生</w:t>
            </w:r>
            <w:r>
              <w:rPr>
                <w:rFonts w:hint="eastAsia" w:ascii="Times New Roman" w:hAnsi="Times New Roman" w:eastAsia="宋体" w:cs="Times New Roman"/>
                <w:color w:val="000000"/>
                <w:szCs w:val="21"/>
              </w:rPr>
              <w:t>氢溯源</w:t>
            </w:r>
            <w:r>
              <w:rPr>
                <w:rFonts w:hint="eastAsia" w:ascii="Times New Roman" w:hAnsi="Times New Roman" w:eastAsia="宋体" w:cs="Times New Roman"/>
                <w:color w:val="000000"/>
                <w:szCs w:val="21"/>
                <w:lang w:val="en-US" w:eastAsia="zh-CN"/>
              </w:rPr>
              <w:t>管理</w:t>
            </w:r>
            <w:r>
              <w:rPr>
                <w:rFonts w:hint="eastAsia" w:ascii="Times New Roman" w:hAnsi="Times New Roman" w:eastAsia="宋体" w:cs="Times New Roman"/>
                <w:color w:val="000000"/>
                <w:szCs w:val="21"/>
              </w:rPr>
              <w:t>指南，以保证企业生产的氢气绿色属性是真实的，保证生产和供应链的透明度、可靠性和可追溯性，构建透明高效的交易环境。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32" w:type="dxa"/>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意义</w:t>
            </w:r>
          </w:p>
        </w:tc>
        <w:tc>
          <w:tcPr>
            <w:tcW w:w="7683" w:type="dxa"/>
            <w:gridSpan w:val="5"/>
            <w:vAlign w:val="center"/>
          </w:tcPr>
          <w:p>
            <w:pPr>
              <w:ind w:firstLine="420" w:firstLineChars="200"/>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随着</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产业的快速发展，溯源管理的重要性不断凸显。</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的认证是决定清洁制氢绿色溢价的关键，也是</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参与全球贸易的前提。2020年12月，欧盟委员会提出推进氢气认证，多家机构联合开发可在整个欧洲部署的氢气溯源体系CertifHy，形成了包括制氢厂审核、</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或蓝氢生产批次认证、分销交易认证等在内的覆盖氢全生命周期的溯源机制。《管理</w:t>
            </w:r>
            <w:r>
              <w:rPr>
                <w:rFonts w:hint="eastAsia" w:ascii="Times New Roman" w:hAnsi="Times New Roman" w:eastAsia="宋体" w:cs="Times New Roman"/>
                <w:color w:val="000000"/>
                <w:szCs w:val="21"/>
                <w:lang w:val="en-US" w:eastAsia="zh-CN"/>
              </w:rPr>
              <w:t>指南</w:t>
            </w:r>
            <w:r>
              <w:rPr>
                <w:rFonts w:hint="eastAsia" w:ascii="Times New Roman" w:hAnsi="Times New Roman" w:eastAsia="宋体" w:cs="Times New Roman"/>
                <w:color w:val="000000"/>
                <w:szCs w:val="21"/>
              </w:rPr>
              <w:t>》的制定有利于在国内建立公平透明的市场交易环境。</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的质量、来源和生产过程对于市场交易和消费者信任至关重要。上海联合矿权交易所计划未来在沪成立氢能交易平台，平台旨在为全球制氢企业和购氢企业建立透明高效的交易渠道。通过制定与国际接轨的</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溯源管理指南，可以建立起一套科学、有效的溯源体系，为</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的生产、储存、运输和使用提供可靠的证明和保障，增强</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交易市场的透明度。《管理</w:t>
            </w:r>
            <w:r>
              <w:rPr>
                <w:rFonts w:hint="eastAsia" w:ascii="Times New Roman" w:hAnsi="Times New Roman" w:eastAsia="宋体" w:cs="Times New Roman"/>
                <w:color w:val="000000"/>
                <w:szCs w:val="21"/>
                <w:lang w:val="en-US" w:eastAsia="zh-CN"/>
              </w:rPr>
              <w:t>指南</w:t>
            </w:r>
            <w:r>
              <w:rPr>
                <w:rFonts w:hint="eastAsia" w:ascii="Times New Roman" w:hAnsi="Times New Roman" w:eastAsia="宋体" w:cs="Times New Roman"/>
                <w:color w:val="000000"/>
                <w:szCs w:val="21"/>
              </w:rPr>
              <w:t>》的制定有利于促进</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在全球能源贸易体系中的发展。随着贸易自由化在全球的推进，标准已成为发达国家新贸易保护主义的主要表现形式。发达国家往往利用标准的合法性和隐蔽性，作为新型非关税壁垒的主要手段，达到限制他国产品出口、保护本国产业的目的。</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溯源体系的建立能有效降低绿色贸易壁垒和国际监管竞争对我国产业发展带来的风险。《管理</w:t>
            </w:r>
            <w:r>
              <w:rPr>
                <w:rFonts w:hint="eastAsia" w:ascii="Times New Roman" w:hAnsi="Times New Roman" w:eastAsia="宋体" w:cs="Times New Roman"/>
                <w:color w:val="000000"/>
                <w:szCs w:val="21"/>
                <w:lang w:val="en-US" w:eastAsia="zh-CN"/>
              </w:rPr>
              <w:t>指南</w:t>
            </w:r>
            <w:r>
              <w:rPr>
                <w:rFonts w:hint="eastAsia" w:ascii="Times New Roman" w:hAnsi="Times New Roman" w:eastAsia="宋体" w:cs="Times New Roman"/>
                <w:color w:val="000000"/>
                <w:szCs w:val="21"/>
              </w:rPr>
              <w:t>》的制定有利于加强</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产业的监管，提高行业竞争力。目前，国内</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溯源管理相关标准仍处于空白，由中国氢能联盟发布的T/CAB0078-2020《低碳氢、清洁氢与可再生能源氢的标准与评价》虽然对低碳氢、清洁氢与可再生能源氢给出了定义，但是并未明确</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的认证规则，以及氢气生产过程中温室气体排放量的核算标准等细则。市场需要《</w:t>
            </w:r>
            <w:r>
              <w:rPr>
                <w:rFonts w:hint="eastAsia" w:ascii="Times New Roman" w:hAnsi="Times New Roman" w:eastAsia="宋体" w:cs="Times New Roman"/>
                <w:color w:val="000000"/>
                <w:szCs w:val="21"/>
                <w:lang w:eastAsia="zh-CN"/>
              </w:rPr>
              <w:t>可再生氢</w:t>
            </w:r>
            <w:r>
              <w:rPr>
                <w:rFonts w:hint="eastAsia" w:ascii="Times New Roman" w:hAnsi="Times New Roman" w:eastAsia="宋体" w:cs="Times New Roman"/>
                <w:color w:val="000000"/>
                <w:szCs w:val="21"/>
              </w:rPr>
              <w:t>生产溯源管理</w:t>
            </w:r>
            <w:r>
              <w:rPr>
                <w:rFonts w:hint="eastAsia" w:ascii="Times New Roman" w:hAnsi="Times New Roman" w:eastAsia="宋体" w:cs="Times New Roman"/>
                <w:color w:val="000000"/>
                <w:szCs w:val="21"/>
                <w:lang w:val="en-US" w:eastAsia="zh-CN"/>
              </w:rPr>
              <w:t>指南</w:t>
            </w:r>
            <w:r>
              <w:rPr>
                <w:rFonts w:hint="eastAsia" w:ascii="Times New Roman" w:hAnsi="Times New Roman" w:eastAsia="宋体" w:cs="Times New Roman"/>
                <w:color w:val="000000"/>
                <w:szCs w:val="21"/>
              </w:rPr>
              <w:t>》这一标准建立公平透明的氢能交易环境，同时向国际市场传递碳信用。</w:t>
            </w:r>
            <w:r>
              <w:rPr>
                <w:rFonts w:ascii="Times New Roman" w:hAnsi="Times New Roman" w:eastAsia="宋体" w:cs="Times New Roman"/>
                <w:color w:val="000000"/>
                <w:szCs w:val="21"/>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工作简况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标准主要起草人任务分工</w:t>
            </w:r>
          </w:p>
        </w:tc>
        <w:tc>
          <w:tcPr>
            <w:tcW w:w="7513" w:type="dxa"/>
            <w:gridSpan w:val="4"/>
            <w:vAlign w:val="center"/>
          </w:tcPr>
          <w:p>
            <w:pPr>
              <w:spacing w:before="156" w:beforeLines="50" w:after="156" w:afterLines="50"/>
              <w:ind w:firstLine="420" w:firstLineChars="200"/>
              <w:rPr>
                <w:rFonts w:hint="eastAsia" w:ascii="Times New Roman" w:hAnsi="Times New Roman" w:eastAsia="宋体" w:cs="Times New Roman"/>
                <w:color w:val="000000"/>
                <w:szCs w:val="21"/>
                <w:lang w:eastAsia="zh-CN"/>
              </w:rPr>
            </w:pPr>
            <w:r>
              <w:rPr>
                <w:rFonts w:hint="eastAsia" w:ascii="Times New Roman" w:hAnsi="Times New Roman" w:eastAsia="宋体" w:cs="Times New Roman"/>
                <w:color w:val="000000"/>
                <w:szCs w:val="21"/>
                <w:lang w:val="en-US" w:eastAsia="zh-CN"/>
              </w:rPr>
              <w:t>沈轶、魏玉剑、孟凯</w:t>
            </w:r>
            <w:r>
              <w:rPr>
                <w:rFonts w:hint="eastAsia" w:ascii="Times New Roman" w:hAnsi="Times New Roman" w:eastAsia="宋体" w:cs="Times New Roman"/>
                <w:color w:val="000000"/>
                <w:szCs w:val="21"/>
              </w:rPr>
              <w:t>等负责标准文本方向和内容的把控；</w:t>
            </w:r>
            <w:r>
              <w:rPr>
                <w:rFonts w:hint="eastAsia" w:ascii="Times New Roman" w:hAnsi="Times New Roman" w:eastAsia="宋体" w:cs="Times New Roman"/>
                <w:color w:val="000000"/>
                <w:szCs w:val="21"/>
                <w:lang w:val="en-US" w:eastAsia="zh-CN"/>
              </w:rPr>
              <w:t>屈妍、刘司嘉、诸曾慧、申沛</w:t>
            </w:r>
            <w:r>
              <w:rPr>
                <w:rFonts w:hint="eastAsia" w:ascii="Times New Roman" w:hAnsi="Times New Roman" w:eastAsia="宋体" w:cs="Times New Roman"/>
                <w:color w:val="000000"/>
                <w:szCs w:val="21"/>
              </w:rPr>
              <w:t>等负责标准的立项、起草、修改以及全流程工作的组织和跟进</w:t>
            </w:r>
            <w:r>
              <w:rPr>
                <w:rFonts w:hint="eastAsia" w:ascii="Times New Roman" w:hAnsi="Times New Roman" w:eastAsia="宋体" w:cs="Times New Roman"/>
                <w:color w:val="000000"/>
                <w:szCs w:val="21"/>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主要工作过程</w:t>
            </w:r>
          </w:p>
        </w:tc>
        <w:tc>
          <w:tcPr>
            <w:tcW w:w="7513" w:type="dxa"/>
            <w:gridSpan w:val="4"/>
            <w:vAlign w:val="center"/>
          </w:tcPr>
          <w:p>
            <w:pPr>
              <w:ind w:firstLine="420" w:firstLineChars="200"/>
              <w:rPr>
                <w:rFonts w:ascii="Times New Roman" w:hAnsi="Times New Roman" w:eastAsia="宋体" w:cs="Times New Roman"/>
                <w:kern w:val="0"/>
                <w:szCs w:val="21"/>
                <w:lang w:bidi="zh-CN"/>
              </w:rPr>
            </w:pPr>
            <w:r>
              <w:rPr>
                <w:rFonts w:hint="eastAsia"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3</w:t>
            </w:r>
            <w:r>
              <w:rPr>
                <w:rFonts w:hint="eastAsia" w:ascii="Times New Roman" w:hAnsi="Times New Roman" w:eastAsia="宋体" w:cs="Times New Roman"/>
                <w:kern w:val="0"/>
                <w:szCs w:val="21"/>
                <w:lang w:bidi="zh-CN"/>
              </w:rPr>
              <w:t>年</w:t>
            </w:r>
            <w:r>
              <w:rPr>
                <w:rFonts w:ascii="Times New Roman" w:hAnsi="Times New Roman" w:eastAsia="宋体" w:cs="Times New Roman"/>
                <w:kern w:val="0"/>
                <w:szCs w:val="21"/>
                <w:lang w:bidi="zh-CN"/>
              </w:rPr>
              <w:t>6</w:t>
            </w:r>
            <w:r>
              <w:rPr>
                <w:rFonts w:hint="eastAsia" w:ascii="Times New Roman" w:hAnsi="Times New Roman" w:eastAsia="宋体" w:cs="Times New Roman"/>
                <w:kern w:val="0"/>
                <w:szCs w:val="21"/>
                <w:lang w:bidi="zh-CN"/>
              </w:rPr>
              <w:t>月—</w:t>
            </w:r>
            <w:r>
              <w:rPr>
                <w:rFonts w:ascii="Times New Roman" w:hAnsi="Times New Roman" w:eastAsia="宋体" w:cs="Times New Roman"/>
                <w:kern w:val="0"/>
                <w:szCs w:val="21"/>
                <w:lang w:bidi="zh-CN"/>
              </w:rPr>
              <w:t>12</w:t>
            </w:r>
            <w:r>
              <w:rPr>
                <w:rFonts w:hint="eastAsia" w:ascii="Times New Roman" w:hAnsi="Times New Roman" w:eastAsia="宋体" w:cs="Times New Roman"/>
                <w:kern w:val="0"/>
                <w:szCs w:val="21"/>
                <w:lang w:bidi="zh-CN"/>
              </w:rPr>
              <w:t>月，进行资料和实际调研，选定标准方向和基本内容框架，并编制标准草稿；</w:t>
            </w:r>
          </w:p>
          <w:p>
            <w:pPr>
              <w:ind w:firstLine="420" w:firstLineChars="200"/>
              <w:rPr>
                <w:rFonts w:ascii="Times New Roman" w:hAnsi="Times New Roman" w:eastAsia="宋体" w:cs="Times New Roman"/>
                <w:kern w:val="0"/>
                <w:szCs w:val="21"/>
                <w:lang w:bidi="zh-CN"/>
              </w:rPr>
            </w:pPr>
            <w:r>
              <w:rPr>
                <w:rFonts w:hint="eastAsia"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4</w:t>
            </w:r>
            <w:r>
              <w:rPr>
                <w:rFonts w:hint="eastAsia" w:ascii="Times New Roman" w:hAnsi="Times New Roman" w:eastAsia="宋体" w:cs="Times New Roman"/>
                <w:kern w:val="0"/>
                <w:szCs w:val="21"/>
                <w:lang w:bidi="zh-CN"/>
              </w:rPr>
              <w:t>年</w:t>
            </w:r>
            <w:r>
              <w:rPr>
                <w:rFonts w:ascii="Times New Roman" w:hAnsi="Times New Roman" w:eastAsia="宋体" w:cs="Times New Roman"/>
                <w:kern w:val="0"/>
                <w:szCs w:val="21"/>
                <w:lang w:bidi="zh-CN"/>
              </w:rPr>
              <w:t>1</w:t>
            </w:r>
            <w:r>
              <w:rPr>
                <w:rFonts w:hint="eastAsia" w:ascii="Times New Roman" w:hAnsi="Times New Roman" w:eastAsia="宋体" w:cs="Times New Roman"/>
                <w:kern w:val="0"/>
                <w:szCs w:val="21"/>
                <w:lang w:bidi="zh-CN"/>
              </w:rPr>
              <w:t>月，提出立项申请；</w:t>
            </w:r>
          </w:p>
          <w:p>
            <w:pPr>
              <w:ind w:firstLine="420" w:firstLineChars="200"/>
              <w:rPr>
                <w:rFonts w:ascii="Times New Roman" w:hAnsi="Times New Roman" w:eastAsia="宋体" w:cs="Times New Roman"/>
                <w:kern w:val="0"/>
                <w:szCs w:val="21"/>
                <w:lang w:val="zh-CN" w:bidi="zh-CN"/>
              </w:rPr>
            </w:pPr>
            <w:r>
              <w:rPr>
                <w:rFonts w:ascii="Times New Roman" w:hAnsi="Times New Roman" w:eastAsia="宋体" w:cs="Times New Roman"/>
                <w:kern w:val="0"/>
                <w:szCs w:val="21"/>
                <w:lang w:val="zh-CN" w:bidi="zh-CN"/>
              </w:rPr>
              <w:t>202</w:t>
            </w:r>
            <w:r>
              <w:rPr>
                <w:rFonts w:hint="eastAsia" w:ascii="Times New Roman" w:hAnsi="Times New Roman" w:eastAsia="宋体" w:cs="Times New Roman"/>
                <w:kern w:val="0"/>
                <w:szCs w:val="21"/>
                <w:lang w:val="en-US" w:bidi="zh-CN"/>
              </w:rPr>
              <w:t>4</w:t>
            </w:r>
            <w:r>
              <w:rPr>
                <w:rFonts w:ascii="Times New Roman" w:hAnsi="Times New Roman" w:eastAsia="宋体" w:cs="Times New Roman"/>
                <w:kern w:val="0"/>
                <w:szCs w:val="21"/>
                <w:lang w:val="zh-CN" w:bidi="zh-CN"/>
              </w:rPr>
              <w:t>年</w:t>
            </w:r>
            <w:r>
              <w:rPr>
                <w:rFonts w:ascii="Times New Roman" w:hAnsi="Times New Roman" w:eastAsia="宋体" w:cs="Times New Roman"/>
                <w:kern w:val="0"/>
                <w:szCs w:val="21"/>
                <w:lang w:bidi="zh-CN"/>
              </w:rPr>
              <w:t>3</w:t>
            </w:r>
            <w:r>
              <w:rPr>
                <w:rFonts w:ascii="Times New Roman" w:hAnsi="Times New Roman" w:eastAsia="宋体" w:cs="Times New Roman"/>
                <w:kern w:val="0"/>
                <w:szCs w:val="21"/>
                <w:lang w:val="zh-CN" w:bidi="zh-CN"/>
              </w:rPr>
              <w:t>月，</w:t>
            </w:r>
            <w:r>
              <w:rPr>
                <w:rFonts w:hint="eastAsia" w:ascii="Times New Roman" w:hAnsi="Times New Roman" w:eastAsia="宋体" w:cs="Times New Roman"/>
                <w:kern w:val="0"/>
                <w:szCs w:val="21"/>
                <w:lang w:val="zh-CN" w:bidi="zh-CN"/>
              </w:rPr>
              <w:t>本标准项目通过立项；</w:t>
            </w:r>
          </w:p>
          <w:p>
            <w:pPr>
              <w:ind w:firstLine="420" w:firstLineChars="200"/>
              <w:rPr>
                <w:rFonts w:ascii="Times New Roman" w:hAnsi="Times New Roman" w:eastAsia="宋体" w:cs="Times New Roman"/>
                <w:kern w:val="0"/>
                <w:szCs w:val="21"/>
                <w:lang w:bidi="zh-CN"/>
              </w:rPr>
            </w:pPr>
            <w:r>
              <w:rPr>
                <w:rFonts w:hint="eastAsia"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4</w:t>
            </w:r>
            <w:r>
              <w:rPr>
                <w:rFonts w:hint="eastAsia" w:ascii="Times New Roman" w:hAnsi="Times New Roman" w:eastAsia="宋体" w:cs="Times New Roman"/>
                <w:kern w:val="0"/>
                <w:szCs w:val="21"/>
                <w:lang w:bidi="zh-CN"/>
              </w:rPr>
              <w:t>年</w:t>
            </w:r>
            <w:r>
              <w:rPr>
                <w:rFonts w:ascii="Times New Roman" w:hAnsi="Times New Roman" w:eastAsia="宋体" w:cs="Times New Roman"/>
                <w:kern w:val="0"/>
                <w:szCs w:val="21"/>
                <w:lang w:bidi="zh-CN"/>
              </w:rPr>
              <w:t>3</w:t>
            </w:r>
            <w:r>
              <w:rPr>
                <w:rFonts w:hint="eastAsia" w:ascii="Times New Roman" w:hAnsi="Times New Roman" w:eastAsia="宋体" w:cs="Times New Roman"/>
                <w:kern w:val="0"/>
                <w:szCs w:val="21"/>
                <w:lang w:bidi="zh-CN"/>
              </w:rPr>
              <w:t>月—</w:t>
            </w:r>
            <w:r>
              <w:rPr>
                <w:rFonts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4</w:t>
            </w:r>
            <w:r>
              <w:rPr>
                <w:rFonts w:hint="eastAsia" w:ascii="Times New Roman" w:hAnsi="Times New Roman" w:eastAsia="宋体" w:cs="Times New Roman"/>
                <w:kern w:val="0"/>
                <w:szCs w:val="21"/>
                <w:lang w:bidi="zh-CN"/>
              </w:rPr>
              <w:t>年</w:t>
            </w:r>
            <w:r>
              <w:rPr>
                <w:rFonts w:ascii="Times New Roman" w:hAnsi="Times New Roman" w:eastAsia="宋体" w:cs="Times New Roman"/>
                <w:kern w:val="0"/>
                <w:szCs w:val="21"/>
                <w:lang w:bidi="zh-CN"/>
              </w:rPr>
              <w:t>6</w:t>
            </w:r>
            <w:r>
              <w:rPr>
                <w:rFonts w:hint="eastAsia" w:ascii="Times New Roman" w:hAnsi="Times New Roman" w:eastAsia="宋体" w:cs="Times New Roman"/>
                <w:kern w:val="0"/>
                <w:szCs w:val="21"/>
                <w:lang w:bidi="zh-CN"/>
              </w:rPr>
              <w:t>月，组织编制组，并组织专家对草稿框架和内容进行完善；</w:t>
            </w:r>
          </w:p>
          <w:p>
            <w:pPr>
              <w:ind w:firstLine="420" w:firstLineChars="200"/>
              <w:rPr>
                <w:rFonts w:ascii="Times New Roman" w:hAnsi="Times New Roman" w:eastAsia="宋体" w:cs="Times New Roman"/>
                <w:kern w:val="0"/>
                <w:szCs w:val="21"/>
                <w:lang w:val="zh-CN" w:bidi="zh-CN"/>
              </w:rPr>
            </w:pPr>
            <w:r>
              <w:rPr>
                <w:rFonts w:ascii="Times New Roman" w:hAnsi="Times New Roman" w:eastAsia="宋体" w:cs="Times New Roman"/>
                <w:kern w:val="0"/>
                <w:szCs w:val="21"/>
                <w:lang w:val="zh-CN" w:bidi="zh-CN"/>
              </w:rPr>
              <w:t>202</w:t>
            </w:r>
            <w:r>
              <w:rPr>
                <w:rFonts w:hint="eastAsia" w:ascii="Times New Roman" w:hAnsi="Times New Roman" w:eastAsia="宋体" w:cs="Times New Roman"/>
                <w:kern w:val="0"/>
                <w:szCs w:val="21"/>
                <w:lang w:val="en-US" w:bidi="zh-CN"/>
              </w:rPr>
              <w:t>4</w:t>
            </w:r>
            <w:r>
              <w:rPr>
                <w:rFonts w:ascii="Times New Roman" w:hAnsi="Times New Roman" w:eastAsia="宋体" w:cs="Times New Roman"/>
                <w:kern w:val="0"/>
                <w:szCs w:val="21"/>
                <w:lang w:val="zh-CN" w:bidi="zh-CN"/>
              </w:rPr>
              <w:t>年</w:t>
            </w:r>
            <w:r>
              <w:rPr>
                <w:rFonts w:ascii="Times New Roman" w:hAnsi="Times New Roman" w:eastAsia="宋体" w:cs="Times New Roman"/>
                <w:kern w:val="0"/>
                <w:szCs w:val="21"/>
                <w:lang w:bidi="zh-CN"/>
              </w:rPr>
              <w:t>6</w:t>
            </w:r>
            <w:r>
              <w:rPr>
                <w:rFonts w:ascii="Times New Roman" w:hAnsi="Times New Roman" w:eastAsia="宋体" w:cs="Times New Roman"/>
                <w:kern w:val="0"/>
                <w:szCs w:val="21"/>
                <w:lang w:val="zh-CN" w:bidi="zh-CN"/>
              </w:rPr>
              <w:t>月</w:t>
            </w:r>
            <w:r>
              <w:rPr>
                <w:rFonts w:hint="eastAsia" w:ascii="Times New Roman" w:hAnsi="Times New Roman" w:eastAsia="宋体" w:cs="Times New Roman"/>
                <w:kern w:val="0"/>
                <w:szCs w:val="21"/>
                <w:lang w:val="zh-CN" w:bidi="zh-CN"/>
              </w:rPr>
              <w:t>，</w:t>
            </w:r>
            <w:r>
              <w:rPr>
                <w:rFonts w:ascii="Times New Roman" w:hAnsi="Times New Roman" w:eastAsia="宋体" w:cs="Times New Roman"/>
                <w:kern w:val="0"/>
                <w:szCs w:val="21"/>
                <w:lang w:val="zh-CN" w:bidi="zh-CN"/>
              </w:rPr>
              <w:t>标准编制组组织召开了标准</w:t>
            </w:r>
            <w:r>
              <w:rPr>
                <w:rFonts w:hint="eastAsia" w:ascii="Times New Roman" w:hAnsi="Times New Roman" w:eastAsia="宋体" w:cs="Times New Roman"/>
                <w:kern w:val="0"/>
                <w:szCs w:val="21"/>
                <w:lang w:val="zh-CN" w:bidi="zh-CN"/>
              </w:rPr>
              <w:t>编制</w:t>
            </w:r>
            <w:r>
              <w:rPr>
                <w:rFonts w:ascii="Times New Roman" w:hAnsi="Times New Roman" w:eastAsia="宋体" w:cs="Times New Roman"/>
                <w:kern w:val="0"/>
                <w:szCs w:val="21"/>
                <w:lang w:val="zh-CN" w:bidi="zh-CN"/>
              </w:rPr>
              <w:t>启动会</w:t>
            </w:r>
            <w:r>
              <w:rPr>
                <w:rFonts w:hint="eastAsia" w:ascii="Times New Roman" w:hAnsi="Times New Roman" w:eastAsia="宋体" w:cs="Times New Roman"/>
                <w:kern w:val="0"/>
                <w:szCs w:val="21"/>
                <w:lang w:val="zh-CN" w:bidi="zh-CN"/>
              </w:rPr>
              <w:t>；</w:t>
            </w:r>
          </w:p>
          <w:p>
            <w:pPr>
              <w:ind w:firstLine="420" w:firstLineChars="200"/>
              <w:rPr>
                <w:rFonts w:ascii="Times New Roman" w:hAnsi="Times New Roman" w:eastAsia="宋体" w:cs="Times New Roman"/>
                <w:kern w:val="0"/>
                <w:szCs w:val="21"/>
                <w:lang w:bidi="zh-CN"/>
              </w:rPr>
            </w:pPr>
            <w:r>
              <w:rPr>
                <w:rFonts w:hint="eastAsia"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4</w:t>
            </w:r>
            <w:r>
              <w:rPr>
                <w:rFonts w:hint="eastAsia" w:ascii="Times New Roman" w:hAnsi="Times New Roman" w:eastAsia="宋体" w:cs="Times New Roman"/>
                <w:kern w:val="0"/>
                <w:szCs w:val="21"/>
                <w:lang w:bidi="zh-CN"/>
              </w:rPr>
              <w:t>年</w:t>
            </w:r>
            <w:r>
              <w:rPr>
                <w:rFonts w:ascii="Times New Roman" w:hAnsi="Times New Roman" w:eastAsia="宋体" w:cs="Times New Roman"/>
                <w:kern w:val="0"/>
                <w:szCs w:val="21"/>
                <w:lang w:bidi="zh-CN"/>
              </w:rPr>
              <w:t>6</w:t>
            </w:r>
            <w:r>
              <w:rPr>
                <w:rFonts w:hint="eastAsia" w:ascii="Times New Roman" w:hAnsi="Times New Roman" w:eastAsia="宋体" w:cs="Times New Roman"/>
                <w:kern w:val="0"/>
                <w:szCs w:val="21"/>
                <w:lang w:bidi="zh-CN"/>
              </w:rPr>
              <w:t>月—</w:t>
            </w:r>
            <w:r>
              <w:rPr>
                <w:rFonts w:ascii="Times New Roman" w:hAnsi="Times New Roman" w:eastAsia="宋体" w:cs="Times New Roman"/>
                <w:kern w:val="0"/>
                <w:szCs w:val="21"/>
                <w:lang w:bidi="zh-CN"/>
              </w:rPr>
              <w:t>7</w:t>
            </w:r>
            <w:r>
              <w:rPr>
                <w:rFonts w:hint="eastAsia" w:ascii="Times New Roman" w:hAnsi="Times New Roman" w:eastAsia="宋体" w:cs="Times New Roman"/>
                <w:kern w:val="0"/>
                <w:szCs w:val="21"/>
                <w:lang w:bidi="zh-CN"/>
              </w:rPr>
              <w:t>月，编制组定向征求参编单位意见，并组织了多次专家讨论会，就反馈意见补充完善标准文本。</w:t>
            </w:r>
          </w:p>
          <w:p>
            <w:pPr>
              <w:ind w:firstLine="420" w:firstLineChars="200"/>
              <w:rPr>
                <w:rFonts w:ascii="Times New Roman" w:hAnsi="Times New Roman" w:eastAsia="宋体" w:cs="Times New Roman"/>
                <w:kern w:val="0"/>
                <w:szCs w:val="21"/>
                <w:lang w:bidi="zh-CN"/>
              </w:rPr>
            </w:pPr>
            <w:r>
              <w:rPr>
                <w:rFonts w:ascii="Times New Roman" w:hAnsi="Times New Roman" w:eastAsia="宋体" w:cs="Times New Roman"/>
                <w:kern w:val="0"/>
                <w:szCs w:val="21"/>
                <w:lang w:bidi="zh-CN"/>
              </w:rPr>
              <w:t>202</w:t>
            </w:r>
            <w:r>
              <w:rPr>
                <w:rFonts w:hint="eastAsia" w:ascii="Times New Roman" w:hAnsi="Times New Roman" w:eastAsia="宋体" w:cs="Times New Roman"/>
                <w:kern w:val="0"/>
                <w:szCs w:val="21"/>
                <w:lang w:val="en-US" w:bidi="zh-CN"/>
              </w:rPr>
              <w:t>4</w:t>
            </w:r>
            <w:r>
              <w:rPr>
                <w:rFonts w:hint="eastAsia" w:ascii="Times New Roman" w:hAnsi="Times New Roman" w:eastAsia="宋体" w:cs="Times New Roman"/>
                <w:kern w:val="0"/>
                <w:szCs w:val="21"/>
                <w:lang w:bidi="zh-CN"/>
              </w:rPr>
              <w:t>年</w:t>
            </w:r>
            <w:r>
              <w:rPr>
                <w:rFonts w:ascii="Times New Roman" w:hAnsi="Times New Roman" w:eastAsia="宋体" w:cs="Times New Roman"/>
                <w:kern w:val="0"/>
                <w:szCs w:val="21"/>
                <w:lang w:bidi="zh-CN"/>
              </w:rPr>
              <w:t>8</w:t>
            </w:r>
            <w:r>
              <w:rPr>
                <w:rFonts w:hint="eastAsia" w:ascii="Times New Roman" w:hAnsi="Times New Roman" w:eastAsia="宋体" w:cs="Times New Roman"/>
                <w:kern w:val="0"/>
                <w:szCs w:val="21"/>
                <w:lang w:bidi="zh-CN"/>
              </w:rPr>
              <w:t>月</w:t>
            </w:r>
            <w:r>
              <w:rPr>
                <w:rFonts w:ascii="Times New Roman" w:hAnsi="Times New Roman" w:eastAsia="宋体" w:cs="Times New Roman"/>
                <w:kern w:val="0"/>
                <w:szCs w:val="21"/>
                <w:lang w:bidi="zh-CN"/>
              </w:rPr>
              <w:t>-11</w:t>
            </w:r>
            <w:r>
              <w:rPr>
                <w:rFonts w:hint="eastAsia" w:ascii="Times New Roman" w:hAnsi="Times New Roman" w:eastAsia="宋体" w:cs="Times New Roman"/>
                <w:kern w:val="0"/>
                <w:szCs w:val="21"/>
                <w:lang w:bidi="zh-CN"/>
              </w:rPr>
              <w:t>月，经过</w:t>
            </w:r>
            <w:r>
              <w:rPr>
                <w:rFonts w:ascii="Times New Roman" w:hAnsi="Times New Roman" w:eastAsia="宋体" w:cs="Times New Roman"/>
                <w:kern w:val="0"/>
                <w:szCs w:val="21"/>
                <w:lang w:bidi="zh-CN"/>
              </w:rPr>
              <w:t>多次讨论，完成标准</w:t>
            </w:r>
            <w:r>
              <w:rPr>
                <w:rFonts w:hint="eastAsia" w:ascii="Times New Roman" w:hAnsi="Times New Roman" w:eastAsia="宋体" w:cs="Times New Roman"/>
                <w:kern w:val="0"/>
                <w:szCs w:val="21"/>
                <w:lang w:bidi="zh-CN"/>
              </w:rPr>
              <w:t>征求</w:t>
            </w:r>
            <w:r>
              <w:rPr>
                <w:rFonts w:ascii="Times New Roman" w:hAnsi="Times New Roman" w:eastAsia="宋体" w:cs="Times New Roman"/>
                <w:kern w:val="0"/>
                <w:szCs w:val="21"/>
                <w:lang w:bidi="zh-CN"/>
              </w:rPr>
              <w:t>意见稿。</w:t>
            </w:r>
          </w:p>
          <w:p>
            <w:pPr>
              <w:ind w:firstLine="420" w:firstLineChars="200"/>
              <w:rPr>
                <w:rFonts w:ascii="Times New Roman" w:hAnsi="Times New Roman" w:eastAsia="宋体" w:cs="Times New Roman"/>
                <w:color w:val="000000"/>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标准编制原则和确定标准主要内容的论据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标准编制原则</w:t>
            </w:r>
          </w:p>
        </w:tc>
        <w:tc>
          <w:tcPr>
            <w:tcW w:w="7513" w:type="dxa"/>
            <w:gridSpan w:val="4"/>
            <w:vAlign w:val="center"/>
          </w:tcPr>
          <w:p>
            <w:pPr>
              <w:pStyle w:val="7"/>
              <w:numPr>
                <w:ilvl w:val="0"/>
                <w:numId w:val="1"/>
              </w:numPr>
              <w:spacing w:before="156" w:beforeLines="50" w:after="156" w:afterLines="50"/>
              <w:ind w:left="357" w:hanging="357" w:firstLineChars="0"/>
              <w:rPr>
                <w:rFonts w:ascii="Times New Roman" w:hAnsi="Times New Roman" w:eastAsia="宋体" w:cs="Times New Roman"/>
                <w:szCs w:val="21"/>
              </w:rPr>
            </w:pPr>
            <w:r>
              <w:rPr>
                <w:rFonts w:ascii="Times New Roman" w:hAnsi="Times New Roman" w:eastAsia="宋体" w:cs="Times New Roman"/>
                <w:szCs w:val="21"/>
              </w:rPr>
              <w:t>与政策衔接</w:t>
            </w:r>
          </w:p>
          <w:p>
            <w:pPr>
              <w:pStyle w:val="8"/>
              <w:ind w:firstLine="420"/>
              <w:rPr>
                <w:rFonts w:ascii="Times New Roman"/>
              </w:rPr>
            </w:pPr>
            <w:r>
              <w:rPr>
                <w:rFonts w:hint="eastAsia" w:ascii="Times New Roman"/>
              </w:rPr>
              <w:t>本标准引用</w:t>
            </w:r>
            <w:r>
              <w:rPr>
                <w:rFonts w:ascii="Times New Roman"/>
              </w:rPr>
              <w:t>了</w:t>
            </w:r>
            <w:r>
              <w:rPr>
                <w:rFonts w:hint="eastAsia" w:ascii="Times New Roman"/>
              </w:rPr>
              <w:t>GB/T 24044</w:t>
            </w:r>
            <w:r>
              <w:rPr>
                <w:rFonts w:hint="eastAsia" w:ascii="Times New Roman"/>
                <w:lang w:eastAsia="zh-CN"/>
              </w:rPr>
              <w:t>《</w:t>
            </w:r>
            <w:r>
              <w:rPr>
                <w:rFonts w:hint="eastAsia" w:ascii="Times New Roman"/>
              </w:rPr>
              <w:t>环境管理 生命周期评价 要求与指南</w:t>
            </w:r>
            <w:r>
              <w:rPr>
                <w:rFonts w:hint="eastAsia" w:ascii="Times New Roman"/>
                <w:lang w:eastAsia="zh-CN"/>
              </w:rPr>
              <w:t>》</w:t>
            </w:r>
            <w:r>
              <w:rPr>
                <w:rFonts w:hint="eastAsia" w:ascii="Times New Roman"/>
              </w:rPr>
              <w:t>、GB 50177-2005</w:t>
            </w:r>
            <w:r>
              <w:rPr>
                <w:rFonts w:hint="eastAsia" w:ascii="Times New Roman"/>
                <w:lang w:eastAsia="zh-CN"/>
              </w:rPr>
              <w:t>《</w:t>
            </w:r>
            <w:r>
              <w:rPr>
                <w:rFonts w:hint="eastAsia" w:ascii="Times New Roman"/>
              </w:rPr>
              <w:t>氢气站设计规范</w:t>
            </w:r>
            <w:r>
              <w:rPr>
                <w:rFonts w:hint="eastAsia" w:ascii="Times New Roman"/>
                <w:lang w:eastAsia="zh-CN"/>
              </w:rPr>
              <w:t>》</w:t>
            </w:r>
            <w:r>
              <w:rPr>
                <w:rFonts w:hint="eastAsia" w:ascii="Times New Roman"/>
              </w:rPr>
              <w:t>等标准，</w:t>
            </w:r>
            <w:r>
              <w:rPr>
                <w:rFonts w:ascii="Times New Roman"/>
              </w:rPr>
              <w:t>与现行相关法律、法规及标准具有很好的协调一致性，可操作性强。</w:t>
            </w:r>
            <w:r>
              <w:rPr>
                <w:rFonts w:hint="eastAsia" w:ascii="Times New Roman"/>
              </w:rPr>
              <w:t>本标</w:t>
            </w:r>
            <w:r>
              <w:rPr>
                <w:rFonts w:ascii="Times New Roman"/>
              </w:rPr>
              <w:t>准制定前，标准编制组对现行法律法规、标准、导则进行了系统的梳理和整合，在此基础上制定了本标准。</w:t>
            </w:r>
          </w:p>
          <w:p>
            <w:pPr>
              <w:pStyle w:val="7"/>
              <w:numPr>
                <w:ilvl w:val="0"/>
                <w:numId w:val="1"/>
              </w:numPr>
              <w:spacing w:before="156" w:beforeLines="50" w:after="156" w:afterLines="50"/>
              <w:ind w:left="357" w:hanging="357" w:firstLineChars="0"/>
              <w:rPr>
                <w:rFonts w:ascii="Times New Roman" w:hAnsi="Times New Roman" w:eastAsia="宋体" w:cs="Times New Roman"/>
                <w:color w:val="000000"/>
                <w:szCs w:val="21"/>
              </w:rPr>
            </w:pPr>
            <w:r>
              <w:rPr>
                <w:rFonts w:ascii="Times New Roman" w:hAnsi="Times New Roman" w:eastAsia="宋体" w:cs="Times New Roman"/>
                <w:color w:val="000000"/>
                <w:szCs w:val="21"/>
              </w:rPr>
              <w:t>结构合理</w:t>
            </w:r>
          </w:p>
          <w:p>
            <w:pPr>
              <w:ind w:firstLine="480"/>
              <w:rPr>
                <w:rFonts w:ascii="Times New Roman" w:hAnsi="Times New Roman" w:eastAsia="宋体" w:cs="Times New Roman"/>
                <w:lang w:bidi="zh-CN"/>
              </w:rPr>
            </w:pPr>
            <w:r>
              <w:rPr>
                <w:rFonts w:ascii="Times New Roman" w:hAnsi="Times New Roman" w:eastAsia="宋体" w:cs="Times New Roman"/>
                <w:lang w:bidi="zh-CN"/>
              </w:rPr>
              <w:t>本文件严格按照GB/T1.1</w:t>
            </w:r>
            <w:r>
              <w:rPr>
                <w:rFonts w:hint="eastAsia" w:ascii="Times New Roman" w:hAnsi="Times New Roman" w:eastAsia="宋体" w:cs="Times New Roman"/>
                <w:kern w:val="0"/>
                <w:szCs w:val="21"/>
                <w:lang w:bidi="zh-CN"/>
              </w:rPr>
              <w:t>—</w:t>
            </w:r>
            <w:r>
              <w:rPr>
                <w:rFonts w:ascii="Times New Roman" w:hAnsi="Times New Roman" w:eastAsia="宋体" w:cs="Times New Roman"/>
                <w:lang w:bidi="zh-CN"/>
              </w:rPr>
              <w:t>2020《标准化工作导则  第1部分：标准化文件的结构和起草规则》的规定进行编写和表述</w:t>
            </w:r>
            <w:r>
              <w:rPr>
                <w:rFonts w:hint="eastAsia" w:ascii="Times New Roman" w:hAnsi="Times New Roman" w:eastAsia="宋体" w:cs="Times New Roman"/>
                <w:lang w:bidi="zh-CN"/>
              </w:rPr>
              <w:t>，确保标准</w:t>
            </w:r>
            <w:r>
              <w:rPr>
                <w:rFonts w:ascii="Times New Roman" w:hAnsi="Times New Roman" w:eastAsia="宋体" w:cs="Times New Roman"/>
                <w:lang w:bidi="zh-CN"/>
              </w:rPr>
              <w:t>“统一性、协调性、适用性、一致性、规范性”</w:t>
            </w:r>
            <w:r>
              <w:rPr>
                <w:rFonts w:hint="eastAsia" w:ascii="Times New Roman" w:hAnsi="Times New Roman" w:eastAsia="宋体" w:cs="Times New Roman"/>
                <w:lang w:bidi="zh-CN"/>
              </w:rPr>
              <w:t>。</w:t>
            </w:r>
          </w:p>
          <w:p>
            <w:pPr>
              <w:pStyle w:val="7"/>
              <w:numPr>
                <w:ilvl w:val="0"/>
                <w:numId w:val="1"/>
              </w:numPr>
              <w:spacing w:before="156" w:beforeLines="50" w:after="156" w:afterLines="50"/>
              <w:ind w:left="357" w:hanging="357" w:firstLineChars="0"/>
              <w:rPr>
                <w:rFonts w:ascii="Times New Roman" w:hAnsi="Times New Roman" w:eastAsia="宋体" w:cs="Times New Roman"/>
                <w:color w:val="000000"/>
                <w:szCs w:val="21"/>
              </w:rPr>
            </w:pPr>
            <w:r>
              <w:rPr>
                <w:rFonts w:ascii="Times New Roman" w:hAnsi="Times New Roman" w:eastAsia="宋体" w:cs="Times New Roman"/>
                <w:color w:val="000000"/>
                <w:szCs w:val="21"/>
              </w:rPr>
              <w:t>具有可操作性</w:t>
            </w:r>
          </w:p>
          <w:p>
            <w:pPr>
              <w:spacing w:after="156" w:afterLines="50"/>
              <w:ind w:firstLine="420" w:firstLineChars="200"/>
              <w:rPr>
                <w:rFonts w:ascii="Times New Roman" w:hAnsi="Times New Roman" w:eastAsia="宋体" w:cs="Times New Roman"/>
              </w:rPr>
            </w:pPr>
            <w:r>
              <w:rPr>
                <w:rFonts w:ascii="Times New Roman" w:hAnsi="Times New Roman" w:eastAsia="宋体" w:cs="Times New Roman"/>
              </w:rPr>
              <w:t>本标准</w:t>
            </w:r>
            <w:r>
              <w:rPr>
                <w:rFonts w:hint="eastAsia" w:ascii="Times New Roman" w:hAnsi="Times New Roman" w:eastAsia="宋体" w:cs="Times New Roman"/>
              </w:rPr>
              <w:t>对</w:t>
            </w:r>
            <w:r>
              <w:rPr>
                <w:rFonts w:hint="eastAsia" w:ascii="Times New Roman" w:hAnsi="Times New Roman" w:eastAsia="宋体" w:cs="Times New Roman"/>
                <w:lang w:val="en-US" w:eastAsia="zh-CN"/>
              </w:rPr>
              <w:t>可再生氢的电力来源要求、产品碳足迹溯源原则、制氢企业管理要求</w:t>
            </w:r>
            <w:r>
              <w:rPr>
                <w:rFonts w:ascii="Times New Roman" w:hAnsi="Times New Roman" w:eastAsia="宋体" w:cs="Times New Roman"/>
              </w:rPr>
              <w:t>内容进行说明，</w:t>
            </w:r>
            <w:r>
              <w:rPr>
                <w:rFonts w:hint="eastAsia" w:ascii="Times New Roman" w:hAnsi="Times New Roman" w:eastAsia="宋体" w:cs="Times New Roman"/>
              </w:rPr>
              <w:t>提供</w:t>
            </w:r>
            <w:r>
              <w:rPr>
                <w:rFonts w:ascii="Times New Roman" w:hAnsi="Times New Roman" w:eastAsia="宋体" w:cs="Times New Roman"/>
              </w:rPr>
              <w:t>了</w:t>
            </w:r>
            <w:r>
              <w:rPr>
                <w:rFonts w:hint="eastAsia" w:ascii="Times New Roman" w:hAnsi="Times New Roman" w:eastAsia="宋体" w:cs="Times New Roman"/>
                <w:lang w:val="en-US" w:eastAsia="zh-CN"/>
              </w:rPr>
              <w:t>多维度对可再生氢溯源的</w:t>
            </w:r>
            <w:r>
              <w:rPr>
                <w:rFonts w:ascii="Times New Roman" w:hAnsi="Times New Roman" w:eastAsia="宋体" w:cs="Times New Roman"/>
              </w:rPr>
              <w:t>的建议，</w:t>
            </w:r>
            <w:r>
              <w:rPr>
                <w:rFonts w:hint="eastAsia" w:ascii="Times New Roman" w:hAnsi="Times New Roman" w:eastAsia="宋体" w:cs="Times New Roman"/>
              </w:rPr>
              <w:t>内容详实</w:t>
            </w:r>
            <w:r>
              <w:rPr>
                <w:rFonts w:ascii="Times New Roman" w:hAnsi="Times New Roman" w:eastAsia="宋体" w:cs="Times New Roman"/>
              </w:rPr>
              <w:t>，可操作性强。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确定标准主要内容的论据</w:t>
            </w:r>
          </w:p>
        </w:tc>
        <w:tc>
          <w:tcPr>
            <w:tcW w:w="7513" w:type="dxa"/>
            <w:gridSpan w:val="4"/>
            <w:vAlign w:val="center"/>
          </w:tcPr>
          <w:p>
            <w:pPr>
              <w:pStyle w:val="7"/>
              <w:numPr>
                <w:ilvl w:val="0"/>
                <w:numId w:val="2"/>
              </w:numPr>
              <w:spacing w:before="156" w:beforeLines="50" w:after="156" w:afterLines="50"/>
              <w:ind w:firstLineChars="0"/>
              <w:rPr>
                <w:rFonts w:ascii="Times New Roman" w:hAnsi="Times New Roman" w:eastAsia="宋体" w:cs="Times New Roman"/>
              </w:rPr>
            </w:pPr>
            <w:bookmarkStart w:id="0" w:name="_Hlk106641444"/>
            <w:r>
              <w:rPr>
                <w:rFonts w:ascii="Times New Roman" w:hAnsi="Times New Roman" w:eastAsia="宋体" w:cs="Times New Roman"/>
              </w:rPr>
              <w:t>范围</w:t>
            </w:r>
          </w:p>
          <w:p>
            <w:pPr>
              <w:ind w:firstLine="420" w:firstLineChars="200"/>
              <w:rPr>
                <w:rFonts w:hint="default" w:ascii="Times New Roman" w:hAnsi="Times New Roman" w:cs="Times New Roman"/>
              </w:rPr>
            </w:pPr>
            <w:r>
              <w:rPr>
                <w:rFonts w:hint="default" w:ascii="Times New Roman" w:hAnsi="Times New Roman" w:cs="Times New Roman"/>
              </w:rPr>
              <w:t>本文件给出了可再生氢的溯源规则、产品碳足迹的计算</w:t>
            </w:r>
            <w:r>
              <w:rPr>
                <w:rFonts w:hint="default" w:ascii="Times New Roman" w:hAnsi="Times New Roman" w:cs="Times New Roman"/>
                <w:lang w:val="en-US" w:eastAsia="zh-CN"/>
              </w:rPr>
              <w:t>方法</w:t>
            </w:r>
            <w:r>
              <w:rPr>
                <w:rFonts w:hint="eastAsia" w:cs="Times New Roman"/>
                <w:lang w:val="en-US" w:eastAsia="zh-CN"/>
              </w:rPr>
              <w:t>，并针对从事可再生氢生产的企业提出了具体的管理要求及环境影响评估准则</w:t>
            </w:r>
            <w:r>
              <w:rPr>
                <w:rFonts w:hint="default" w:ascii="Times New Roman" w:hAnsi="Times New Roman" w:cs="Times New Roman"/>
              </w:rPr>
              <w:t>。</w:t>
            </w:r>
          </w:p>
          <w:p>
            <w:pPr>
              <w:ind w:firstLine="420" w:firstLineChars="200"/>
              <w:rPr>
                <w:rFonts w:hint="default" w:ascii="Times New Roman" w:hAnsi="Times New Roman" w:cs="Times New Roman"/>
              </w:rPr>
            </w:pPr>
            <w:r>
              <w:rPr>
                <w:rFonts w:hint="default" w:ascii="Times New Roman" w:hAnsi="Times New Roman" w:cs="Times New Roman"/>
              </w:rPr>
              <w:t>本文件适用于氢交易市场中可再生氢绿色属性的确认与验证，也适用于可再生氢的产品碳足迹评价。</w:t>
            </w:r>
          </w:p>
          <w:p>
            <w:pPr>
              <w:ind w:firstLine="420" w:firstLineChars="200"/>
              <w:rPr>
                <w:rFonts w:hint="default" w:ascii="Times New Roman" w:hAnsi="Times New Roman" w:eastAsia="宋体" w:cs="Times New Roman"/>
                <w:lang w:eastAsia="zh-CN"/>
              </w:rPr>
            </w:pPr>
            <w:r>
              <w:rPr>
                <w:rFonts w:hint="default" w:ascii="Times New Roman" w:hAnsi="Times New Roman" w:cs="Times New Roman"/>
              </w:rPr>
              <w:t>本文件适用于生产企业内部评定和第三方</w:t>
            </w:r>
            <w:r>
              <w:rPr>
                <w:rFonts w:hint="eastAsia" w:cs="Times New Roman"/>
                <w:lang w:val="en-US" w:eastAsia="zh-CN"/>
              </w:rPr>
              <w:t>机构评定</w:t>
            </w:r>
            <w:r>
              <w:rPr>
                <w:rFonts w:hint="default" w:ascii="Times New Roman" w:hAnsi="Times New Roman" w:cs="Times New Roman"/>
                <w:lang w:eastAsia="zh-CN"/>
              </w:rPr>
              <w:t>。</w:t>
            </w:r>
          </w:p>
          <w:p>
            <w:pPr>
              <w:pStyle w:val="7"/>
              <w:numPr>
                <w:ilvl w:val="0"/>
                <w:numId w:val="2"/>
              </w:numPr>
              <w:spacing w:before="156" w:beforeLines="50" w:after="156" w:afterLines="50"/>
              <w:ind w:firstLineChars="0"/>
              <w:rPr>
                <w:rFonts w:ascii="Times New Roman" w:hAnsi="Times New Roman" w:eastAsia="宋体" w:cs="Times New Roman"/>
              </w:rPr>
            </w:pPr>
            <w:r>
              <w:rPr>
                <w:rFonts w:ascii="Times New Roman" w:hAnsi="Times New Roman" w:eastAsia="宋体" w:cs="Times New Roman"/>
              </w:rPr>
              <w:t>规范性引用文件</w:t>
            </w:r>
            <w:bookmarkEnd w:id="0"/>
            <w:r>
              <w:rPr>
                <w:rFonts w:ascii="Times New Roman" w:hAnsi="Times New Roman" w:eastAsia="宋体" w:cs="Times New Roman"/>
              </w:rPr>
              <w:t xml:space="preserve"> </w:t>
            </w:r>
          </w:p>
          <w:p>
            <w:pPr>
              <w:ind w:firstLine="420" w:firstLineChars="200"/>
              <w:rPr>
                <w:rFonts w:hint="default" w:ascii="Times New Roman" w:hAnsi="Times New Roman" w:cs="Times New Roman"/>
              </w:rPr>
            </w:pPr>
            <w:r>
              <w:rPr>
                <w:rFonts w:hint="default" w:ascii="Times New Roman" w:hAnsi="Times New Roman" w:cs="Times New Roman"/>
              </w:rPr>
              <w:t>GB/T 24040 环境管理 生命周期评价 原则与框架</w:t>
            </w:r>
          </w:p>
          <w:p>
            <w:pPr>
              <w:ind w:firstLine="420" w:firstLineChars="200"/>
              <w:rPr>
                <w:rFonts w:hint="default" w:ascii="Times New Roman" w:hAnsi="Times New Roman" w:cs="Times New Roman"/>
              </w:rPr>
            </w:pPr>
            <w:r>
              <w:rPr>
                <w:rFonts w:hint="default" w:ascii="Times New Roman" w:hAnsi="Times New Roman" w:cs="Times New Roman"/>
              </w:rPr>
              <w:t>GB/T 24044 环境管理 生命周期评价 要求与指南</w:t>
            </w:r>
          </w:p>
          <w:p>
            <w:pPr>
              <w:ind w:firstLine="420" w:firstLineChars="200"/>
              <w:rPr>
                <w:rFonts w:hint="default" w:ascii="Times New Roman" w:hAnsi="Times New Roman" w:cs="Times New Roman"/>
              </w:rPr>
            </w:pPr>
            <w:r>
              <w:rPr>
                <w:rFonts w:hint="default" w:ascii="Times New Roman" w:hAnsi="Times New Roman" w:cs="Times New Roman"/>
              </w:rPr>
              <w:t>GB/T 24499 氢气、氢能与氢能系统术语</w:t>
            </w:r>
          </w:p>
          <w:p>
            <w:pPr>
              <w:ind w:firstLine="420" w:firstLineChars="200"/>
              <w:rPr>
                <w:rFonts w:hint="default" w:ascii="Times New Roman" w:hAnsi="Times New Roman" w:cs="Times New Roman"/>
              </w:rPr>
            </w:pPr>
            <w:r>
              <w:rPr>
                <w:rFonts w:hint="default" w:ascii="Times New Roman" w:hAnsi="Times New Roman" w:cs="Times New Roman"/>
              </w:rPr>
              <w:t>T/CAB 0078—2020 低碳氢、清洁氢与可再生氢的标准与评价</w:t>
            </w:r>
          </w:p>
          <w:p>
            <w:pPr>
              <w:ind w:firstLine="420" w:firstLineChars="200"/>
              <w:rPr>
                <w:rFonts w:hint="default" w:ascii="Times New Roman" w:hAnsi="Times New Roman" w:cs="Times New Roman"/>
              </w:rPr>
            </w:pPr>
            <w:r>
              <w:rPr>
                <w:rFonts w:hint="default" w:ascii="Times New Roman" w:hAnsi="Times New Roman" w:cs="Times New Roman"/>
              </w:rPr>
              <w:t>ISO 14067:2018温室气体-产品碳足迹-量化要求和指南</w:t>
            </w:r>
          </w:p>
          <w:p>
            <w:pPr>
              <w:ind w:firstLine="420" w:firstLineChars="200"/>
              <w:rPr>
                <w:rFonts w:hint="default" w:ascii="Times New Roman" w:hAnsi="Times New Roman" w:eastAsia="宋体" w:cs="Times New Roman"/>
                <w:i w:val="0"/>
                <w:iCs w:val="0"/>
                <w:caps w:val="0"/>
                <w:color w:val="1B1C21"/>
                <w:spacing w:val="0"/>
                <w:sz w:val="21"/>
                <w:szCs w:val="21"/>
                <w:shd w:val="clear" w:fill="FFFFFF"/>
                <w:lang w:val="en-US" w:eastAsia="zh-CN"/>
              </w:rPr>
            </w:pPr>
            <w:r>
              <w:rPr>
                <w:rFonts w:hint="default" w:ascii="Times New Roman" w:hAnsi="Times New Roman" w:eastAsia="宋体" w:cs="Times New Roman"/>
                <w:sz w:val="21"/>
                <w:szCs w:val="21"/>
                <w:lang w:val="en-US" w:eastAsia="zh-CN"/>
              </w:rPr>
              <w:t>GB 50177-2005</w:t>
            </w:r>
            <w:r>
              <w:rPr>
                <w:rFonts w:hint="default" w:ascii="Times New Roman" w:hAnsi="Times New Roman" w:eastAsia="宋体" w:cs="Times New Roman"/>
                <w:i w:val="0"/>
                <w:iCs w:val="0"/>
                <w:caps w:val="0"/>
                <w:color w:val="1B1C21"/>
                <w:spacing w:val="0"/>
                <w:sz w:val="21"/>
                <w:szCs w:val="21"/>
                <w:shd w:val="clear" w:fill="FFFFFF"/>
                <w:lang w:val="en-US" w:eastAsia="zh-CN"/>
              </w:rPr>
              <w:t>氢气站设计规范</w:t>
            </w:r>
          </w:p>
          <w:p>
            <w:pPr>
              <w:ind w:firstLine="420" w:firstLineChars="200"/>
              <w:rPr>
                <w:rFonts w:ascii="Times New Roman" w:hAnsi="Times New Roman" w:eastAsia="宋体" w:cs="Times New Roman"/>
              </w:rPr>
            </w:pPr>
          </w:p>
          <w:p>
            <w:pPr>
              <w:pStyle w:val="7"/>
              <w:numPr>
                <w:ilvl w:val="0"/>
                <w:numId w:val="2"/>
              </w:numPr>
              <w:spacing w:before="156" w:beforeLines="50" w:after="156" w:afterLines="50"/>
              <w:ind w:firstLineChars="0"/>
              <w:rPr>
                <w:rFonts w:ascii="Times New Roman" w:hAnsi="Times New Roman" w:eastAsia="宋体" w:cs="Times New Roman"/>
              </w:rPr>
            </w:pPr>
            <w:r>
              <w:rPr>
                <w:rFonts w:ascii="Times New Roman" w:hAnsi="Times New Roman" w:eastAsia="宋体" w:cs="Times New Roman"/>
              </w:rPr>
              <w:t>术语和定义</w:t>
            </w:r>
          </w:p>
          <w:p>
            <w:pPr>
              <w:pStyle w:val="7"/>
              <w:spacing w:before="156" w:beforeLines="50" w:after="156" w:afterLines="50"/>
              <w:rPr>
                <w:rFonts w:ascii="Times New Roman" w:hAnsi="Times New Roman" w:eastAsia="宋体" w:cs="Times New Roman"/>
              </w:rPr>
            </w:pPr>
            <w:r>
              <w:rPr>
                <w:rFonts w:hint="eastAsia" w:ascii="Times New Roman" w:hAnsi="Times New Roman" w:eastAsia="宋体" w:cs="Times New Roman"/>
              </w:rPr>
              <w:t>为方便理解，本文件给出了</w:t>
            </w:r>
            <w:r>
              <w:rPr>
                <w:rFonts w:hint="default" w:ascii="Times New Roman" w:hAnsi="Times New Roman" w:cs="Times New Roman"/>
                <w:lang w:val="en-US" w:eastAsia="zh-CN"/>
              </w:rPr>
              <w:t>可再生氢</w:t>
            </w:r>
            <w:r>
              <w:rPr>
                <w:rFonts w:ascii="Times New Roman" w:hAnsi="Times New Roman" w:eastAsia="宋体" w:cs="Times New Roman"/>
              </w:rPr>
              <w:t>、</w:t>
            </w:r>
            <w:r>
              <w:rPr>
                <w:rFonts w:hint="default" w:ascii="Times New Roman" w:hAnsi="Times New Roman" w:cs="Times New Roman"/>
                <w:lang w:val="en-US" w:eastAsia="zh-CN"/>
              </w:rPr>
              <w:t>温室气体</w:t>
            </w:r>
            <w:r>
              <w:rPr>
                <w:rFonts w:ascii="Times New Roman" w:hAnsi="Times New Roman" w:eastAsia="宋体" w:cs="Times New Roman"/>
              </w:rPr>
              <w:t>、</w:t>
            </w:r>
            <w:r>
              <w:rPr>
                <w:rFonts w:hint="default" w:ascii="Times New Roman" w:hAnsi="Times New Roman" w:cs="Times New Roman"/>
                <w:lang w:val="en-US" w:eastAsia="zh-CN"/>
              </w:rPr>
              <w:t>离网电力</w:t>
            </w:r>
            <w:r>
              <w:rPr>
                <w:rFonts w:hint="eastAsia" w:ascii="Times New Roman" w:hAnsi="Times New Roman" w:cs="Times New Roman"/>
                <w:lang w:val="en-US" w:eastAsia="zh-CN"/>
              </w:rPr>
              <w:t>、</w:t>
            </w:r>
            <w:r>
              <w:rPr>
                <w:rFonts w:hint="default" w:ascii="Times New Roman" w:hAnsi="Times New Roman" w:cs="Times New Roman"/>
                <w:lang w:val="en-US" w:eastAsia="zh-CN"/>
              </w:rPr>
              <w:t>初级数据</w:t>
            </w:r>
            <w:r>
              <w:rPr>
                <w:rFonts w:ascii="Times New Roman" w:hAnsi="Times New Roman" w:eastAsia="宋体" w:cs="Times New Roman"/>
              </w:rPr>
              <w:t>等定义。</w:t>
            </w:r>
          </w:p>
          <w:p>
            <w:pPr>
              <w:pStyle w:val="7"/>
              <w:numPr>
                <w:ilvl w:val="0"/>
                <w:numId w:val="2"/>
              </w:numPr>
              <w:spacing w:before="156" w:beforeLines="50" w:after="156" w:afterLines="50"/>
              <w:ind w:firstLineChars="0"/>
              <w:rPr>
                <w:rFonts w:ascii="Times New Roman" w:hAnsi="Times New Roman" w:eastAsia="宋体" w:cs="Times New Roman"/>
              </w:rPr>
            </w:pPr>
            <w:r>
              <w:rPr>
                <w:rFonts w:hint="eastAsia" w:ascii="Times New Roman" w:hAnsi="Times New Roman" w:eastAsia="宋体" w:cs="Times New Roman"/>
                <w:lang w:val="en-US" w:eastAsia="zh-CN"/>
              </w:rPr>
              <w:t>基本要求</w:t>
            </w:r>
          </w:p>
          <w:p>
            <w:pPr>
              <w:pStyle w:val="7"/>
              <w:spacing w:before="156" w:beforeLines="50" w:after="156" w:afterLines="50"/>
              <w:rPr>
                <w:rFonts w:ascii="Times New Roman" w:hAnsi="Times New Roman" w:eastAsia="宋体" w:cs="Times New Roman"/>
              </w:rPr>
            </w:pPr>
            <w:r>
              <w:rPr>
                <w:rFonts w:hint="eastAsia" w:ascii="Times New Roman" w:hAnsi="Times New Roman" w:eastAsia="宋体" w:cs="Times New Roman"/>
              </w:rPr>
              <w:t>本章主要介绍了可再生氢能源的生产和使用标准，具体包括电力来源的要求、单位产品碳排放量的限制以及制氢企业的规划设计要求。</w:t>
            </w:r>
          </w:p>
          <w:p>
            <w:pPr>
              <w:pStyle w:val="7"/>
              <w:numPr>
                <w:ilvl w:val="0"/>
                <w:numId w:val="2"/>
              </w:numPr>
              <w:spacing w:before="156" w:beforeLines="50" w:after="156" w:afterLines="50"/>
              <w:ind w:firstLineChars="0"/>
              <w:rPr>
                <w:rFonts w:ascii="Times New Roman" w:hAnsi="Times New Roman" w:eastAsia="宋体" w:cs="Times New Roman"/>
              </w:rPr>
            </w:pPr>
            <w:r>
              <w:rPr>
                <w:rFonts w:hint="eastAsia" w:ascii="Times New Roman" w:hAnsi="Times New Roman" w:eastAsia="宋体" w:cs="Times New Roman"/>
              </w:rPr>
              <w:t>报告模版</w:t>
            </w:r>
          </w:p>
          <w:p>
            <w:pPr>
              <w:ind w:firstLine="420" w:firstLineChars="200"/>
              <w:rPr>
                <w:rFonts w:ascii="Times New Roman" w:hAnsi="Times New Roman" w:eastAsia="宋体" w:cs="Times New Roman"/>
              </w:rPr>
            </w:pPr>
            <w:r>
              <w:rPr>
                <w:rFonts w:hint="eastAsia" w:ascii="Times New Roman" w:hAnsi="Times New Roman" w:eastAsia="宋体" w:cs="Times New Roman"/>
              </w:rPr>
              <w:t>本章通过给出报告</w:t>
            </w:r>
            <w:r>
              <w:rPr>
                <w:rFonts w:ascii="Times New Roman" w:hAnsi="Times New Roman" w:eastAsia="宋体" w:cs="Times New Roman"/>
              </w:rPr>
              <w:t>模版</w:t>
            </w:r>
            <w:r>
              <w:rPr>
                <w:rFonts w:hint="eastAsia" w:ascii="Times New Roman" w:hAnsi="Times New Roman" w:eastAsia="宋体" w:cs="Times New Roman"/>
              </w:rPr>
              <w:t>的</w:t>
            </w:r>
            <w:r>
              <w:rPr>
                <w:rFonts w:ascii="Times New Roman" w:hAnsi="Times New Roman" w:eastAsia="宋体" w:cs="Times New Roman"/>
              </w:rPr>
              <w:t>一般格式和组成要素，电子报告</w:t>
            </w:r>
            <w:r>
              <w:rPr>
                <w:rFonts w:hint="eastAsia" w:ascii="Times New Roman" w:hAnsi="Times New Roman" w:eastAsia="宋体" w:cs="Times New Roman"/>
              </w:rPr>
              <w:t>的管理和不同</w:t>
            </w:r>
            <w:r>
              <w:rPr>
                <w:rFonts w:ascii="Times New Roman" w:hAnsi="Times New Roman" w:eastAsia="宋体" w:cs="Times New Roman"/>
              </w:rPr>
              <w:t>情况下</w:t>
            </w:r>
            <w:r>
              <w:rPr>
                <w:rFonts w:hint="eastAsia" w:ascii="Times New Roman" w:hAnsi="Times New Roman" w:eastAsia="宋体" w:cs="Times New Roman"/>
              </w:rPr>
              <w:t>检验</w:t>
            </w:r>
            <w:r>
              <w:rPr>
                <w:rFonts w:ascii="Times New Roman" w:hAnsi="Times New Roman" w:eastAsia="宋体" w:cs="Times New Roman"/>
              </w:rPr>
              <w:t>检测机构对</w:t>
            </w:r>
            <w:r>
              <w:rPr>
                <w:rFonts w:hint="eastAsia" w:ascii="Times New Roman" w:hAnsi="Times New Roman" w:eastAsia="宋体" w:cs="Times New Roman"/>
              </w:rPr>
              <w:t>报告</w:t>
            </w:r>
            <w:r>
              <w:rPr>
                <w:rFonts w:ascii="Times New Roman" w:hAnsi="Times New Roman" w:eastAsia="宋体" w:cs="Times New Roman"/>
              </w:rPr>
              <w:t>模版的使用</w:t>
            </w:r>
            <w:r>
              <w:rPr>
                <w:rFonts w:hint="eastAsia" w:ascii="Times New Roman" w:hAnsi="Times New Roman" w:eastAsia="宋体" w:cs="Times New Roman"/>
              </w:rPr>
              <w:t>建议，指导</w:t>
            </w:r>
            <w:r>
              <w:rPr>
                <w:rFonts w:ascii="Times New Roman" w:hAnsi="Times New Roman" w:eastAsia="宋体" w:cs="Times New Roman"/>
              </w:rPr>
              <w:t>检验检测机构</w:t>
            </w:r>
            <w:r>
              <w:rPr>
                <w:rFonts w:hint="eastAsia" w:ascii="Times New Roman" w:hAnsi="Times New Roman" w:eastAsia="宋体" w:cs="Times New Roman"/>
              </w:rPr>
              <w:t>进行</w:t>
            </w:r>
            <w:r>
              <w:rPr>
                <w:rFonts w:ascii="Times New Roman" w:hAnsi="Times New Roman" w:eastAsia="宋体" w:cs="Times New Roman"/>
              </w:rPr>
              <w:t>报告</w:t>
            </w:r>
            <w:r>
              <w:rPr>
                <w:rFonts w:hint="eastAsia" w:ascii="Times New Roman" w:hAnsi="Times New Roman" w:eastAsia="宋体" w:cs="Times New Roman"/>
              </w:rPr>
              <w:t>模版</w:t>
            </w:r>
            <w:r>
              <w:rPr>
                <w:rFonts w:ascii="Times New Roman" w:hAnsi="Times New Roman" w:eastAsia="宋体" w:cs="Times New Roman"/>
              </w:rPr>
              <w:t>的设计</w:t>
            </w:r>
            <w:r>
              <w:rPr>
                <w:rFonts w:hint="eastAsia" w:ascii="Times New Roman" w:hAnsi="Times New Roman" w:eastAsia="宋体" w:cs="Times New Roman"/>
              </w:rPr>
              <w:t>。</w:t>
            </w:r>
          </w:p>
          <w:p>
            <w:pPr>
              <w:pStyle w:val="7"/>
              <w:numPr>
                <w:ilvl w:val="0"/>
                <w:numId w:val="2"/>
              </w:numPr>
              <w:spacing w:before="156" w:beforeLines="50" w:after="156" w:afterLines="50"/>
              <w:ind w:firstLineChars="0"/>
              <w:rPr>
                <w:rFonts w:ascii="Times New Roman" w:hAnsi="Times New Roman" w:eastAsia="宋体" w:cs="Times New Roman"/>
              </w:rPr>
            </w:pPr>
            <w:r>
              <w:rPr>
                <w:rFonts w:hint="eastAsia" w:ascii="Times New Roman" w:hAnsi="Times New Roman" w:eastAsia="宋体" w:cs="Times New Roman"/>
                <w:lang w:val="en-US" w:eastAsia="zh-CN"/>
              </w:rPr>
              <w:t>产品要求</w:t>
            </w:r>
          </w:p>
          <w:p>
            <w:pPr>
              <w:ind w:firstLine="420" w:firstLineChars="200"/>
              <w:rPr>
                <w:rFonts w:hint="default" w:ascii="Times New Roman" w:hAnsi="Times New Roman" w:eastAsia="宋体" w:cs="Times New Roman"/>
                <w:lang w:val="en-US"/>
              </w:rPr>
            </w:pPr>
            <w:r>
              <w:rPr>
                <w:rFonts w:hint="eastAsia" w:ascii="Times New Roman" w:hAnsi="Times New Roman" w:eastAsia="宋体" w:cs="Times New Roman"/>
              </w:rPr>
              <w:t>本章主要</w:t>
            </w:r>
            <w:r>
              <w:rPr>
                <w:rFonts w:ascii="Times New Roman" w:hAnsi="Times New Roman" w:eastAsia="宋体" w:cs="Times New Roman"/>
              </w:rPr>
              <w:t>描述</w:t>
            </w:r>
            <w:r>
              <w:rPr>
                <w:rFonts w:hint="eastAsia" w:ascii="Times New Roman" w:hAnsi="Times New Roman" w:eastAsia="宋体" w:cs="Times New Roman"/>
              </w:rPr>
              <w:t>了</w:t>
            </w:r>
            <w:r>
              <w:rPr>
                <w:rFonts w:hint="eastAsia" w:ascii="Times New Roman" w:hAnsi="Times New Roman" w:eastAsia="宋体" w:cs="Times New Roman"/>
                <w:lang w:val="en-US" w:eastAsia="zh-CN"/>
              </w:rPr>
              <w:t>可再生氢生产的质量要求和产品碳足迹要求，产品碳足迹要求详细介绍了单位产品碳足迹的溯源原则，包括溯源边界、数据收集原则分配原则和计算方法。</w:t>
            </w:r>
          </w:p>
          <w:p>
            <w:pPr>
              <w:pStyle w:val="7"/>
              <w:numPr>
                <w:ilvl w:val="0"/>
                <w:numId w:val="2"/>
              </w:numPr>
              <w:spacing w:before="156" w:beforeLines="50" w:after="156" w:afterLines="50"/>
              <w:ind w:firstLineChars="0"/>
              <w:rPr>
                <w:rFonts w:ascii="Times New Roman" w:hAnsi="Times New Roman" w:eastAsia="宋体" w:cs="Times New Roman"/>
              </w:rPr>
            </w:pPr>
            <w:r>
              <w:rPr>
                <w:rFonts w:hint="eastAsia" w:ascii="Times New Roman" w:hAnsi="Times New Roman" w:eastAsia="宋体" w:cs="Times New Roman"/>
                <w:lang w:val="en-US" w:eastAsia="zh-CN"/>
              </w:rPr>
              <w:t>管理要求</w:t>
            </w:r>
          </w:p>
          <w:p>
            <w:pPr>
              <w:pStyle w:val="7"/>
              <w:spacing w:before="156" w:beforeLines="50" w:after="156" w:afterLines="50"/>
              <w:rPr>
                <w:rFonts w:ascii="Times New Roman" w:hAnsi="Times New Roman" w:eastAsia="宋体" w:cs="Times New Roman"/>
              </w:rPr>
            </w:pPr>
            <w:r>
              <w:rPr>
                <w:rFonts w:hint="eastAsia" w:ascii="Times New Roman" w:hAnsi="Times New Roman" w:eastAsia="宋体" w:cs="Times New Roman"/>
              </w:rPr>
              <w:t>本章主要</w:t>
            </w:r>
            <w:r>
              <w:rPr>
                <w:rFonts w:hint="eastAsia" w:ascii="Times New Roman" w:hAnsi="Times New Roman" w:eastAsia="宋体" w:cs="Times New Roman"/>
                <w:lang w:val="en-US" w:eastAsia="zh-CN"/>
              </w:rPr>
              <w:t>描述了对生产可再生的企业的管理要求，包括制度建设、设备设施和生产过程管理</w:t>
            </w:r>
            <w:r>
              <w:rPr>
                <w:rFonts w:ascii="Times New Roman" w:hAnsi="Times New Roman" w:eastAsia="宋体" w:cs="Times New Roman"/>
              </w:rPr>
              <w:t>。</w:t>
            </w:r>
          </w:p>
          <w:p>
            <w:pPr>
              <w:pStyle w:val="7"/>
              <w:numPr>
                <w:ilvl w:val="0"/>
                <w:numId w:val="2"/>
              </w:numPr>
              <w:spacing w:before="156" w:beforeLines="50" w:after="156" w:afterLines="50"/>
              <w:ind w:firstLineChars="0"/>
              <w:rPr>
                <w:rFonts w:ascii="Times New Roman" w:hAnsi="Times New Roman" w:eastAsia="宋体" w:cs="Times New Roman"/>
              </w:rPr>
            </w:pPr>
            <w:r>
              <w:rPr>
                <w:rFonts w:hint="eastAsia" w:ascii="Times New Roman" w:hAnsi="Times New Roman" w:eastAsia="宋体" w:cs="Times New Roman"/>
                <w:lang w:val="en-US" w:eastAsia="zh-CN"/>
              </w:rPr>
              <w:t>环境影响</w:t>
            </w:r>
          </w:p>
          <w:p>
            <w:pPr>
              <w:pStyle w:val="7"/>
              <w:spacing w:before="156" w:beforeLines="50" w:after="156" w:afterLines="50"/>
              <w:rPr>
                <w:rFonts w:hint="default" w:ascii="Times New Roman" w:hAnsi="Times New Roman" w:eastAsia="宋体" w:cs="Times New Roman"/>
                <w:lang w:val="en-US" w:eastAsia="zh-CN"/>
              </w:rPr>
            </w:pPr>
            <w:r>
              <w:rPr>
                <w:rFonts w:hint="eastAsia" w:ascii="Times New Roman" w:hAnsi="Times New Roman" w:eastAsia="宋体" w:cs="Times New Roman"/>
              </w:rPr>
              <w:t>本章</w:t>
            </w:r>
            <w:r>
              <w:rPr>
                <w:rFonts w:ascii="Times New Roman" w:hAnsi="Times New Roman" w:eastAsia="宋体" w:cs="Times New Roman"/>
              </w:rPr>
              <w:t>主要</w:t>
            </w:r>
            <w:r>
              <w:rPr>
                <w:rFonts w:hint="eastAsia" w:ascii="Times New Roman" w:hAnsi="Times New Roman" w:eastAsia="宋体" w:cs="Times New Roman"/>
              </w:rPr>
              <w:t>描述</w:t>
            </w:r>
            <w:r>
              <w:rPr>
                <w:rFonts w:ascii="Times New Roman" w:hAnsi="Times New Roman" w:eastAsia="宋体" w:cs="Times New Roman"/>
              </w:rPr>
              <w:t>了</w:t>
            </w:r>
            <w:r>
              <w:rPr>
                <w:rFonts w:hint="eastAsia" w:ascii="Times New Roman" w:hAnsi="Times New Roman" w:eastAsia="宋体" w:cs="Times New Roman"/>
                <w:lang w:val="en-US" w:eastAsia="zh-CN"/>
              </w:rPr>
              <w:t>对生产可再生的企业环境影响的要求，包括废气、废水、噪音、固废和温室气体核查要求。</w:t>
            </w:r>
          </w:p>
          <w:p>
            <w:pPr>
              <w:ind w:firstLine="420" w:firstLineChars="200"/>
              <w:rPr>
                <w:rFonts w:ascii="Times New Roman" w:hAnsi="Times New Roman" w:eastAsia="宋体" w:cs="Times New Roman"/>
              </w:rPr>
            </w:pPr>
          </w:p>
          <w:p>
            <w:pPr>
              <w:ind w:firstLine="420" w:firstLineChars="200"/>
              <w:rPr>
                <w:rFonts w:ascii="Times New Roman" w:hAnsi="Times New Roman" w:eastAsia="宋体"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color w:val="000000"/>
                <w:szCs w:val="21"/>
              </w:rPr>
            </w:pPr>
            <w:r>
              <w:rPr>
                <w:rFonts w:ascii="Times New Roman" w:hAnsi="Times New Roman" w:eastAsia="宋体" w:cs="Times New Roman"/>
                <w:b/>
                <w:color w:val="000000"/>
                <w:sz w:val="28"/>
                <w:szCs w:val="28"/>
              </w:rPr>
              <w:t>与现行法律法规、强制性标准和其他有关标准的关系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84" w:hRule="atLeast"/>
        </w:trPr>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法律法规和强制性标准的关系</w:t>
            </w:r>
          </w:p>
        </w:tc>
        <w:tc>
          <w:tcPr>
            <w:tcW w:w="7513" w:type="dxa"/>
            <w:gridSpan w:val="4"/>
            <w:vAlign w:val="center"/>
          </w:tcPr>
          <w:p>
            <w:pPr>
              <w:ind w:firstLine="420" w:firstLineChars="200"/>
              <w:rPr>
                <w:rFonts w:ascii="Times New Roman"/>
              </w:rPr>
            </w:pPr>
            <w:r>
              <w:rPr>
                <w:rFonts w:hint="eastAsia" w:ascii="Times New Roman"/>
              </w:rPr>
              <w:t>本标准文件的制定主要引用</w:t>
            </w:r>
            <w:r>
              <w:rPr>
                <w:rFonts w:ascii="Times New Roman"/>
              </w:rPr>
              <w:t>和</w:t>
            </w:r>
            <w:r>
              <w:rPr>
                <w:rFonts w:hint="eastAsia" w:ascii="Times New Roman"/>
              </w:rPr>
              <w:t>参考</w:t>
            </w:r>
            <w:r>
              <w:rPr>
                <w:rFonts w:hint="eastAsia" w:ascii="Times New Roman"/>
                <w:lang w:eastAsia="zh-CN"/>
              </w:rPr>
              <w:t>《</w:t>
            </w:r>
            <w:r>
              <w:rPr>
                <w:rFonts w:hint="default" w:ascii="Times New Roman" w:hAnsi="Times New Roman" w:eastAsia="宋体" w:cs="Times New Roman"/>
                <w:i w:val="0"/>
                <w:iCs w:val="0"/>
                <w:caps w:val="0"/>
                <w:color w:val="1B1C21"/>
                <w:spacing w:val="0"/>
                <w:sz w:val="21"/>
                <w:szCs w:val="21"/>
                <w:shd w:val="clear" w:fill="FFFFFF"/>
                <w:lang w:val="en-US" w:eastAsia="zh-CN"/>
              </w:rPr>
              <w:t>氢气站设计规范</w:t>
            </w:r>
            <w:r>
              <w:rPr>
                <w:rFonts w:hint="eastAsia" w:ascii="Times New Roman" w:hAnsi="Times New Roman" w:eastAsia="宋体" w:cs="Times New Roman"/>
                <w:i w:val="0"/>
                <w:iCs w:val="0"/>
                <w:caps w:val="0"/>
                <w:color w:val="1B1C21"/>
                <w:spacing w:val="0"/>
                <w:sz w:val="21"/>
                <w:szCs w:val="21"/>
                <w:shd w:val="clear" w:fill="FFFFFF"/>
                <w:lang w:val="en-US" w:eastAsia="zh-CN"/>
              </w:rPr>
              <w:t>》（</w:t>
            </w:r>
            <w:r>
              <w:rPr>
                <w:rFonts w:hint="default" w:ascii="Times New Roman" w:hAnsi="Times New Roman" w:eastAsia="宋体" w:cs="Times New Roman"/>
                <w:sz w:val="21"/>
                <w:szCs w:val="21"/>
                <w:lang w:val="en-US" w:eastAsia="zh-CN"/>
              </w:rPr>
              <w:t>GB 50177-2005</w:t>
            </w:r>
            <w:r>
              <w:rPr>
                <w:rFonts w:hint="eastAsia" w:ascii="Times New Roman" w:hAnsi="Times New Roman" w:eastAsia="宋体" w:cs="Times New Roman"/>
                <w:i w:val="0"/>
                <w:iCs w:val="0"/>
                <w:caps w:val="0"/>
                <w:color w:val="1B1C21"/>
                <w:spacing w:val="0"/>
                <w:sz w:val="21"/>
                <w:szCs w:val="21"/>
                <w:shd w:val="clear" w:fill="FFFFFF"/>
                <w:lang w:val="en-US" w:eastAsia="zh-CN"/>
              </w:rPr>
              <w:t>）、</w:t>
            </w:r>
            <w:r>
              <w:rPr>
                <w:rFonts w:hint="default"/>
                <w:spacing w:val="0"/>
                <w:sz w:val="21"/>
              </w:rPr>
              <w:t>《爆炸危险环境电力装置设计规范》（GB 50058）</w:t>
            </w:r>
            <w:r>
              <w:rPr>
                <w:rFonts w:hint="eastAsia"/>
                <w:spacing w:val="0"/>
                <w:sz w:val="21"/>
                <w:lang w:eastAsia="zh-CN"/>
              </w:rPr>
              <w:t>、</w:t>
            </w:r>
            <w:r>
              <w:rPr>
                <w:rFonts w:hint="default"/>
                <w:spacing w:val="0"/>
                <w:sz w:val="21"/>
              </w:rPr>
              <w:t>《危险场所电气防爆安全规范》（AQ 3009）</w:t>
            </w:r>
            <w:r>
              <w:rPr>
                <w:rFonts w:hint="eastAsia"/>
                <w:spacing w:val="0"/>
                <w:sz w:val="21"/>
                <w:lang w:eastAsia="zh-CN"/>
              </w:rPr>
              <w:t>、</w:t>
            </w:r>
            <w:r>
              <w:rPr>
                <w:rFonts w:hint="default" w:ascii="Times New Roman" w:hAnsi="Times New Roman" w:eastAsia="宋体" w:cs="Times New Roman"/>
                <w:i w:val="0"/>
                <w:iCs w:val="0"/>
                <w:caps w:val="0"/>
                <w:color w:val="1B1C21"/>
                <w:spacing w:val="0"/>
                <w:sz w:val="21"/>
                <w:szCs w:val="21"/>
                <w:shd w:val="clear" w:fill="FFFFFF"/>
                <w:lang w:eastAsia="zh-CN"/>
              </w:rPr>
              <w:t>《氢气储存输送系统》（GB/T 34542）</w:t>
            </w:r>
            <w:r>
              <w:rPr>
                <w:rFonts w:hint="eastAsia" w:ascii="Times New Roman" w:hAnsi="Times New Roman" w:eastAsia="宋体" w:cs="Times New Roman"/>
                <w:i w:val="0"/>
                <w:iCs w:val="0"/>
                <w:caps w:val="0"/>
                <w:color w:val="1B1C21"/>
                <w:spacing w:val="0"/>
                <w:sz w:val="21"/>
                <w:szCs w:val="21"/>
                <w:shd w:val="clear" w:fill="FFFFFF"/>
                <w:lang w:eastAsia="zh-CN"/>
              </w:rPr>
              <w:t>、</w:t>
            </w:r>
            <w:r>
              <w:rPr>
                <w:rFonts w:hint="default" w:ascii="Times New Roman" w:hAnsi="Times New Roman" w:eastAsia="PingFang SC-Regular" w:cs="Times New Roman"/>
                <w:b w:val="0"/>
                <w:bCs w:val="0"/>
                <w:i w:val="0"/>
                <w:iCs w:val="0"/>
                <w:caps w:val="0"/>
                <w:color w:val="1B1C21"/>
                <w:spacing w:val="0"/>
                <w:kern w:val="2"/>
                <w:sz w:val="21"/>
                <w:szCs w:val="21"/>
                <w:shd w:val="clear" w:fill="FFFFFF"/>
                <w:lang w:val="zh-CN" w:eastAsia="zh-CN" w:bidi="ar-SA"/>
              </w:rPr>
              <w:t>《加氢站用储氢装置安全技术要求》（GB/T 34583-2017）</w:t>
            </w:r>
            <w:r>
              <w:rPr>
                <w:rFonts w:hint="eastAsia" w:ascii="Times New Roman" w:hAnsi="Times New Roman" w:eastAsia="PingFang SC-Regular" w:cs="Times New Roman"/>
                <w:b w:val="0"/>
                <w:bCs w:val="0"/>
                <w:i w:val="0"/>
                <w:iCs w:val="0"/>
                <w:caps w:val="0"/>
                <w:color w:val="1B1C21"/>
                <w:spacing w:val="0"/>
                <w:kern w:val="2"/>
                <w:sz w:val="21"/>
                <w:szCs w:val="21"/>
                <w:shd w:val="clear" w:fill="FFFFFF"/>
                <w:lang w:val="en-US" w:eastAsia="zh-CN" w:bidi="ar-SA"/>
              </w:rPr>
              <w:t>和</w:t>
            </w:r>
            <w:r>
              <w:rPr>
                <w:rFonts w:hint="default" w:ascii="Times New Roman" w:hAnsi="Times New Roman" w:eastAsia="PingFang SC-Regular" w:cs="Times New Roman"/>
                <w:i w:val="0"/>
                <w:iCs w:val="0"/>
                <w:caps w:val="0"/>
                <w:color w:val="1B1C21"/>
                <w:spacing w:val="0"/>
                <w:sz w:val="21"/>
                <w:szCs w:val="21"/>
                <w:shd w:val="clear" w:fill="FFFFFF"/>
                <w:lang w:val="zh-CN"/>
              </w:rPr>
              <w:t>GB 17167</w:t>
            </w:r>
            <w:r>
              <w:rPr>
                <w:rFonts w:hint="eastAsia" w:ascii="Times New Roman" w:hAnsi="Times New Roman" w:eastAsia="PingFang SC-Regular" w:cs="Times New Roman"/>
                <w:i w:val="0"/>
                <w:iCs w:val="0"/>
                <w:caps w:val="0"/>
                <w:color w:val="1B1C21"/>
                <w:spacing w:val="0"/>
                <w:sz w:val="21"/>
                <w:szCs w:val="21"/>
                <w:shd w:val="clear" w:fill="FFFFFF"/>
                <w:lang w:val="zh-CN"/>
              </w:rPr>
              <w:t>、</w:t>
            </w:r>
            <w:r>
              <w:rPr>
                <w:rFonts w:hint="default" w:ascii="Times New Roman" w:hAnsi="Times New Roman" w:eastAsia="PingFang SC-Regular" w:cs="Times New Roman"/>
                <w:i w:val="0"/>
                <w:iCs w:val="0"/>
                <w:caps w:val="0"/>
                <w:color w:val="1B1C21"/>
                <w:spacing w:val="0"/>
                <w:sz w:val="21"/>
                <w:szCs w:val="21"/>
                <w:shd w:val="clear" w:fill="FFFFFF"/>
                <w:lang w:val="zh-CN"/>
              </w:rPr>
              <w:t>GB 24789</w:t>
            </w:r>
            <w:r>
              <w:rPr>
                <w:rFonts w:hint="eastAsia" w:ascii="Times New Roman"/>
              </w:rPr>
              <w:t>等</w:t>
            </w:r>
            <w:r>
              <w:rPr>
                <w:rFonts w:ascii="Times New Roman"/>
              </w:rPr>
              <w:t>标准，所规定的术语定义、</w:t>
            </w:r>
            <w:r>
              <w:rPr>
                <w:rFonts w:hint="eastAsia" w:ascii="Times New Roman"/>
              </w:rPr>
              <w:t>内容条款</w:t>
            </w:r>
            <w:r>
              <w:rPr>
                <w:rFonts w:ascii="Times New Roman"/>
              </w:rPr>
              <w:t>等与国家相关法律法规、标准规范等要求基本一致。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02" w:type="dxa"/>
            <w:gridSpan w:val="2"/>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与其他有关标准的关系</w:t>
            </w:r>
          </w:p>
        </w:tc>
        <w:tc>
          <w:tcPr>
            <w:tcW w:w="7513" w:type="dxa"/>
            <w:gridSpan w:val="4"/>
            <w:vAlign w:val="center"/>
          </w:tcPr>
          <w:p>
            <w:pPr>
              <w:spacing w:before="156" w:beforeLines="50" w:after="156" w:afterLines="50"/>
              <w:ind w:firstLine="420" w:firstLineChars="200"/>
              <w:rPr>
                <w:rFonts w:ascii="Times New Roman" w:hAnsi="Times New Roman" w:eastAsia="宋体" w:cs="Times New Roman"/>
              </w:rPr>
            </w:pPr>
            <w:r>
              <w:rPr>
                <w:rFonts w:hint="eastAsia" w:ascii="Times New Roman" w:hAnsi="Times New Roman" w:eastAsia="宋体" w:cs="Times New Roman"/>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重大分歧意见的处理经过和依据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rPr>
                <w:rFonts w:ascii="Times New Roman" w:hAnsi="Times New Roman" w:eastAsia="宋体" w:cs="Times New Roman"/>
                <w:color w:val="000000"/>
                <w:szCs w:val="21"/>
              </w:rPr>
            </w:pPr>
            <w:r>
              <w:rPr>
                <w:rFonts w:ascii="Times New Roman" w:hAnsi="Times New Roman" w:eastAsia="宋体" w:cs="Times New Roman"/>
                <w:color w:val="000000"/>
                <w:szCs w:val="21"/>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jc w:val="center"/>
              <w:rPr>
                <w:rFonts w:ascii="Times New Roman" w:hAnsi="Times New Roman" w:eastAsia="宋体" w:cs="Times New Roman"/>
                <w:b/>
                <w:color w:val="000000"/>
                <w:sz w:val="28"/>
                <w:szCs w:val="28"/>
              </w:rPr>
            </w:pPr>
            <w:r>
              <w:rPr>
                <w:rFonts w:ascii="Times New Roman" w:hAnsi="Times New Roman" w:eastAsia="宋体" w:cs="Times New Roman"/>
                <w:b/>
                <w:color w:val="000000"/>
                <w:sz w:val="28"/>
                <w:szCs w:val="28"/>
              </w:rPr>
              <w:t>贯彻该标准的要求和措施建议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215" w:type="dxa"/>
            <w:gridSpan w:val="6"/>
            <w:vAlign w:val="center"/>
          </w:tcPr>
          <w:p>
            <w:pPr>
              <w:ind w:firstLine="430" w:firstLineChars="205"/>
              <w:rPr>
                <w:rFonts w:ascii="Times New Roman" w:hAnsi="Times New Roman" w:eastAsia="宋体" w:cs="Times New Roman"/>
                <w:color w:val="000000"/>
                <w:szCs w:val="21"/>
              </w:rPr>
            </w:pPr>
            <w:r>
              <w:rPr>
                <w:rFonts w:ascii="Times New Roman" w:hAnsi="Times New Roman" w:eastAsia="宋体" w:cs="Times New Roman"/>
                <w:color w:val="000000"/>
                <w:szCs w:val="21"/>
              </w:rPr>
              <w:t>建议标准发布后3个月开始实施。</w:t>
            </w:r>
          </w:p>
          <w:p>
            <w:pPr>
              <w:ind w:firstLine="430" w:firstLineChars="205"/>
              <w:rPr>
                <w:rFonts w:ascii="Times New Roman" w:hAnsi="Times New Roman" w:eastAsia="宋体" w:cs="Times New Roman"/>
                <w:color w:val="000000"/>
                <w:szCs w:val="21"/>
              </w:rPr>
            </w:pPr>
            <w:r>
              <w:rPr>
                <w:rFonts w:hint="eastAsia" w:ascii="Times New Roman" w:hAnsi="Times New Roman" w:eastAsia="宋体" w:cs="Times New Roman"/>
                <w:color w:val="000000"/>
                <w:szCs w:val="21"/>
              </w:rPr>
              <w:t>可通过培训集中组织开展对该标准的宣贯，通过多媒体渠道对标准内容进行宣传和释义，鼓励并指导</w:t>
            </w:r>
            <w:r>
              <w:rPr>
                <w:rFonts w:hint="eastAsia" w:ascii="Times New Roman" w:hAnsi="Times New Roman" w:eastAsia="宋体" w:cs="Times New Roman"/>
                <w:color w:val="000000"/>
                <w:szCs w:val="21"/>
                <w:lang w:val="en-US" w:eastAsia="zh-CN"/>
              </w:rPr>
              <w:t>制氢企业和第三方评价机构</w:t>
            </w:r>
            <w:r>
              <w:rPr>
                <w:rFonts w:hint="eastAsia" w:ascii="Times New Roman" w:hAnsi="Times New Roman" w:eastAsia="宋体" w:cs="Times New Roman"/>
                <w:color w:val="000000"/>
                <w:szCs w:val="21"/>
              </w:rPr>
              <w:t>根据本标准对</w:t>
            </w:r>
            <w:r>
              <w:rPr>
                <w:rFonts w:hint="eastAsia" w:ascii="Times New Roman" w:hAnsi="Times New Roman" w:eastAsia="宋体" w:cs="Times New Roman"/>
                <w:color w:val="000000"/>
                <w:szCs w:val="21"/>
                <w:lang w:val="en-US" w:eastAsia="zh-CN"/>
              </w:rPr>
              <w:t>可再生氢生产溯源进行内部管理和外部评价</w:t>
            </w:r>
            <w:r>
              <w:rPr>
                <w:rFonts w:ascii="Times New Roman" w:hAnsi="Times New Roman" w:eastAsia="宋体" w:cs="Times New Roman"/>
                <w:color w:val="000000"/>
                <w:szCs w:val="21"/>
              </w:rPr>
              <w:t>。</w:t>
            </w:r>
          </w:p>
          <w:p>
            <w:pPr>
              <w:rPr>
                <w:rFonts w:ascii="Times New Roman" w:hAnsi="Times New Roman" w:eastAsia="宋体" w:cs="Times New Roman"/>
                <w:color w:val="000000"/>
                <w:szCs w:val="21"/>
              </w:rPr>
            </w:pPr>
          </w:p>
          <w:p>
            <w:pPr>
              <w:rPr>
                <w:rFonts w:ascii="Times New Roman" w:hAnsi="Times New Roman" w:eastAsia="宋体" w:cs="Times New Roman"/>
                <w:color w:val="000000"/>
                <w:szCs w:val="21"/>
              </w:rPr>
            </w:pPr>
          </w:p>
        </w:tc>
      </w:tr>
    </w:tbl>
    <w:p>
      <w:pPr>
        <w:rPr>
          <w:rFonts w:ascii="Times New Roman" w:hAnsi="Times New Roman"/>
        </w:rPr>
      </w:pP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PingFang SC-Regular">
    <w:altName w:val="AMGDT"/>
    <w:panose1 w:val="00000000000000000000"/>
    <w:charset w:val="00"/>
    <w:family w:val="auto"/>
    <w:pitch w:val="default"/>
    <w:sig w:usb0="00000000" w:usb1="00000000" w:usb2="00000000" w:usb3="00000000" w:csb0="00000000" w:csb1="00000000"/>
  </w:font>
  <w:font w:name="AMGDT">
    <w:panose1 w:val="02000400000000000000"/>
    <w:charset w:val="00"/>
    <w:family w:val="auto"/>
    <w:pitch w:val="default"/>
    <w:sig w:usb0="80000003" w:usb1="1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3F1C6940"/>
    <w:multiLevelType w:val="multilevel"/>
    <w:tmpl w:val="3F1C6940"/>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
    <w:nsid w:val="5C380A01"/>
    <w:multiLevelType w:val="multilevel"/>
    <w:tmpl w:val="5C380A01"/>
    <w:lvl w:ilvl="0" w:tentative="0">
      <w:start w:val="1"/>
      <w:numFmt w:val="decimal"/>
      <w:suff w:val="space"/>
      <w:lvlText w:val="%1、"/>
      <w:lvlJc w:val="left"/>
      <w:pPr>
        <w:ind w:left="357" w:hanging="357"/>
      </w:pPr>
      <w:rPr>
        <w:rFonts w:hint="default"/>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DEB1F68"/>
    <w:rsid w:val="08042124"/>
    <w:rsid w:val="4BD62845"/>
    <w:rsid w:val="4DEB1F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1"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1"/>
    <w:pPr>
      <w:autoSpaceDE w:val="0"/>
      <w:autoSpaceDN w:val="0"/>
      <w:ind w:firstLine="200" w:firstLineChars="200"/>
      <w:jc w:val="left"/>
    </w:pPr>
    <w:rPr>
      <w:rFonts w:ascii="宋体" w:hAnsi="宋体" w:eastAsia="宋体" w:cs="宋体"/>
      <w:kern w:val="0"/>
      <w:szCs w:val="21"/>
      <w:lang w:val="zh-CN" w:bidi="zh-CN"/>
    </w:rPr>
  </w:style>
  <w:style w:type="table" w:styleId="4">
    <w:name w:val="Table Grid"/>
    <w:basedOn w:val="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
    <w:name w:val="段"/>
    <w:qFormat/>
    <w:uiPriority w:val="0"/>
    <w:pPr>
      <w:tabs>
        <w:tab w:val="center" w:pos="4201"/>
        <w:tab w:val="right" w:leader="dot" w:pos="9298"/>
      </w:tabs>
      <w:autoSpaceDE w:val="0"/>
      <w:autoSpaceDN w:val="0"/>
      <w:jc w:val="both"/>
    </w:pPr>
    <w:rPr>
      <w:rFonts w:ascii="宋体" w:hAnsi="Times New Roman" w:eastAsiaTheme="minorEastAsia" w:cstheme="minorBidi"/>
      <w:kern w:val="2"/>
      <w:sz w:val="21"/>
      <w:szCs w:val="22"/>
      <w:lang w:val="en-US" w:eastAsia="zh-CN" w:bidi="ar-SA"/>
    </w:rPr>
  </w:style>
  <w:style w:type="paragraph" w:styleId="7">
    <w:name w:val="List Paragraph"/>
    <w:basedOn w:val="1"/>
    <w:qFormat/>
    <w:uiPriority w:val="34"/>
    <w:pPr>
      <w:ind w:firstLine="420" w:firstLineChars="200"/>
    </w:pPr>
  </w:style>
  <w:style w:type="paragraph" w:customStyle="1" w:styleId="8">
    <w:name w:val="标准文件_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Office_11.8.2.11473_F1E327BC-269C-435d-A152-05C5408002CA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2024-11-29T01:56:00Z</dcterms:created>
  <dc:creator>诸曾慧</dc:creator>
  <cp:lastModifiedBy>诸曾慧</cp:lastModifiedBy>
  <dcterms:modified xsi:type="dcterms:W3CDTF">2024-11-29T03:07:54Z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2052-11.8.2.11473</vt:lpwstr>
  </property>
  <property fmtid="{D5CDD505-2E9C-101B-9397-08002B2CF9AE}" pid="3" name="ICV">
    <vt:lpwstr>92152C761A0343FA8D22269B288E2BD7</vt:lpwstr>
  </property>
</Properties>
</file>