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D5386">
      <w:pPr>
        <w:pStyle w:val="127"/>
        <w:framePr w:wrap="around"/>
      </w:pPr>
      <w:r>
        <w:rPr>
          <w:rFonts w:ascii="Times New Roman"/>
        </w:rPr>
        <w:t>ICS</w:t>
      </w:r>
      <w:r>
        <w:rPr>
          <w:rFonts w:hAnsi="黑体"/>
        </w:rPr>
        <w:t> </w:t>
      </w:r>
      <w:r>
        <w:rPr>
          <w:rFonts w:hint="eastAsia" w:hAnsi="黑体"/>
        </w:rPr>
        <w:t>03.120.20</w:t>
      </w:r>
    </w:p>
    <w:p w14:paraId="16D7812C">
      <w:pPr>
        <w:pStyle w:val="127"/>
        <w:framePr w:wrap="around"/>
        <w:rPr>
          <w:rFonts w:ascii="Times New Roman"/>
        </w:rPr>
      </w:pPr>
      <w:r>
        <w:rPr>
          <w:rFonts w:hint="eastAsia" w:ascii="Times New Roman"/>
        </w:rPr>
        <w:t>CCS  A 00</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8"/>
      </w:tblGrid>
      <w:tr w14:paraId="758883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8" w:type="dxa"/>
            <w:tcBorders>
              <w:top w:val="nil"/>
              <w:left w:val="nil"/>
              <w:bottom w:val="nil"/>
              <w:right w:val="nil"/>
            </w:tcBorders>
            <w:shd w:val="clear" w:color="auto" w:fill="auto"/>
          </w:tcPr>
          <w:p w14:paraId="68F6B1F3">
            <w:pPr>
              <w:pStyle w:val="127"/>
              <w:framePr w:wrap="around"/>
            </w:pPr>
          </w:p>
        </w:tc>
      </w:tr>
    </w:tbl>
    <w:p w14:paraId="6910E587">
      <w:pPr>
        <w:pStyle w:val="113"/>
        <w:framePr w:wrap="around"/>
        <w:wordWrap w:val="0"/>
      </w:pPr>
      <w:r>
        <w:t xml:space="preserve">  </w:t>
      </w:r>
    </w:p>
    <w:p w14:paraId="0F434164">
      <w:pPr>
        <w:pStyle w:val="114"/>
        <w:framePr w:w="8038" w:wrap="around" w:x="2104"/>
        <w:rPr>
          <w:rFonts w:ascii="Times New Roman" w:hAnsi="Times New Roman"/>
          <w:sz w:val="72"/>
          <w:szCs w:val="72"/>
        </w:rPr>
      </w:pPr>
      <w:r>
        <w:rPr>
          <w:rFonts w:hint="eastAsia" w:ascii="Times New Roman" w:hAnsi="Times New Roman"/>
          <w:sz w:val="72"/>
          <w:szCs w:val="72"/>
        </w:rPr>
        <w:t>团体标准</w:t>
      </w:r>
    </w:p>
    <w:p w14:paraId="192ABE1C">
      <w:pPr>
        <w:pStyle w:val="51"/>
        <w:framePr w:wrap="around"/>
        <w:rPr>
          <w:rFonts w:hAnsi="黑体" w:cs="黑体"/>
        </w:rPr>
      </w:pPr>
      <w:r>
        <w:rPr>
          <w:rFonts w:hint="eastAsia" w:hAnsi="黑体" w:cs="黑体"/>
        </w:rPr>
        <w:t>T/CCAA XX—XXXX</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30"/>
      </w:tblGrid>
      <w:tr w14:paraId="6715BD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130" w:type="dxa"/>
            <w:tcBorders>
              <w:top w:val="nil"/>
              <w:left w:val="nil"/>
              <w:bottom w:val="nil"/>
              <w:right w:val="nil"/>
            </w:tcBorders>
            <w:shd w:val="clear" w:color="auto" w:fill="auto"/>
          </w:tcPr>
          <w:p w14:paraId="752ABFC9">
            <w:pPr>
              <w:pStyle w:val="80"/>
              <w:framePr w:wrap="around"/>
            </w:pPr>
            <w:r>
              <mc:AlternateContent>
                <mc:Choice Requires="wps">
                  <w:drawing>
                    <wp:anchor distT="0" distB="0" distL="114300" distR="114300" simplePos="0" relativeHeight="251663360" behindDoc="1" locked="0" layoutInCell="1" allowOverlap="1">
                      <wp:simplePos x="0" y="0"/>
                      <wp:positionH relativeFrom="column">
                        <wp:posOffset>4665980</wp:posOffset>
                      </wp:positionH>
                      <wp:positionV relativeFrom="paragraph">
                        <wp:posOffset>34290</wp:posOffset>
                      </wp:positionV>
                      <wp:extent cx="1143000" cy="228600"/>
                      <wp:effectExtent l="0" t="0" r="0" b="0"/>
                      <wp:wrapNone/>
                      <wp:docPr id="5"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25400" cap="flat" cmpd="sng" algn="ctr">
                                <a:noFill/>
                                <a:prstDash val="solid"/>
                              </a:ln>
                              <a:effectLst/>
                            </wps:spPr>
                            <wps:txbx>
                              <w:txbxContent>
                                <w:p w14:paraId="78EA6984">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DT" o:spid="_x0000_s1026" o:spt="1" style="position:absolute;left:0pt;margin-left:367.4pt;margin-top:2.7pt;height:18pt;width:90pt;z-index:-251653120;v-text-anchor:middle;mso-width-relative:page;mso-height-relative:page;" fillcolor="#FFFFFF" filled="t" stroked="f" coordsize="21600,21600" o:gfxdata="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MWe5P/TAAAACAEA&#10;AA8AAAAAAAAAAQAgAAAAIgAAAGRycy9kb3ducmV2LnhtbFBLAQIUABQAAAAIAIdO4kCpIlCfWAIA&#10;AMcEAAAOAAAAAAAAAAEAIAAAACIBAABkcnMvZTJvRG9jLnhtbFBLBQYAAAAABgAGAFkBAADsBQAA&#10;AAA=&#10;">
                      <v:fill on="t" focussize="0,0"/>
                      <v:stroke on="f" weight="2pt"/>
                      <v:imagedata o:title=""/>
                      <o:lock v:ext="edit" aspectratio="f"/>
                      <v:textbox>
                        <w:txbxContent>
                          <w:p w14:paraId="78EA6984">
                            <w:pPr>
                              <w:jc w:val="center"/>
                            </w:pPr>
                          </w:p>
                        </w:txbxContent>
                      </v:textbox>
                    </v:rect>
                  </w:pict>
                </mc:Fallback>
              </mc:AlternateContent>
            </w:r>
          </w:p>
        </w:tc>
      </w:tr>
    </w:tbl>
    <w:p w14:paraId="2EF07D6A">
      <w:pPr>
        <w:pStyle w:val="51"/>
        <w:framePr w:wrap="around"/>
        <w:rPr>
          <w:rFonts w:hAnsi="黑体"/>
        </w:rPr>
      </w:pPr>
    </w:p>
    <w:p w14:paraId="47C51A03">
      <w:pPr>
        <w:pStyle w:val="51"/>
        <w:framePr w:wrap="around"/>
        <w:rPr>
          <w:rFonts w:hAnsi="黑体"/>
        </w:rPr>
      </w:pPr>
    </w:p>
    <w:p w14:paraId="3801BFCC">
      <w:pPr>
        <w:pStyle w:val="82"/>
        <w:framePr w:wrap="around"/>
        <w:rPr>
          <w:rFonts w:hAnsi="黑体"/>
          <w:b/>
          <w:color w:val="000000" w:themeColor="text1"/>
          <w:szCs w:val="48"/>
          <w14:textFill>
            <w14:solidFill>
              <w14:schemeClr w14:val="tx1"/>
            </w14:solidFill>
          </w14:textFill>
        </w:rPr>
      </w:pPr>
      <w:r>
        <w:rPr>
          <w:rFonts w:hint="eastAsia" w:hAnsi="黑体"/>
          <w:b/>
          <w:color w:val="000000" w:themeColor="text1"/>
          <w:szCs w:val="48"/>
          <w14:textFill>
            <w14:solidFill>
              <w14:schemeClr w14:val="tx1"/>
            </w14:solidFill>
          </w14:textFill>
        </w:rPr>
        <w:t>模块化数据中心产品评价要求</w:t>
      </w:r>
    </w:p>
    <w:p w14:paraId="38057F3D">
      <w:pPr>
        <w:framePr w:w="9639" w:h="6917" w:hRule="exact" w:wrap="around" w:vAnchor="page" w:hAnchor="page" w:xAlign="center" w:y="6408" w:anchorLock="1"/>
        <w:adjustRightInd w:val="0"/>
        <w:snapToGrid w:val="0"/>
        <w:spacing w:before="62" w:beforeLines="20" w:after="62" w:afterLines="20"/>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Evaluation standard of modular data center products</w:t>
      </w:r>
    </w:p>
    <w:p w14:paraId="3D4F7627">
      <w:pPr>
        <w:pStyle w:val="84"/>
        <w:framePr w:wrap="around"/>
      </w:pP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9"/>
      </w:tblGrid>
      <w:tr w14:paraId="077D4F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auto"/>
          </w:tcPr>
          <w:p w14:paraId="0AE3ED76">
            <w:pPr>
              <w:pStyle w:val="85"/>
              <w:framePr w:wrap="around"/>
            </w:pPr>
            <w:r>
              <mc:AlternateContent>
                <mc:Choice Requires="wps">
                  <w:drawing>
                    <wp:anchor distT="0" distB="0" distL="114300" distR="114300" simplePos="0" relativeHeight="251665408" behindDoc="1" locked="1" layoutInCell="1" allowOverlap="1">
                      <wp:simplePos x="0" y="0"/>
                      <wp:positionH relativeFrom="column">
                        <wp:posOffset>2132330</wp:posOffset>
                      </wp:positionH>
                      <wp:positionV relativeFrom="paragraph">
                        <wp:posOffset>573405</wp:posOffset>
                      </wp:positionV>
                      <wp:extent cx="1905000" cy="254000"/>
                      <wp:effectExtent l="0" t="0" r="0" b="0"/>
                      <wp:wrapNone/>
                      <wp:docPr id="7"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25400" cap="flat" cmpd="sng" algn="ctr">
                                <a:noFill/>
                                <a:prstDash val="solid"/>
                              </a:ln>
                              <a:effectLst/>
                            </wps:spPr>
                            <wps:txbx>
                              <w:txbxContent>
                                <w:p w14:paraId="0C9A566E">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Q" o:spid="_x0000_s1026" o:spt="1" style="position:absolute;left:0pt;margin-left:167.9pt;margin-top:45.15pt;height:20pt;width:150pt;z-index:-251651072;v-text-anchor:middle;mso-width-relative:page;mso-height-relative:page;" fillcolor="#FFFFFF" filled="t" stroked="f" coordsize="21600,21600" o:gfxdata="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EiiOF3TAAAACgEAAA8A&#10;AAAAAAAAAQAgAAAAIgAAAGRycy9kb3ducmV2LnhtbFBLAQIUABQAAAAIAIdO4kC90npGVQIAAMcE&#10;AAAOAAAAAAAAAAEAIAAAACIBAABkcnMvZTJvRG9jLnhtbFBLBQYAAAAABgAGAFkBAADpBQAAAAA=&#10;">
                      <v:fill on="t" focussize="0,0"/>
                      <v:stroke on="f" weight="2pt"/>
                      <v:imagedata o:title=""/>
                      <o:lock v:ext="edit" aspectratio="f"/>
                      <v:textbox>
                        <w:txbxContent>
                          <w:p w14:paraId="0C9A566E">
                            <w:pPr>
                              <w:jc w:val="center"/>
                            </w:pPr>
                          </w:p>
                        </w:txbxContent>
                      </v:textbox>
                      <w10:anchorlock/>
                    </v:rect>
                  </w:pict>
                </mc:Fallback>
              </mc:AlternateContent>
            </w:r>
            <w:r>
              <mc:AlternateContent>
                <mc:Choice Requires="wps">
                  <w:drawing>
                    <wp:anchor distT="0" distB="0" distL="114300" distR="114300" simplePos="0" relativeHeight="251664384" behindDoc="1" locked="0" layoutInCell="1" allowOverlap="1">
                      <wp:simplePos x="0" y="0"/>
                      <wp:positionH relativeFrom="column">
                        <wp:posOffset>2386330</wp:posOffset>
                      </wp:positionH>
                      <wp:positionV relativeFrom="paragraph">
                        <wp:posOffset>255905</wp:posOffset>
                      </wp:positionV>
                      <wp:extent cx="1270000" cy="304800"/>
                      <wp:effectExtent l="0" t="0" r="0" b="0"/>
                      <wp:wrapNone/>
                      <wp:docPr id="6"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25400" cap="flat" cmpd="sng" algn="ctr">
                                <a:noFill/>
                                <a:prstDash val="solid"/>
                              </a:ln>
                              <a:effectLst/>
                            </wps:spPr>
                            <wps:txbx>
                              <w:txbxContent>
                                <w:p w14:paraId="7487BF2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LB" o:spid="_x0000_s1026" o:spt="1" style="position:absolute;left:0pt;margin-left:187.9pt;margin-top:20.15pt;height:24pt;width:100pt;z-index:-251652096;v-text-anchor:middle;mso-width-relative:page;mso-height-relative:page;" fillcolor="#FFFFFF" filled="t" stroked="f" coordsize="21600,21600" o:gfxdata="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NIEcv1AAAAAkB&#10;AAAPAAAAAAAAAAEAIAAAACIAAABkcnMvZG93bnJldi54bWxQSwECFAAUAAAACACHTuJA7GlKnlgC&#10;AADHBAAADgAAAAAAAAABACAAAAAjAQAAZHJzL2Uyb0RvYy54bWxQSwUGAAAAAAYABgBZAQAA7QUA&#10;AAAA&#10;">
                      <v:fill on="t" focussize="0,0"/>
                      <v:stroke on="f" weight="2pt"/>
                      <v:imagedata o:title=""/>
                      <o:lock v:ext="edit" aspectratio="f"/>
                      <v:textbox>
                        <w:txbxContent>
                          <w:p w14:paraId="7487BF26">
                            <w:pPr>
                              <w:jc w:val="center"/>
                            </w:pPr>
                          </w:p>
                        </w:txbxContent>
                      </v:textbox>
                    </v:rect>
                  </w:pict>
                </mc:Fallback>
              </mc:AlternateConten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征集意见稿</w:t>
            </w:r>
            <w:r>
              <w:rPr>
                <w:rFonts w:hint="eastAsia"/>
                <w:color w:val="000000" w:themeColor="text1"/>
                <w14:textFill>
                  <w14:solidFill>
                    <w14:schemeClr w14:val="tx1"/>
                  </w14:solidFill>
                </w14:textFill>
              </w:rPr>
              <w:t>）</w:t>
            </w:r>
          </w:p>
        </w:tc>
      </w:tr>
      <w:tr w14:paraId="09BAD9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auto"/>
          </w:tcPr>
          <w:p w14:paraId="522CE2F0">
            <w:pPr>
              <w:pStyle w:val="86"/>
              <w:framePr w:wrap="around"/>
            </w:pPr>
          </w:p>
        </w:tc>
      </w:tr>
    </w:tbl>
    <w:p w14:paraId="46E9767A">
      <w:pPr>
        <w:pStyle w:val="134"/>
        <w:framePr w:wrap="around"/>
      </w:pPr>
      <w:r>
        <w:rPr>
          <w:rFonts w:hint="eastAsia" w:ascii="黑体"/>
        </w:rPr>
        <w:t>202X</w:t>
      </w:r>
      <w:r>
        <w:rPr>
          <w:rFonts w:ascii="黑体"/>
        </w:rPr>
        <w:t xml:space="preserve"> -</w:t>
      </w:r>
      <w:r>
        <w:rPr>
          <w:rFonts w:hint="eastAsia" w:ascii="黑体"/>
        </w:rPr>
        <w:t>XX</w:t>
      </w:r>
      <w:r>
        <w:rPr>
          <w:rFonts w:ascii="黑体"/>
        </w:rPr>
        <w:t xml:space="preserve"> -</w:t>
      </w:r>
      <w:r>
        <w:rPr>
          <w:rFonts w:hint="eastAsia" w:ascii="黑体"/>
        </w:rPr>
        <w:t>XX</w:t>
      </w:r>
      <w:r>
        <w:rPr>
          <w:rFonts w:hint="eastAsia"/>
        </w:rPr>
        <w:t>发布</w:t>
      </w: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2338705</wp:posOffset>
                </wp:positionV>
                <wp:extent cx="6120130" cy="0"/>
                <wp:effectExtent l="0" t="0" r="0" b="0"/>
                <wp:wrapNone/>
                <wp:docPr id="1876520258" name="直接连接符 7"/>
                <wp:cNvGraphicFramePr/>
                <a:graphic xmlns:a="http://schemas.openxmlformats.org/drawingml/2006/main">
                  <a:graphicData uri="http://schemas.microsoft.com/office/word/2010/wordprocessingShape">
                    <wps:wsp>
                      <wps:cNvCnPr/>
                      <wps:spPr>
                        <a:xfrm>
                          <a:off x="0" y="0"/>
                          <a:ext cx="6120130" cy="0"/>
                        </a:xfrm>
                        <a:prstGeom prst="line">
                          <a:avLst/>
                        </a:prstGeom>
                        <a:noFill/>
                        <a:ln w="9525" cap="flat" cmpd="sng" algn="ctr">
                          <a:solidFill>
                            <a:srgbClr val="000000"/>
                          </a:solidFill>
                          <a:prstDash val="solid"/>
                        </a:ln>
                      </wps:spPr>
                      <wps:bodyPr/>
                    </wps:wsp>
                  </a:graphicData>
                </a:graphic>
              </wp:anchor>
            </w:drawing>
          </mc:Choice>
          <mc:Fallback>
            <w:pict>
              <v:line id="直接连接符 7" o:spid="_x0000_s1026" o:spt="20" style="position:absolute;left:0pt;margin-left:0pt;margin-top:184.15pt;height:0pt;width:481.9pt;z-index:251660288;mso-width-relative:page;mso-height-relative:page;" filled="f" stroked="t" coordsize="21600,21600" o:gfxdata="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ZPSXN1QAAAAgBAAAPAAAA&#10;AAAAAAEAIAAAACIAAABkcnMvZG93bnJldi54bWxQSwECFAAUAAAACACHTuJAbK6FSt8BAACjAwAA&#10;DgAAAAAAAAABACAAAAAkAQAAZHJzL2Uyb0RvYy54bWxQSwUGAAAAAAYABgBZAQAAdQ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8891270</wp:posOffset>
                </wp:positionV>
                <wp:extent cx="6120130" cy="0"/>
                <wp:effectExtent l="0" t="0" r="0" b="0"/>
                <wp:wrapNone/>
                <wp:docPr id="628628715" name="直接连接符 6"/>
                <wp:cNvGraphicFramePr/>
                <a:graphic xmlns:a="http://schemas.openxmlformats.org/drawingml/2006/main">
                  <a:graphicData uri="http://schemas.microsoft.com/office/word/2010/wordprocessingShape">
                    <wps:wsp>
                      <wps:cNvCnPr/>
                      <wps:spPr>
                        <a:xfrm>
                          <a:off x="0" y="0"/>
                          <a:ext cx="6120130" cy="0"/>
                        </a:xfrm>
                        <a:prstGeom prst="line">
                          <a:avLst/>
                        </a:prstGeom>
                        <a:noFill/>
                        <a:ln w="9525" cap="flat" cmpd="sng" algn="ctr">
                          <a:solidFill>
                            <a:srgbClr val="000000"/>
                          </a:solidFill>
                          <a:prstDash val="solid"/>
                        </a:ln>
                      </wps:spPr>
                      <wps:bodyPr/>
                    </wps:wsp>
                  </a:graphicData>
                </a:graphic>
              </wp:anchor>
            </w:drawing>
          </mc:Choice>
          <mc:Fallback>
            <w:pict>
              <v:line id="直接连接符 6" o:spid="_x0000_s1026" o:spt="20" style="position:absolute;left:0pt;margin-left:0pt;margin-top:700.1pt;height:0pt;width:481.9pt;z-index:251659264;mso-width-relative:page;mso-height-relative:page;" filled="f" stroked="t" coordsize="21600,21600" o:gfxdata="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edK78tUAAAAKAQAADwAAAAAA&#10;AAABACAAAAAiAAAAZHJzL2Rvd25yZXYueG1sUEsBAhQAFAAAAAgAh07iQGiDV67dAQAAogMAAA4A&#10;AAAAAAAAAQAgAAAAJAEAAGRycy9lMm9Eb2MueG1sUEsFBgAAAAAGAAYAWQEAAHMFAAAAAA==&#10;">
                <v:fill on="f" focussize="0,0"/>
                <v:stroke color="#000000" joinstyle="round"/>
                <v:imagedata o:title=""/>
                <o:lock v:ext="edit" aspectratio="f"/>
              </v:line>
            </w:pict>
          </mc:Fallback>
        </mc:AlternateContent>
      </w:r>
    </w:p>
    <w:p w14:paraId="6DA740D9">
      <w:pPr>
        <w:pStyle w:val="135"/>
        <w:framePr w:wrap="around"/>
      </w:pPr>
      <w:r>
        <w:rPr>
          <w:rFonts w:hint="eastAsia" w:ascii="黑体"/>
        </w:rPr>
        <w:t>202X</w:t>
      </w:r>
      <w:r>
        <w:t xml:space="preserve"> </w:t>
      </w:r>
      <w:r>
        <w:rPr>
          <w:rFonts w:ascii="黑体"/>
        </w:rPr>
        <w:t xml:space="preserve">- </w:t>
      </w:r>
      <w:r>
        <w:rPr>
          <w:rFonts w:hint="eastAsia" w:ascii="黑体"/>
        </w:rPr>
        <w:t>XX</w:t>
      </w:r>
      <w:r>
        <w:rPr>
          <w:rFonts w:ascii="黑体"/>
        </w:rPr>
        <w:t xml:space="preserve"> - </w:t>
      </w:r>
      <w:r>
        <w:rPr>
          <w:rFonts w:hint="eastAsia" w:ascii="黑体"/>
        </w:rPr>
        <w:t>XX</w:t>
      </w:r>
      <w:r>
        <w:rPr>
          <w:rFonts w:hint="eastAsia"/>
        </w:rPr>
        <w:t>实施</w:t>
      </w:r>
    </w:p>
    <w:p w14:paraId="2BFB1B7C">
      <w:pPr>
        <w:pStyle w:val="115"/>
        <w:framePr w:wrap="around"/>
      </w:pPr>
      <w:r>
        <w:rPr>
          <w:rFonts w:hint="eastAsia"/>
        </w:rPr>
        <w:t>中国认证认可协会</w:t>
      </w:r>
      <w:r>
        <w:t xml:space="preserve"> </w:t>
      </w:r>
      <w:r>
        <w:rPr>
          <w:rStyle w:val="77"/>
        </w:rPr>
        <w:t xml:space="preserve"> </w:t>
      </w:r>
      <w:r>
        <w:rPr>
          <w:rStyle w:val="77"/>
          <w:rFonts w:hint="eastAsia"/>
        </w:rPr>
        <w:t>发布</w:t>
      </w:r>
    </w:p>
    <w:p w14:paraId="3D934D46">
      <w:pPr>
        <w:pStyle w:val="25"/>
        <w:ind w:firstLine="0" w:firstLineChars="0"/>
        <w:sectPr>
          <w:headerReference r:id="rId3" w:type="even"/>
          <w:footerReference r:id="rId4" w:type="even"/>
          <w:pgSz w:w="11906" w:h="16838"/>
          <w:pgMar w:top="567" w:right="850" w:bottom="1134" w:left="1418" w:header="0" w:footer="0" w:gutter="0"/>
          <w:pgBorders>
            <w:top w:val="none" w:sz="0" w:space="0"/>
            <w:left w:val="none" w:sz="0" w:space="0"/>
            <w:bottom w:val="none" w:sz="0" w:space="0"/>
            <w:right w:val="none" w:sz="0" w:space="0"/>
          </w:pgBorders>
          <w:pgNumType w:fmt="upperRoman" w:start="1"/>
          <w:cols w:space="425" w:num="1"/>
          <w:docGrid w:type="lines" w:linePitch="312" w:charSpace="0"/>
        </w:sectPr>
      </w:pPr>
      <w:r>
        <mc:AlternateContent>
          <mc:Choice Requires="wps">
            <w:drawing>
              <wp:anchor distT="0" distB="0" distL="114300" distR="114300" simplePos="0" relativeHeight="251666432" behindDoc="1" locked="0" layoutInCell="1" allowOverlap="1">
                <wp:simplePos x="0" y="0"/>
                <wp:positionH relativeFrom="column">
                  <wp:posOffset>-66675</wp:posOffset>
                </wp:positionH>
                <wp:positionV relativeFrom="paragraph">
                  <wp:posOffset>396240</wp:posOffset>
                </wp:positionV>
                <wp:extent cx="866775" cy="198120"/>
                <wp:effectExtent l="0" t="0" r="0" b="0"/>
                <wp:wrapNone/>
                <wp:docPr id="8"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25400" cap="flat" cmpd="sng" algn="ctr">
                          <a:noFill/>
                          <a:prstDash val="solid"/>
                        </a:ln>
                        <a:effectLst/>
                      </wps:spPr>
                      <wps:txbx>
                        <w:txbxContent>
                          <w:p w14:paraId="0E69F544">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BAH" o:spid="_x0000_s1026" o:spt="1" style="position:absolute;left:0pt;margin-left:-5.25pt;margin-top:31.2pt;height:15.6pt;width:68.25pt;z-index:-251650048;v-text-anchor:middle;mso-width-relative:page;mso-height-relative:page;" fillcolor="#FFFFFF" filled="t" stroked="f" coordsize="21600,21600" o:gfxdata="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Wm2xzV&#10;AAAACQEAAA8AAAAAAAAAAQAgAAAAIgAAAGRycy9kb3ducmV2LnhtbFBLAQIUABQAAAAIAIdO4kAs&#10;2cSyXAIAAMcEAAAOAAAAAAAAAAEAIAAAACQBAABkcnMvZTJvRG9jLnhtbFBLBQYAAAAABgAGAFkB&#10;AADyBQAAAAA=&#10;">
                <v:fill on="t" focussize="0,0"/>
                <v:stroke on="f" weight="2pt"/>
                <v:imagedata o:title=""/>
                <o:lock v:ext="edit" aspectratio="f"/>
                <v:textbox>
                  <w:txbxContent>
                    <w:p w14:paraId="0E69F544">
                      <w:pPr>
                        <w:jc w:val="center"/>
                      </w:pP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2338705</wp:posOffset>
                </wp:positionV>
                <wp:extent cx="6120130" cy="0"/>
                <wp:effectExtent l="0" t="0" r="0" b="0"/>
                <wp:wrapNone/>
                <wp:docPr id="929165813"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noFill/>
                        <a:ln w="9525" cap="flat" cmpd="sng" algn="ctr">
                          <a:solidFill>
                            <a:srgbClr val="000000"/>
                          </a:solidFill>
                          <a:prstDash val="solid"/>
                        </a:ln>
                      </wps:spPr>
                      <wps:bodyPr/>
                    </wps:wsp>
                  </a:graphicData>
                </a:graphic>
              </wp:anchor>
            </w:drawing>
          </mc:Choice>
          <mc:Fallback>
            <w:pict>
              <v:line id="直接连接符 5" o:spid="_x0000_s1026" o:spt="20" style="position:absolute;left:0pt;margin-left:0pt;margin-top:184.15pt;height:0pt;width:481.9pt;z-index:251662336;mso-width-relative:page;mso-height-relative:page;" filled="f" stroked="t" coordsize="21600,21600" o:gfxdata="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k9Jc3VAAAACAEAAA8AAAAA&#10;AAAAAQAgAAAAIgAAAGRycy9kb3ducmV2LnhtbFBLAQIUABQAAAAIAIdO4kA4odAE3gEAAKIDAAAO&#10;AAAAAAAAAAEAIAAAACQBAABkcnMvZTJvRG9jLnhtbFBLBQYAAAAABgAGAFkBAAB0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8891270</wp:posOffset>
                </wp:positionV>
                <wp:extent cx="6120130" cy="0"/>
                <wp:effectExtent l="0" t="0" r="0" b="0"/>
                <wp:wrapNone/>
                <wp:docPr id="1376807488" name="直接连接符 4"/>
                <wp:cNvGraphicFramePr/>
                <a:graphic xmlns:a="http://schemas.openxmlformats.org/drawingml/2006/main">
                  <a:graphicData uri="http://schemas.microsoft.com/office/word/2010/wordprocessingShape">
                    <wps:wsp>
                      <wps:cNvCnPr/>
                      <wps:spPr>
                        <a:xfrm>
                          <a:off x="0" y="0"/>
                          <a:ext cx="6120130" cy="0"/>
                        </a:xfrm>
                        <a:prstGeom prst="line">
                          <a:avLst/>
                        </a:prstGeom>
                        <a:noFill/>
                        <a:ln w="9525" cap="flat" cmpd="sng" algn="ctr">
                          <a:solidFill>
                            <a:srgbClr val="000000"/>
                          </a:solidFill>
                          <a:prstDash val="solid"/>
                        </a:ln>
                      </wps:spPr>
                      <wps:bodyPr/>
                    </wps:wsp>
                  </a:graphicData>
                </a:graphic>
              </wp:anchor>
            </w:drawing>
          </mc:Choice>
          <mc:Fallback>
            <w:pict>
              <v:line id="直接连接符 4" o:spid="_x0000_s1026" o:spt="20" style="position:absolute;left:0pt;margin-left:0pt;margin-top:700.1pt;height:0pt;width:481.9pt;z-index:251661312;mso-width-relative:page;mso-height-relative:page;" filled="f" stroked="t" coordsize="21600,21600" o:gfxdata="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50rvy1QAAAAoBAAAPAAAA&#10;AAAAAAEAIAAAACIAAABkcnMvZG93bnJldi54bWxQSwECFAAUAAAACACHTuJAbnkn5N8BAACjAwAA&#10;DgAAAAAAAAABACAAAAAkAQAAZHJzL2Uyb0RvYy54bWxQSwUGAAAAAAYABgBZAQAAdQUAAAAA&#10;">
                <v:fill on="f" focussize="0,0"/>
                <v:stroke color="#000000" joinstyle="round"/>
                <v:imagedata o:title=""/>
                <o:lock v:ext="edit" aspectratio="f"/>
              </v:line>
            </w:pict>
          </mc:Fallback>
        </mc:AlternateContent>
      </w:r>
    </w:p>
    <w:p w14:paraId="64D7C966">
      <w:pPr>
        <w:jc w:val="center"/>
        <w:rPr>
          <w:rFonts w:eastAsia="黑体"/>
          <w:sz w:val="32"/>
          <w:szCs w:val="32"/>
        </w:rPr>
      </w:pPr>
      <w:bookmarkStart w:id="0" w:name="_Toc7167"/>
      <w:bookmarkStart w:id="1" w:name="_Toc27836"/>
      <w:bookmarkStart w:id="2" w:name="_Toc383701492"/>
      <w:bookmarkStart w:id="3" w:name="_Toc383701993"/>
      <w:bookmarkStart w:id="4" w:name="_Toc468692981"/>
      <w:bookmarkStart w:id="5" w:name="_Toc44414101"/>
      <w:bookmarkStart w:id="6" w:name="_Toc52288514"/>
    </w:p>
    <w:p w14:paraId="4B8FC817">
      <w:pPr>
        <w:jc w:val="center"/>
        <w:outlineLvl w:val="0"/>
        <w:rPr>
          <w:rFonts w:eastAsia="黑体"/>
          <w:sz w:val="32"/>
          <w:szCs w:val="32"/>
        </w:rPr>
      </w:pPr>
      <w:bookmarkStart w:id="7" w:name="_Toc166092708"/>
      <w:bookmarkStart w:id="8" w:name="_Toc11517"/>
      <w:bookmarkStart w:id="9" w:name="_Toc26413"/>
      <w:r>
        <w:rPr>
          <w:rFonts w:eastAsia="黑体"/>
          <w:sz w:val="32"/>
          <w:szCs w:val="32"/>
        </w:rPr>
        <w:t>目    次</w:t>
      </w:r>
      <w:bookmarkEnd w:id="0"/>
      <w:bookmarkEnd w:id="1"/>
      <w:bookmarkEnd w:id="2"/>
      <w:bookmarkEnd w:id="3"/>
      <w:bookmarkEnd w:id="4"/>
      <w:bookmarkEnd w:id="7"/>
      <w:bookmarkEnd w:id="8"/>
      <w:bookmarkEnd w:id="9"/>
    </w:p>
    <w:bookmarkEnd w:id="5"/>
    <w:bookmarkEnd w:id="6"/>
    <w:sdt>
      <w:sdtPr>
        <w:rPr>
          <w:rFonts w:ascii="宋体" w:hAnsi="宋体"/>
          <w:kern w:val="0"/>
          <w:szCs w:val="20"/>
        </w:rPr>
        <w:id w:val="147475240"/>
        <w:docPartObj>
          <w:docPartGallery w:val="Table of Contents"/>
          <w:docPartUnique/>
        </w:docPartObj>
      </w:sdtPr>
      <w:sdtEndPr>
        <w:rPr>
          <w:rFonts w:ascii="宋体" w:hAnsi="Times New Roman"/>
          <w:b/>
          <w:kern w:val="2"/>
          <w:szCs w:val="21"/>
        </w:rPr>
      </w:sdtEndPr>
      <w:sdtContent>
        <w:p w14:paraId="0ACC61BA">
          <w:pPr>
            <w:jc w:val="center"/>
            <w:rPr>
              <w:rFonts w:ascii="宋体" w:hAnsi="宋体"/>
            </w:rPr>
          </w:pPr>
        </w:p>
        <w:p w14:paraId="410403B8">
          <w:pPr>
            <w:jc w:val="center"/>
            <w:rPr>
              <w:rFonts w:ascii="宋体" w:hAnsi="宋体"/>
            </w:rPr>
          </w:pPr>
        </w:p>
        <w:p w14:paraId="6C0ADDCF">
          <w:pPr>
            <w:pStyle w:val="21"/>
            <w:spacing w:before="78" w:after="78"/>
            <w:rPr>
              <w:rFonts w:asciiTheme="minorHAnsi" w:hAnsiTheme="minorHAnsi" w:eastAsiaTheme="minorEastAsia" w:cstheme="minorBidi"/>
              <w:szCs w:val="22"/>
            </w:rPr>
          </w:pPr>
          <w:r>
            <w:rPr>
              <w:rStyle w:val="42"/>
              <w:rFonts w:hint="eastAsia"/>
            </w:rPr>
            <w:fldChar w:fldCharType="begin"/>
          </w:r>
          <w:r>
            <w:rPr>
              <w:rStyle w:val="42"/>
              <w:rFonts w:hint="eastAsia"/>
            </w:rPr>
            <w:instrText xml:space="preserve">TOC \o "1-2" \h \u </w:instrText>
          </w:r>
          <w:r>
            <w:rPr>
              <w:rStyle w:val="42"/>
              <w:rFonts w:hint="eastAsia"/>
            </w:rPr>
            <w:fldChar w:fldCharType="separate"/>
          </w:r>
          <w:r>
            <w:fldChar w:fldCharType="begin"/>
          </w:r>
          <w:r>
            <w:instrText xml:space="preserve"> HYPERLINK \l "_Toc166092708" </w:instrText>
          </w:r>
          <w:r>
            <w:fldChar w:fldCharType="separate"/>
          </w:r>
          <w:r>
            <w:rPr>
              <w:rStyle w:val="42"/>
              <w:rFonts w:eastAsia="黑体"/>
            </w:rPr>
            <w:t>目    次</w:t>
          </w:r>
          <w:r>
            <w:tab/>
          </w:r>
          <w:r>
            <w:fldChar w:fldCharType="begin"/>
          </w:r>
          <w:r>
            <w:instrText xml:space="preserve"> PAGEREF _Toc166092708 \h </w:instrText>
          </w:r>
          <w:r>
            <w:fldChar w:fldCharType="separate"/>
          </w:r>
          <w:r>
            <w:t>II</w:t>
          </w:r>
          <w:r>
            <w:fldChar w:fldCharType="end"/>
          </w:r>
          <w:r>
            <w:fldChar w:fldCharType="end"/>
          </w:r>
        </w:p>
        <w:p w14:paraId="13315B3D">
          <w:pPr>
            <w:pStyle w:val="21"/>
            <w:spacing w:before="78" w:after="78"/>
            <w:rPr>
              <w:rFonts w:asciiTheme="minorHAnsi" w:hAnsiTheme="minorHAnsi" w:eastAsiaTheme="minorEastAsia" w:cstheme="minorBidi"/>
              <w:szCs w:val="22"/>
            </w:rPr>
          </w:pPr>
          <w:r>
            <w:fldChar w:fldCharType="begin"/>
          </w:r>
          <w:r>
            <w:instrText xml:space="preserve"> HYPERLINK \l "_Toc166092709" </w:instrText>
          </w:r>
          <w:r>
            <w:fldChar w:fldCharType="separate"/>
          </w:r>
          <w:r>
            <w:rPr>
              <w:rStyle w:val="42"/>
              <w:rFonts w:ascii="黑体" w:hAnsi="黑体" w:eastAsia="黑体" w:cs="黑体"/>
            </w:rPr>
            <w:t>前    言</w:t>
          </w:r>
          <w:r>
            <w:tab/>
          </w:r>
          <w:r>
            <w:fldChar w:fldCharType="begin"/>
          </w:r>
          <w:r>
            <w:instrText xml:space="preserve"> PAGEREF _Toc166092709 \h </w:instrText>
          </w:r>
          <w:r>
            <w:fldChar w:fldCharType="separate"/>
          </w:r>
          <w:r>
            <w:t>II</w:t>
          </w:r>
          <w:r>
            <w:fldChar w:fldCharType="end"/>
          </w:r>
          <w:r>
            <w:fldChar w:fldCharType="end"/>
          </w:r>
        </w:p>
        <w:p w14:paraId="14D08678">
          <w:pPr>
            <w:pStyle w:val="21"/>
            <w:spacing w:before="78" w:after="78"/>
            <w:rPr>
              <w:rFonts w:asciiTheme="minorHAnsi" w:hAnsiTheme="minorHAnsi" w:eastAsiaTheme="minorEastAsia" w:cstheme="minorBidi"/>
              <w:szCs w:val="22"/>
            </w:rPr>
          </w:pPr>
          <w:r>
            <w:fldChar w:fldCharType="begin"/>
          </w:r>
          <w:r>
            <w:instrText xml:space="preserve"> HYPERLINK \l "_Toc166092710" </w:instrText>
          </w:r>
          <w:r>
            <w:fldChar w:fldCharType="separate"/>
          </w:r>
          <w:r>
            <w:rPr>
              <w:rStyle w:val="42"/>
            </w:rPr>
            <w:t>1 范围</w:t>
          </w:r>
          <w:r>
            <w:tab/>
          </w:r>
          <w:r>
            <w:fldChar w:fldCharType="begin"/>
          </w:r>
          <w:r>
            <w:instrText xml:space="preserve"> PAGEREF _Toc166092710 \h </w:instrText>
          </w:r>
          <w:r>
            <w:fldChar w:fldCharType="separate"/>
          </w:r>
          <w:r>
            <w:t>1</w:t>
          </w:r>
          <w:r>
            <w:fldChar w:fldCharType="end"/>
          </w:r>
          <w:r>
            <w:fldChar w:fldCharType="end"/>
          </w:r>
        </w:p>
        <w:p w14:paraId="242AA4CA">
          <w:pPr>
            <w:pStyle w:val="21"/>
            <w:spacing w:before="78" w:after="78"/>
            <w:rPr>
              <w:rFonts w:asciiTheme="minorHAnsi" w:hAnsiTheme="minorHAnsi" w:eastAsiaTheme="minorEastAsia" w:cstheme="minorBidi"/>
              <w:szCs w:val="22"/>
            </w:rPr>
          </w:pPr>
          <w:r>
            <w:fldChar w:fldCharType="begin"/>
          </w:r>
          <w:r>
            <w:instrText xml:space="preserve"> HYPERLINK \l "_Toc166092711" </w:instrText>
          </w:r>
          <w:r>
            <w:fldChar w:fldCharType="separate"/>
          </w:r>
          <w:r>
            <w:rPr>
              <w:rStyle w:val="42"/>
            </w:rPr>
            <w:t>2 规范性引用文件</w:t>
          </w:r>
          <w:r>
            <w:tab/>
          </w:r>
          <w:r>
            <w:fldChar w:fldCharType="begin"/>
          </w:r>
          <w:r>
            <w:instrText xml:space="preserve"> PAGEREF _Toc166092711 \h </w:instrText>
          </w:r>
          <w:r>
            <w:fldChar w:fldCharType="separate"/>
          </w:r>
          <w:r>
            <w:t>1</w:t>
          </w:r>
          <w:r>
            <w:fldChar w:fldCharType="end"/>
          </w:r>
          <w:r>
            <w:fldChar w:fldCharType="end"/>
          </w:r>
        </w:p>
        <w:p w14:paraId="689227E1">
          <w:pPr>
            <w:pStyle w:val="21"/>
            <w:spacing w:before="78" w:after="78"/>
            <w:rPr>
              <w:rFonts w:asciiTheme="minorHAnsi" w:hAnsiTheme="minorHAnsi" w:eastAsiaTheme="minorEastAsia" w:cstheme="minorBidi"/>
              <w:szCs w:val="22"/>
            </w:rPr>
          </w:pPr>
          <w:r>
            <w:fldChar w:fldCharType="begin"/>
          </w:r>
          <w:r>
            <w:instrText xml:space="preserve"> HYPERLINK \l "_Toc166092712" </w:instrText>
          </w:r>
          <w:r>
            <w:fldChar w:fldCharType="separate"/>
          </w:r>
          <w:r>
            <w:rPr>
              <w:rStyle w:val="42"/>
            </w:rPr>
            <w:t>3 术语和定义</w:t>
          </w:r>
          <w:r>
            <w:tab/>
          </w:r>
          <w:r>
            <w:fldChar w:fldCharType="begin"/>
          </w:r>
          <w:r>
            <w:instrText xml:space="preserve"> PAGEREF _Toc166092712 \h </w:instrText>
          </w:r>
          <w:r>
            <w:fldChar w:fldCharType="separate"/>
          </w:r>
          <w:r>
            <w:t>1</w:t>
          </w:r>
          <w:r>
            <w:fldChar w:fldCharType="end"/>
          </w:r>
          <w:r>
            <w:fldChar w:fldCharType="end"/>
          </w:r>
        </w:p>
        <w:p w14:paraId="52522F60">
          <w:pPr>
            <w:pStyle w:val="21"/>
            <w:spacing w:before="78" w:after="78"/>
            <w:rPr>
              <w:rFonts w:asciiTheme="minorHAnsi" w:hAnsiTheme="minorHAnsi" w:eastAsiaTheme="minorEastAsia" w:cstheme="minorBidi"/>
              <w:szCs w:val="22"/>
            </w:rPr>
          </w:pPr>
          <w:r>
            <w:fldChar w:fldCharType="begin"/>
          </w:r>
          <w:r>
            <w:instrText xml:space="preserve"> HYPERLINK \l "_Toc166092713" </w:instrText>
          </w:r>
          <w:r>
            <w:fldChar w:fldCharType="separate"/>
          </w:r>
          <w:r>
            <w:rPr>
              <w:rStyle w:val="42"/>
            </w:rPr>
            <w:t>4</w:t>
          </w:r>
          <w:r>
            <w:rPr>
              <w:rStyle w:val="42"/>
              <w:rFonts w:ascii="Times New Roman"/>
            </w:rPr>
            <w:t xml:space="preserve"> </w:t>
          </w:r>
          <w:r>
            <w:rPr>
              <w:rStyle w:val="42"/>
              <w:rFonts w:hint="eastAsia" w:ascii="Times New Roman"/>
            </w:rPr>
            <w:t>模块化</w:t>
          </w:r>
          <w:r>
            <w:rPr>
              <w:rStyle w:val="42"/>
              <w:rFonts w:ascii="Times New Roman"/>
            </w:rPr>
            <w:t>技术要求</w:t>
          </w:r>
          <w:r>
            <w:tab/>
          </w:r>
          <w:r>
            <w:fldChar w:fldCharType="begin"/>
          </w:r>
          <w:r>
            <w:instrText xml:space="preserve"> PAGEREF _Toc166092713 \h </w:instrText>
          </w:r>
          <w:r>
            <w:fldChar w:fldCharType="separate"/>
          </w:r>
          <w:r>
            <w:t>2</w:t>
          </w:r>
          <w:r>
            <w:fldChar w:fldCharType="end"/>
          </w:r>
          <w:r>
            <w:fldChar w:fldCharType="end"/>
          </w:r>
        </w:p>
        <w:p w14:paraId="2F745448">
          <w:pPr>
            <w:pStyle w:val="21"/>
            <w:spacing w:before="78" w:after="78"/>
            <w:rPr>
              <w:rFonts w:asciiTheme="minorHAnsi" w:hAnsiTheme="minorHAnsi" w:eastAsiaTheme="minorEastAsia" w:cstheme="minorBidi"/>
              <w:szCs w:val="22"/>
            </w:rPr>
          </w:pPr>
          <w:r>
            <w:fldChar w:fldCharType="begin"/>
          </w:r>
          <w:r>
            <w:instrText xml:space="preserve"> HYPERLINK \l "_Toc166092714" </w:instrText>
          </w:r>
          <w:r>
            <w:fldChar w:fldCharType="separate"/>
          </w:r>
          <w:r>
            <w:rPr>
              <w:rStyle w:val="42"/>
            </w:rPr>
            <w:t xml:space="preserve">5 </w:t>
          </w:r>
          <w:r>
            <w:rPr>
              <w:rStyle w:val="42"/>
              <w:rFonts w:hint="eastAsia"/>
            </w:rPr>
            <w:t>模块化</w:t>
          </w:r>
          <w:r>
            <w:rPr>
              <w:rStyle w:val="42"/>
            </w:rPr>
            <w:t>测试方法</w:t>
          </w:r>
          <w:r>
            <w:tab/>
          </w:r>
          <w:r>
            <w:fldChar w:fldCharType="begin"/>
          </w:r>
          <w:r>
            <w:instrText xml:space="preserve"> PAGEREF _Toc166092714 \h </w:instrText>
          </w:r>
          <w:r>
            <w:fldChar w:fldCharType="separate"/>
          </w:r>
          <w:r>
            <w:t>6</w:t>
          </w:r>
          <w:r>
            <w:fldChar w:fldCharType="end"/>
          </w:r>
          <w:r>
            <w:fldChar w:fldCharType="end"/>
          </w:r>
        </w:p>
        <w:p w14:paraId="31605900">
          <w:pPr>
            <w:pStyle w:val="21"/>
            <w:spacing w:before="78" w:after="78"/>
            <w:rPr>
              <w:rFonts w:asciiTheme="minorHAnsi" w:hAnsiTheme="minorHAnsi" w:eastAsiaTheme="minorEastAsia" w:cstheme="minorBidi"/>
              <w:szCs w:val="22"/>
            </w:rPr>
          </w:pPr>
          <w:r>
            <w:fldChar w:fldCharType="begin"/>
          </w:r>
          <w:r>
            <w:instrText xml:space="preserve"> HYPERLINK \l "_Toc166092715" </w:instrText>
          </w:r>
          <w:r>
            <w:fldChar w:fldCharType="separate"/>
          </w:r>
          <w:r>
            <w:rPr>
              <w:rStyle w:val="42"/>
            </w:rPr>
            <w:t xml:space="preserve">6 </w:t>
          </w:r>
          <w:r>
            <w:rPr>
              <w:rStyle w:val="42"/>
              <w:rFonts w:hint="eastAsia"/>
            </w:rPr>
            <w:t>模块化</w:t>
          </w:r>
          <w:r>
            <w:rPr>
              <w:rStyle w:val="42"/>
            </w:rPr>
            <w:t>测试综合评分规则</w:t>
          </w:r>
          <w:r>
            <w:tab/>
          </w:r>
          <w:r>
            <w:fldChar w:fldCharType="begin"/>
          </w:r>
          <w:r>
            <w:instrText xml:space="preserve"> PAGEREF _Toc166092715 \h </w:instrText>
          </w:r>
          <w:r>
            <w:fldChar w:fldCharType="separate"/>
          </w:r>
          <w:r>
            <w:t>10</w:t>
          </w:r>
          <w:r>
            <w:fldChar w:fldCharType="end"/>
          </w:r>
          <w:r>
            <w:fldChar w:fldCharType="end"/>
          </w:r>
        </w:p>
        <w:p w14:paraId="3607935E">
          <w:pPr>
            <w:pStyle w:val="21"/>
            <w:spacing w:before="78" w:after="78" w:line="360" w:lineRule="auto"/>
          </w:pPr>
          <w:r>
            <w:rPr>
              <w:rStyle w:val="42"/>
              <w:rFonts w:hint="eastAsia"/>
            </w:rPr>
            <w:fldChar w:fldCharType="end"/>
          </w:r>
        </w:p>
      </w:sdtContent>
    </w:sdt>
    <w:p w14:paraId="3A8B4DF8">
      <w:pPr>
        <w:pStyle w:val="116"/>
        <w:rPr>
          <w:szCs w:val="22"/>
        </w:rPr>
        <w:sectPr>
          <w:headerReference r:id="rId5" w:type="default"/>
          <w:footerReference r:id="rId7" w:type="default"/>
          <w:headerReference r:id="rId6" w:type="even"/>
          <w:footerReference r:id="rId8" w:type="even"/>
          <w:pgSz w:w="11906" w:h="16838"/>
          <w:pgMar w:top="567" w:right="1134" w:bottom="1134" w:left="1418" w:header="1418" w:footer="1134" w:gutter="0"/>
          <w:pgBorders>
            <w:top w:val="none" w:sz="0" w:space="0"/>
            <w:left w:val="none" w:sz="0" w:space="0"/>
            <w:bottom w:val="none" w:sz="0" w:space="0"/>
            <w:right w:val="none" w:sz="0" w:space="0"/>
          </w:pgBorders>
          <w:pgNumType w:fmt="upperRoman" w:start="2"/>
          <w:cols w:space="425" w:num="1"/>
          <w:formProt w:val="0"/>
          <w:docGrid w:type="lines" w:linePitch="312" w:charSpace="0"/>
        </w:sectPr>
      </w:pPr>
      <w:bookmarkStart w:id="10" w:name="_Toc32510"/>
      <w:bookmarkStart w:id="11" w:name="_Toc44414102"/>
      <w:bookmarkStart w:id="12" w:name="_Toc52288515"/>
    </w:p>
    <w:bookmarkEnd w:id="10"/>
    <w:p w14:paraId="2D83394D">
      <w:pPr>
        <w:pStyle w:val="25"/>
        <w:ind w:firstLine="0" w:firstLineChars="0"/>
        <w:rPr>
          <w:rFonts w:ascii="黑体" w:hAnsi="黑体" w:eastAsia="黑体" w:cs="黑体"/>
          <w:sz w:val="32"/>
          <w:szCs w:val="32"/>
        </w:rPr>
      </w:pPr>
    </w:p>
    <w:p w14:paraId="145DF1E1">
      <w:pPr>
        <w:pStyle w:val="25"/>
        <w:ind w:firstLine="0" w:firstLineChars="0"/>
        <w:jc w:val="center"/>
        <w:outlineLvl w:val="0"/>
        <w:rPr>
          <w:rFonts w:ascii="黑体" w:hAnsi="黑体" w:eastAsia="黑体" w:cs="黑体"/>
          <w:sz w:val="32"/>
          <w:szCs w:val="32"/>
        </w:rPr>
      </w:pPr>
      <w:bookmarkStart w:id="13" w:name="_Toc166092709"/>
      <w:r>
        <w:rPr>
          <w:rFonts w:hint="eastAsia" w:ascii="黑体" w:hAnsi="黑体" w:eastAsia="黑体" w:cs="黑体"/>
          <w:sz w:val="32"/>
          <w:szCs w:val="32"/>
        </w:rPr>
        <w:t>前    言</w:t>
      </w:r>
      <w:bookmarkEnd w:id="13"/>
    </w:p>
    <w:p w14:paraId="3BBE8AEE">
      <w:pPr>
        <w:pStyle w:val="25"/>
        <w:ind w:firstLine="0" w:firstLineChars="0"/>
        <w:rPr>
          <w:rFonts w:ascii="黑体" w:hAnsi="黑体" w:eastAsia="黑体" w:cs="黑体"/>
          <w:sz w:val="24"/>
          <w:szCs w:val="24"/>
        </w:rPr>
      </w:pPr>
    </w:p>
    <w:p w14:paraId="04148ADC">
      <w:pPr>
        <w:pStyle w:val="25"/>
        <w:rPr>
          <w:rFonts w:hAnsi="宋体" w:cs="宋体"/>
        </w:rPr>
      </w:pPr>
      <w:bookmarkStart w:id="14" w:name="_Toc23227"/>
      <w:r>
        <w:rPr>
          <w:rFonts w:hint="eastAsia" w:hAnsi="宋体" w:cs="宋体"/>
        </w:rPr>
        <w:t>本文件按照GB/T 1.1—2020《标准化工作导则  第1部分：标准化文件的结构和起草规则》的规定起草。</w:t>
      </w:r>
    </w:p>
    <w:p w14:paraId="6137C370">
      <w:pPr>
        <w:pStyle w:val="25"/>
        <w:rPr>
          <w:rFonts w:hAnsi="宋体" w:cs="宋体"/>
        </w:rPr>
      </w:pPr>
      <w:r>
        <w:rPr>
          <w:rFonts w:hint="eastAsia" w:hAnsi="宋体" w:cs="宋体"/>
        </w:rPr>
        <w:t>本文件的某些内容可能涉及专利。本文件的发布机构不承担识别专利的责任。</w:t>
      </w:r>
    </w:p>
    <w:p w14:paraId="6C1F71FB">
      <w:pPr>
        <w:pStyle w:val="25"/>
        <w:rPr>
          <w:rFonts w:hAnsi="宋体" w:cs="宋体"/>
        </w:rPr>
      </w:pPr>
      <w:r>
        <w:rPr>
          <w:rFonts w:hint="eastAsia" w:hAnsi="宋体" w:cs="宋体"/>
        </w:rPr>
        <w:t>本文件由中国认证认可协会提出并归口。</w:t>
      </w:r>
    </w:p>
    <w:p w14:paraId="7901E689">
      <w:pPr>
        <w:pStyle w:val="25"/>
        <w:rPr>
          <w:rFonts w:hAnsi="宋体" w:cs="宋体"/>
        </w:rPr>
      </w:pPr>
      <w:r>
        <w:rPr>
          <w:rFonts w:hint="eastAsia" w:hAnsi="宋体" w:cs="宋体"/>
        </w:rPr>
        <w:t>本文件起草单位：X</w:t>
      </w:r>
      <w:r>
        <w:rPr>
          <w:rFonts w:hAnsi="宋体" w:cs="宋体"/>
        </w:rPr>
        <w:t>XX</w:t>
      </w:r>
      <w:r>
        <w:rPr>
          <w:rFonts w:hint="eastAsia" w:hAnsi="宋体" w:cs="宋体"/>
        </w:rPr>
        <w:t>等。</w:t>
      </w:r>
    </w:p>
    <w:p w14:paraId="788AAD28">
      <w:pPr>
        <w:pStyle w:val="25"/>
        <w:rPr>
          <w:rFonts w:hAnsi="宋体" w:cs="宋体"/>
          <w:color w:val="000000" w:themeColor="text1"/>
          <w14:textFill>
            <w14:solidFill>
              <w14:schemeClr w14:val="tx1"/>
            </w14:solidFill>
          </w14:textFill>
        </w:rPr>
      </w:pPr>
      <w:r>
        <w:rPr>
          <w:rFonts w:hint="eastAsia" w:hAnsi="宋体" w:cs="宋体"/>
        </w:rPr>
        <w:t>本文件主要起草人：X</w:t>
      </w:r>
      <w:r>
        <w:rPr>
          <w:rFonts w:hAnsi="宋体" w:cs="宋体"/>
        </w:rPr>
        <w:t>XX</w:t>
      </w:r>
      <w:r>
        <w:rPr>
          <w:rFonts w:hint="eastAsia" w:hAnsi="宋体" w:cs="宋体"/>
        </w:rPr>
        <w:t>等。</w:t>
      </w:r>
    </w:p>
    <w:bookmarkEnd w:id="11"/>
    <w:bookmarkEnd w:id="12"/>
    <w:bookmarkEnd w:id="14"/>
    <w:p w14:paraId="05C1F914">
      <w:pPr>
        <w:pStyle w:val="25"/>
        <w:ind w:firstLine="0" w:firstLineChars="0"/>
        <w:sectPr>
          <w:headerReference r:id="rId9" w:type="default"/>
          <w:footerReference r:id="rId11" w:type="default"/>
          <w:headerReference r:id="rId10" w:type="even"/>
          <w:footerReference r:id="rId12" w:type="even"/>
          <w:pgSz w:w="11906" w:h="16838"/>
          <w:pgMar w:top="567" w:right="1134" w:bottom="1134" w:left="1418" w:header="1418" w:footer="1134" w:gutter="0"/>
          <w:pgBorders>
            <w:top w:val="none" w:sz="0" w:space="0"/>
            <w:left w:val="none" w:sz="0" w:space="0"/>
            <w:bottom w:val="none" w:sz="0" w:space="0"/>
            <w:right w:val="none" w:sz="0" w:space="0"/>
          </w:pgBorders>
          <w:pgNumType w:fmt="upperRoman" w:start="2"/>
          <w:cols w:space="425" w:num="1"/>
          <w:formProt w:val="0"/>
          <w:docGrid w:type="lines" w:linePitch="312" w:charSpace="0"/>
        </w:sectPr>
      </w:pPr>
    </w:p>
    <w:p w14:paraId="40E4B977">
      <w:pPr>
        <w:jc w:val="center"/>
        <w:rPr>
          <w:rFonts w:ascii="黑体" w:hAnsi="黑体" w:eastAsia="黑体" w:cs="黑体"/>
          <w:sz w:val="32"/>
          <w:szCs w:val="32"/>
        </w:rPr>
      </w:pPr>
      <w:bookmarkStart w:id="15" w:name="_Toc16795"/>
      <w:sdt>
        <w:sdtPr>
          <w:rPr>
            <w:rFonts w:hint="eastAsia" w:ascii="黑体" w:hAnsi="黑体" w:eastAsia="黑体"/>
            <w:kern w:val="0"/>
            <w:sz w:val="32"/>
            <w:szCs w:val="32"/>
            <w:lang w:val="zh-CN" w:bidi="zh-CN"/>
          </w:rPr>
          <w:alias w:val="标准名称"/>
          <w:tag w:val="标准名称"/>
          <w:id w:val="1795105741"/>
          <w:lock w:val="sdtLocked"/>
          <w:text w:multiLine="1"/>
        </w:sdtPr>
        <w:sdtEndPr>
          <w:rPr>
            <w:rFonts w:hint="eastAsia" w:ascii="黑体" w:hAnsi="黑体" w:eastAsia="黑体"/>
            <w:kern w:val="0"/>
            <w:sz w:val="32"/>
            <w:szCs w:val="32"/>
            <w:lang w:val="zh-CN" w:bidi="zh-CN"/>
          </w:rPr>
        </w:sdtEndPr>
        <w:sdtContent>
          <w:r>
            <w:rPr>
              <w:rFonts w:hint="eastAsia" w:ascii="黑体" w:hAnsi="黑体" w:eastAsia="黑体"/>
              <w:kern w:val="0"/>
              <w:sz w:val="32"/>
              <w:szCs w:val="32"/>
              <w:lang w:bidi="zh-CN"/>
            </w:rPr>
            <w:t>模块化数据中心产品评价要求</w:t>
          </w:r>
        </w:sdtContent>
      </w:sdt>
      <w:bookmarkEnd w:id="15"/>
      <w:bookmarkStart w:id="16" w:name="StandardName"/>
      <w:bookmarkEnd w:id="16"/>
    </w:p>
    <w:p w14:paraId="57BEECC5">
      <w:pPr>
        <w:pStyle w:val="49"/>
        <w:spacing w:before="312" w:after="312"/>
        <w:outlineLvl w:val="0"/>
      </w:pPr>
      <w:bookmarkStart w:id="17" w:name="_Toc21045"/>
      <w:bookmarkStart w:id="18" w:name="_Toc166092710"/>
      <w:bookmarkStart w:id="19" w:name="_Toc44414103"/>
      <w:bookmarkStart w:id="20" w:name="_Toc52288516"/>
      <w:r>
        <w:rPr>
          <w:rFonts w:hint="eastAsia"/>
        </w:rPr>
        <w:t>范围</w:t>
      </w:r>
      <w:bookmarkEnd w:id="17"/>
      <w:bookmarkEnd w:id="18"/>
      <w:bookmarkEnd w:id="19"/>
      <w:bookmarkEnd w:id="20"/>
    </w:p>
    <w:p w14:paraId="7CC9AD77">
      <w:pPr>
        <w:pStyle w:val="177"/>
        <w:spacing w:line="331" w:lineRule="exact"/>
        <w:ind w:firstLine="420"/>
        <w:jc w:val="both"/>
      </w:pPr>
      <w:bookmarkStart w:id="21" w:name="_Toc52288517"/>
      <w:bookmarkStart w:id="22" w:name="_Toc3041"/>
      <w:bookmarkStart w:id="23" w:name="_Toc44414104"/>
      <w:r>
        <w:rPr>
          <w:color w:val="000000"/>
        </w:rPr>
        <w:t>本文件</w:t>
      </w:r>
      <w:r>
        <w:rPr>
          <w:rFonts w:hint="eastAsia"/>
          <w:color w:val="000000"/>
        </w:rPr>
        <w:t>规定</w:t>
      </w:r>
      <w:r>
        <w:rPr>
          <w:color w:val="000000"/>
        </w:rPr>
        <w:t>了模块</w:t>
      </w:r>
      <w:r>
        <w:rPr>
          <w:rFonts w:hint="eastAsia"/>
          <w:color w:val="000000"/>
        </w:rPr>
        <w:t>化</w:t>
      </w:r>
      <w:r>
        <w:rPr>
          <w:color w:val="000000"/>
        </w:rPr>
        <w:t>数据中心</w:t>
      </w:r>
      <w:r>
        <w:rPr>
          <w:rFonts w:hint="eastAsia"/>
          <w:color w:val="000000"/>
        </w:rPr>
        <w:t>产品</w:t>
      </w:r>
      <w:r>
        <w:rPr>
          <w:color w:val="000000"/>
        </w:rPr>
        <w:t>的技术要求</w:t>
      </w:r>
      <w:r>
        <w:rPr>
          <w:rFonts w:hint="eastAsia"/>
          <w:color w:val="000000"/>
        </w:rPr>
        <w:t>、测试</w:t>
      </w:r>
      <w:r>
        <w:rPr>
          <w:color w:val="000000"/>
        </w:rPr>
        <w:t>方法</w:t>
      </w:r>
      <w:r>
        <w:rPr>
          <w:rFonts w:hint="eastAsia"/>
          <w:color w:val="000000"/>
        </w:rPr>
        <w:t>以及综合评分规则</w:t>
      </w:r>
      <w:r>
        <w:rPr>
          <w:color w:val="000000"/>
        </w:rPr>
        <w:t>。</w:t>
      </w:r>
    </w:p>
    <w:p w14:paraId="25039BA6">
      <w:pPr>
        <w:pStyle w:val="177"/>
        <w:spacing w:after="380" w:line="331" w:lineRule="exact"/>
        <w:ind w:firstLine="420"/>
        <w:jc w:val="both"/>
      </w:pPr>
      <w:r>
        <w:rPr>
          <w:color w:val="000000"/>
        </w:rPr>
        <w:t>本文件适用于模块</w:t>
      </w:r>
      <w:r>
        <w:rPr>
          <w:rFonts w:hint="eastAsia"/>
          <w:color w:val="000000"/>
        </w:rPr>
        <w:t>化</w:t>
      </w:r>
      <w:r>
        <w:rPr>
          <w:color w:val="000000"/>
        </w:rPr>
        <w:t>数据中心</w:t>
      </w:r>
      <w:r>
        <w:rPr>
          <w:rFonts w:hint="eastAsia"/>
          <w:color w:val="000000"/>
        </w:rPr>
        <w:t>产品</w:t>
      </w:r>
      <w:r>
        <w:rPr>
          <w:color w:val="000000"/>
        </w:rPr>
        <w:t>的</w:t>
      </w:r>
      <w:r>
        <w:rPr>
          <w:rFonts w:hint="eastAsia"/>
          <w:color w:val="000000"/>
        </w:rPr>
        <w:t>评价，</w:t>
      </w:r>
      <w:r>
        <w:rPr>
          <w:color w:val="000000"/>
        </w:rPr>
        <w:t>模块</w:t>
      </w:r>
      <w:r>
        <w:rPr>
          <w:rFonts w:hint="eastAsia"/>
          <w:color w:val="000000"/>
        </w:rPr>
        <w:t>化</w:t>
      </w:r>
      <w:r>
        <w:rPr>
          <w:color w:val="000000"/>
        </w:rPr>
        <w:t>数据中心</w:t>
      </w:r>
      <w:r>
        <w:rPr>
          <w:rFonts w:hint="eastAsia"/>
          <w:color w:val="000000"/>
        </w:rPr>
        <w:t>产品的</w:t>
      </w:r>
      <w:r>
        <w:rPr>
          <w:color w:val="000000"/>
        </w:rPr>
        <w:t>设计、制造、安装</w:t>
      </w:r>
      <w:r>
        <w:rPr>
          <w:rFonts w:hint="eastAsia"/>
          <w:color w:val="000000"/>
        </w:rPr>
        <w:t>可参照适用</w:t>
      </w:r>
      <w:r>
        <w:rPr>
          <w:color w:val="000000"/>
        </w:rPr>
        <w:t>。</w:t>
      </w:r>
    </w:p>
    <w:p w14:paraId="328648CC">
      <w:pPr>
        <w:pStyle w:val="49"/>
        <w:spacing w:before="312" w:after="312"/>
        <w:outlineLvl w:val="0"/>
      </w:pPr>
      <w:bookmarkStart w:id="24" w:name="_Toc166092711"/>
      <w:r>
        <w:rPr>
          <w:rFonts w:hint="eastAsia"/>
        </w:rPr>
        <w:t>规范性引用文件</w:t>
      </w:r>
      <w:bookmarkEnd w:id="21"/>
      <w:bookmarkEnd w:id="22"/>
      <w:bookmarkEnd w:id="23"/>
      <w:bookmarkEnd w:id="24"/>
    </w:p>
    <w:p w14:paraId="22CF8C63">
      <w:pPr>
        <w:ind w:firstLine="420" w:firstLineChars="20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AD27D66">
      <w:pPr>
        <w:spacing w:line="340" w:lineRule="exact"/>
        <w:ind w:firstLine="420"/>
        <w:rPr>
          <w:rFonts w:ascii="宋体" w:hAnsi="Courier New" w:cs="Courier New"/>
          <w:szCs w:val="21"/>
          <w:highlight w:val="none"/>
        </w:rPr>
      </w:pPr>
      <w:r>
        <w:rPr>
          <w:rFonts w:ascii="宋体" w:hAnsi="Courier New" w:cs="Courier New"/>
          <w:szCs w:val="21"/>
          <w:highlight w:val="none"/>
        </w:rPr>
        <w:t>GB/T 191</w:t>
      </w:r>
      <w:r>
        <w:rPr>
          <w:rFonts w:hint="eastAsia" w:ascii="宋体" w:hAnsi="Courier New" w:cs="Courier New"/>
          <w:szCs w:val="21"/>
          <w:highlight w:val="none"/>
          <w:lang w:val="en-US" w:eastAsia="zh-CN"/>
        </w:rPr>
        <w:t xml:space="preserve"> </w:t>
      </w:r>
      <w:r>
        <w:rPr>
          <w:rFonts w:ascii="宋体" w:hAnsi="Courier New" w:cs="Courier New"/>
          <w:szCs w:val="21"/>
          <w:highlight w:val="none"/>
        </w:rPr>
        <w:t xml:space="preserve"> </w:t>
      </w:r>
      <w:r>
        <w:rPr>
          <w:rFonts w:hint="eastAsia" w:ascii="宋体" w:hAnsi="Courier New" w:cs="Courier New"/>
          <w:szCs w:val="21"/>
          <w:highlight w:val="none"/>
        </w:rPr>
        <w:t>包装储运图示标志</w:t>
      </w:r>
    </w:p>
    <w:p w14:paraId="34EAD78F">
      <w:pPr>
        <w:spacing w:line="340" w:lineRule="exact"/>
        <w:ind w:firstLine="420"/>
        <w:rPr>
          <w:rFonts w:ascii="宋体" w:hAnsi="Courier New" w:cs="Courier New"/>
          <w:szCs w:val="21"/>
          <w:highlight w:val="none"/>
        </w:rPr>
      </w:pPr>
      <w:r>
        <w:rPr>
          <w:rFonts w:hint="eastAsia" w:ascii="宋体" w:hAnsi="Courier New" w:cs="Courier New"/>
          <w:szCs w:val="21"/>
          <w:highlight w:val="none"/>
        </w:rPr>
        <w:t xml:space="preserve">GB/T 2887 </w:t>
      </w:r>
      <w:r>
        <w:rPr>
          <w:rFonts w:ascii="宋体" w:hAnsi="Courier New" w:cs="Courier New"/>
          <w:szCs w:val="21"/>
          <w:highlight w:val="none"/>
        </w:rPr>
        <w:t xml:space="preserve"> </w:t>
      </w:r>
      <w:r>
        <w:rPr>
          <w:rFonts w:hint="eastAsia" w:ascii="宋体" w:hAnsi="Courier New" w:cs="Courier New"/>
          <w:szCs w:val="21"/>
          <w:highlight w:val="none"/>
        </w:rPr>
        <w:t>计算机场地通用规范</w:t>
      </w:r>
    </w:p>
    <w:p w14:paraId="0350FA15">
      <w:pPr>
        <w:spacing w:line="340" w:lineRule="exact"/>
        <w:ind w:firstLine="420"/>
        <w:rPr>
          <w:rFonts w:ascii="宋体" w:hAnsi="Courier New" w:cs="Courier New"/>
          <w:szCs w:val="21"/>
          <w:highlight w:val="none"/>
        </w:rPr>
      </w:pPr>
      <w:r>
        <w:rPr>
          <w:rFonts w:ascii="宋体" w:hAnsi="Courier New" w:cs="Courier New"/>
          <w:szCs w:val="21"/>
          <w:highlight w:val="none"/>
        </w:rPr>
        <w:t xml:space="preserve">GB/T 18455 </w:t>
      </w:r>
      <w:r>
        <w:rPr>
          <w:rFonts w:hint="eastAsia" w:ascii="宋体" w:hAnsi="Courier New" w:cs="Courier New"/>
          <w:szCs w:val="21"/>
          <w:highlight w:val="none"/>
          <w:lang w:val="en-US" w:eastAsia="zh-CN"/>
        </w:rPr>
        <w:t xml:space="preserve"> </w:t>
      </w:r>
      <w:r>
        <w:rPr>
          <w:rFonts w:hint="eastAsia" w:ascii="宋体" w:hAnsi="Courier New" w:cs="Courier New"/>
          <w:szCs w:val="21"/>
          <w:highlight w:val="none"/>
        </w:rPr>
        <w:t>包装回收标志</w:t>
      </w:r>
    </w:p>
    <w:p w14:paraId="2727D0C2">
      <w:pPr>
        <w:spacing w:line="340" w:lineRule="exact"/>
        <w:ind w:firstLine="420"/>
        <w:rPr>
          <w:rFonts w:ascii="宋体" w:hAnsi="Courier New" w:cs="Courier New"/>
          <w:szCs w:val="21"/>
          <w:highlight w:val="none"/>
        </w:rPr>
      </w:pPr>
      <w:r>
        <w:rPr>
          <w:rFonts w:hint="eastAsia" w:ascii="宋体" w:hAnsi="Courier New" w:cs="Courier New"/>
          <w:szCs w:val="21"/>
          <w:highlight w:val="none"/>
        </w:rPr>
        <w:t xml:space="preserve">GB/T 19413 </w:t>
      </w:r>
      <w:r>
        <w:rPr>
          <w:rFonts w:ascii="宋体" w:hAnsi="Courier New" w:cs="Courier New"/>
          <w:szCs w:val="21"/>
          <w:highlight w:val="none"/>
        </w:rPr>
        <w:t xml:space="preserve"> </w:t>
      </w:r>
      <w:r>
        <w:rPr>
          <w:rFonts w:hint="eastAsia" w:ascii="宋体" w:hAnsi="Courier New" w:cs="Courier New"/>
          <w:szCs w:val="21"/>
          <w:highlight w:val="none"/>
        </w:rPr>
        <w:t>计算机和数据处理机房用单元式空气调节机</w:t>
      </w:r>
    </w:p>
    <w:p w14:paraId="37D31322">
      <w:pPr>
        <w:spacing w:line="340" w:lineRule="exact"/>
        <w:ind w:firstLine="420"/>
        <w:rPr>
          <w:rFonts w:hint="eastAsia" w:ascii="宋体" w:hAnsi="Courier New" w:cs="Courier New"/>
          <w:szCs w:val="21"/>
          <w:highlight w:val="none"/>
        </w:rPr>
      </w:pPr>
      <w:r>
        <w:rPr>
          <w:rFonts w:hint="eastAsia" w:ascii="宋体" w:hAnsi="Courier New" w:cs="Courier New"/>
          <w:szCs w:val="21"/>
          <w:highlight w:val="none"/>
        </w:rPr>
        <w:t xml:space="preserve">GB/T </w:t>
      </w:r>
      <w:r>
        <w:rPr>
          <w:rFonts w:ascii="宋体" w:hAnsi="Courier New" w:cs="Courier New"/>
          <w:szCs w:val="21"/>
          <w:highlight w:val="none"/>
        </w:rPr>
        <w:t xml:space="preserve">41783  </w:t>
      </w:r>
      <w:r>
        <w:rPr>
          <w:rFonts w:hint="eastAsia" w:ascii="宋体" w:hAnsi="Courier New" w:cs="Courier New"/>
          <w:szCs w:val="21"/>
          <w:highlight w:val="none"/>
        </w:rPr>
        <w:t>模块化数据中心通用规范</w:t>
      </w:r>
    </w:p>
    <w:p w14:paraId="38933B14">
      <w:pPr>
        <w:spacing w:line="340" w:lineRule="exact"/>
        <w:ind w:firstLine="420"/>
        <w:rPr>
          <w:rFonts w:hint="eastAsia" w:ascii="宋体" w:hAnsi="Courier New" w:cs="Courier New"/>
          <w:szCs w:val="21"/>
          <w:highlight w:val="none"/>
        </w:rPr>
      </w:pPr>
      <w:r>
        <w:rPr>
          <w:rFonts w:hint="eastAsia" w:ascii="宋体" w:hAnsi="Courier New" w:cs="Courier New"/>
          <w:szCs w:val="21"/>
          <w:highlight w:val="none"/>
        </w:rPr>
        <w:t>GB/T 22690  数据通信设备通用机械结构.机柜和插箱</w:t>
      </w:r>
    </w:p>
    <w:p w14:paraId="18779803">
      <w:pPr>
        <w:spacing w:line="340" w:lineRule="exact"/>
        <w:ind w:firstLine="420"/>
        <w:rPr>
          <w:rFonts w:hint="eastAsia" w:ascii="宋体" w:hAnsi="Courier New" w:cs="Courier New"/>
          <w:szCs w:val="21"/>
          <w:highlight w:val="none"/>
          <w:lang w:val="en-US" w:eastAsia="zh-CN"/>
        </w:rPr>
      </w:pPr>
      <w:r>
        <w:rPr>
          <w:rFonts w:hint="eastAsia" w:ascii="宋体" w:hAnsi="Courier New" w:cs="Courier New"/>
          <w:szCs w:val="21"/>
          <w:highlight w:val="none"/>
        </w:rPr>
        <w:t>GB/T 14295</w:t>
      </w:r>
      <w:r>
        <w:rPr>
          <w:rFonts w:hint="eastAsia" w:ascii="宋体" w:hAnsi="Courier New" w:cs="Courier New"/>
          <w:szCs w:val="21"/>
          <w:highlight w:val="none"/>
          <w:lang w:val="en-US" w:eastAsia="zh-CN"/>
        </w:rPr>
        <w:t xml:space="preserve">  空气过滤器</w:t>
      </w:r>
    </w:p>
    <w:p w14:paraId="467E6B48">
      <w:pPr>
        <w:spacing w:line="340" w:lineRule="exact"/>
        <w:ind w:firstLine="420"/>
        <w:rPr>
          <w:rFonts w:hint="default" w:ascii="宋体" w:hAnsi="Courier New" w:cs="Courier New"/>
          <w:szCs w:val="21"/>
          <w:highlight w:val="none"/>
          <w:lang w:val="en-US" w:eastAsia="zh-CN"/>
        </w:rPr>
      </w:pPr>
      <w:r>
        <w:rPr>
          <w:rFonts w:hint="default" w:ascii="宋体" w:hAnsi="Courier New" w:cs="Courier New"/>
          <w:szCs w:val="21"/>
          <w:highlight w:val="none"/>
          <w:lang w:val="en-US" w:eastAsia="zh-CN"/>
        </w:rPr>
        <w:t>GB/T 5700</w:t>
      </w:r>
      <w:r>
        <w:rPr>
          <w:rFonts w:hint="eastAsia" w:ascii="宋体" w:hAnsi="Courier New" w:cs="Courier New"/>
          <w:szCs w:val="21"/>
          <w:highlight w:val="none"/>
          <w:lang w:val="en-US" w:eastAsia="zh-CN"/>
        </w:rPr>
        <w:t xml:space="preserve">  照明测试方法</w:t>
      </w:r>
    </w:p>
    <w:p w14:paraId="34055D69">
      <w:pPr>
        <w:spacing w:line="340" w:lineRule="exact"/>
        <w:ind w:firstLine="420"/>
        <w:rPr>
          <w:rFonts w:ascii="宋体" w:hAnsi="Courier New" w:cs="Courier New"/>
          <w:szCs w:val="21"/>
          <w:highlight w:val="none"/>
        </w:rPr>
      </w:pPr>
      <w:r>
        <w:rPr>
          <w:rFonts w:hint="eastAsia" w:ascii="宋体" w:hAnsi="Courier New" w:cs="Courier New"/>
          <w:szCs w:val="21"/>
          <w:highlight w:val="none"/>
        </w:rPr>
        <w:t xml:space="preserve">GB 50052 </w:t>
      </w:r>
      <w:r>
        <w:rPr>
          <w:rFonts w:ascii="宋体" w:hAnsi="Courier New" w:cs="Courier New"/>
          <w:szCs w:val="21"/>
          <w:highlight w:val="none"/>
        </w:rPr>
        <w:t xml:space="preserve"> </w:t>
      </w:r>
      <w:r>
        <w:rPr>
          <w:rFonts w:hint="eastAsia" w:ascii="宋体" w:hAnsi="Courier New" w:cs="Courier New"/>
          <w:szCs w:val="21"/>
          <w:highlight w:val="none"/>
        </w:rPr>
        <w:t>供配电系统设计规范</w:t>
      </w:r>
    </w:p>
    <w:p w14:paraId="63FD55C7">
      <w:pPr>
        <w:spacing w:line="340" w:lineRule="exact"/>
        <w:ind w:firstLine="420"/>
        <w:rPr>
          <w:rFonts w:ascii="宋体" w:hAnsi="Courier New" w:cs="Courier New"/>
          <w:szCs w:val="21"/>
          <w:highlight w:val="none"/>
        </w:rPr>
      </w:pPr>
      <w:r>
        <w:rPr>
          <w:rFonts w:hint="eastAsia" w:ascii="宋体" w:hAnsi="Courier New" w:cs="Courier New"/>
          <w:szCs w:val="21"/>
          <w:highlight w:val="none"/>
        </w:rPr>
        <w:t>GB 50174</w:t>
      </w:r>
      <w:r>
        <w:rPr>
          <w:rFonts w:ascii="宋体" w:hAnsi="Courier New" w:cs="Courier New"/>
          <w:szCs w:val="21"/>
          <w:highlight w:val="none"/>
        </w:rPr>
        <w:t xml:space="preserve"> </w:t>
      </w:r>
      <w:r>
        <w:rPr>
          <w:rFonts w:hint="eastAsia" w:ascii="宋体" w:hAnsi="Courier New" w:cs="Courier New"/>
          <w:szCs w:val="21"/>
          <w:highlight w:val="none"/>
        </w:rPr>
        <w:t xml:space="preserve"> 数据中心设计规范</w:t>
      </w:r>
    </w:p>
    <w:p w14:paraId="6D8E03ED">
      <w:pPr>
        <w:spacing w:line="340" w:lineRule="exact"/>
        <w:ind w:firstLine="420"/>
        <w:rPr>
          <w:rFonts w:hint="eastAsia" w:ascii="宋体" w:hAnsi="Courier New" w:cs="Courier New"/>
          <w:szCs w:val="21"/>
          <w:highlight w:val="none"/>
        </w:rPr>
      </w:pPr>
      <w:r>
        <w:rPr>
          <w:rFonts w:hint="eastAsia" w:ascii="宋体" w:hAnsi="Courier New" w:cs="Courier New"/>
          <w:szCs w:val="21"/>
          <w:highlight w:val="none"/>
        </w:rPr>
        <w:t xml:space="preserve">GB 50311 </w:t>
      </w:r>
      <w:r>
        <w:rPr>
          <w:rFonts w:ascii="宋体" w:hAnsi="Courier New" w:cs="Courier New"/>
          <w:szCs w:val="21"/>
          <w:highlight w:val="none"/>
        </w:rPr>
        <w:t xml:space="preserve"> </w:t>
      </w:r>
      <w:r>
        <w:rPr>
          <w:rFonts w:hint="eastAsia" w:ascii="宋体" w:hAnsi="Courier New" w:cs="Courier New"/>
          <w:szCs w:val="21"/>
          <w:highlight w:val="none"/>
        </w:rPr>
        <w:t>综合布线系统工程设计规范</w:t>
      </w:r>
    </w:p>
    <w:p w14:paraId="49ED0D4D">
      <w:pPr>
        <w:spacing w:line="340" w:lineRule="exact"/>
        <w:ind w:firstLine="420"/>
        <w:rPr>
          <w:rFonts w:hint="eastAsia" w:ascii="宋体" w:hAnsi="Courier New" w:cs="Courier New"/>
          <w:szCs w:val="21"/>
          <w:highlight w:val="none"/>
        </w:rPr>
      </w:pPr>
      <w:r>
        <w:rPr>
          <w:rFonts w:hint="eastAsia" w:ascii="宋体" w:hAnsi="Courier New" w:cs="Courier New"/>
          <w:szCs w:val="21"/>
          <w:highlight w:val="none"/>
        </w:rPr>
        <w:t>GB 8624  建筑材料及制品燃烧性能分级</w:t>
      </w:r>
    </w:p>
    <w:p w14:paraId="56F92EF4">
      <w:pPr>
        <w:spacing w:line="340" w:lineRule="exact"/>
        <w:ind w:firstLine="420"/>
        <w:rPr>
          <w:rFonts w:hint="eastAsia" w:ascii="宋体" w:hAnsi="Courier New" w:cs="Courier New"/>
          <w:szCs w:val="21"/>
          <w:highlight w:val="none"/>
          <w:lang w:val="en-US" w:eastAsia="zh-CN"/>
        </w:rPr>
      </w:pPr>
      <w:r>
        <w:rPr>
          <w:rFonts w:hint="eastAsia" w:ascii="宋体" w:hAnsi="Courier New" w:cs="Courier New"/>
          <w:szCs w:val="21"/>
          <w:highlight w:val="none"/>
          <w:lang w:val="en-US" w:eastAsia="zh-CN"/>
        </w:rPr>
        <w:t>GB 7000.1  灯具 第1部分：一般要求与试验</w:t>
      </w:r>
    </w:p>
    <w:p w14:paraId="1CF72E24">
      <w:pPr>
        <w:spacing w:line="340" w:lineRule="exact"/>
        <w:ind w:firstLine="420"/>
        <w:rPr>
          <w:rFonts w:hint="default" w:ascii="宋体" w:hAnsi="Courier New" w:cs="Courier New"/>
          <w:szCs w:val="21"/>
          <w:highlight w:val="none"/>
          <w:lang w:val="en-US" w:eastAsia="zh-CN"/>
        </w:rPr>
      </w:pPr>
      <w:r>
        <w:rPr>
          <w:rFonts w:hint="default" w:ascii="宋体" w:hAnsi="Courier New" w:cs="Courier New"/>
          <w:szCs w:val="21"/>
          <w:highlight w:val="none"/>
          <w:lang w:val="en-US" w:eastAsia="zh-CN"/>
        </w:rPr>
        <w:t>GB 55015</w:t>
      </w:r>
      <w:r>
        <w:rPr>
          <w:rFonts w:hint="eastAsia" w:ascii="宋体" w:hAnsi="Courier New" w:cs="Courier New"/>
          <w:szCs w:val="21"/>
          <w:highlight w:val="none"/>
          <w:lang w:val="en-US" w:eastAsia="zh-CN"/>
        </w:rPr>
        <w:t xml:space="preserve">  建筑节能与可再生能源利用通用规范</w:t>
      </w:r>
    </w:p>
    <w:p w14:paraId="08B2A19D">
      <w:pPr>
        <w:spacing w:line="340" w:lineRule="exact"/>
        <w:ind w:firstLine="420"/>
        <w:rPr>
          <w:rFonts w:hint="eastAsia" w:ascii="宋体" w:hAnsi="Courier New" w:eastAsia="宋体" w:cs="Courier New"/>
          <w:szCs w:val="21"/>
          <w:lang w:val="en-US" w:eastAsia="zh-CN"/>
        </w:rPr>
      </w:pPr>
      <w:r>
        <w:rPr>
          <w:rFonts w:hint="eastAsia" w:ascii="宋体" w:hAnsi="Courier New" w:cs="Courier New"/>
          <w:szCs w:val="21"/>
        </w:rPr>
        <w:t>YD/T</w:t>
      </w:r>
      <w:r>
        <w:rPr>
          <w:rFonts w:ascii="宋体" w:hAnsi="Courier New" w:cs="Courier New"/>
          <w:szCs w:val="21"/>
        </w:rPr>
        <w:t xml:space="preserve"> </w:t>
      </w:r>
      <w:r>
        <w:rPr>
          <w:rFonts w:hint="eastAsia" w:ascii="宋体" w:hAnsi="Courier New" w:cs="Courier New"/>
          <w:szCs w:val="21"/>
        </w:rPr>
        <w:t>1</w:t>
      </w:r>
      <w:r>
        <w:rPr>
          <w:rFonts w:ascii="宋体" w:hAnsi="Courier New" w:cs="Courier New"/>
          <w:szCs w:val="21"/>
        </w:rPr>
        <w:t xml:space="preserve">095 </w:t>
      </w:r>
      <w:r>
        <w:rPr>
          <w:rFonts w:hint="eastAsia" w:ascii="宋体" w:hAnsi="Courier New" w:cs="Courier New"/>
          <w:szCs w:val="21"/>
          <w:lang w:val="en-US" w:eastAsia="zh-CN"/>
        </w:rPr>
        <w:t xml:space="preserve"> </w:t>
      </w:r>
      <w:r>
        <w:rPr>
          <w:rFonts w:hint="eastAsia" w:ascii="宋体" w:hAnsi="Courier New" w:cs="Courier New"/>
          <w:szCs w:val="21"/>
        </w:rPr>
        <w:t>通信用交流不间断电源</w:t>
      </w:r>
      <w:r>
        <w:rPr>
          <w:rFonts w:hint="eastAsia" w:ascii="宋体" w:hAnsi="Courier New" w:cs="Courier New"/>
          <w:szCs w:val="21"/>
          <w:lang w:eastAsia="zh-CN"/>
        </w:rPr>
        <w:t>（</w:t>
      </w:r>
      <w:r>
        <w:rPr>
          <w:rFonts w:hint="eastAsia" w:ascii="宋体" w:hAnsi="Courier New" w:cs="Courier New"/>
          <w:szCs w:val="21"/>
          <w:lang w:val="en-US" w:eastAsia="zh-CN"/>
        </w:rPr>
        <w:t>UPS</w:t>
      </w:r>
      <w:r>
        <w:rPr>
          <w:rFonts w:hint="eastAsia" w:ascii="宋体" w:hAnsi="Courier New" w:cs="Courier New"/>
          <w:szCs w:val="21"/>
          <w:lang w:eastAsia="zh-CN"/>
        </w:rPr>
        <w:t>）</w:t>
      </w:r>
    </w:p>
    <w:p w14:paraId="5F5EDD0E">
      <w:pPr>
        <w:numPr>
          <w:ilvl w:val="-1"/>
          <w:numId w:val="0"/>
        </w:numPr>
        <w:spacing w:before="0" w:beforeAutospacing="0" w:after="0" w:afterAutospacing="0" w:line="340" w:lineRule="exact"/>
        <w:ind w:left="0" w:firstLine="420"/>
        <w:jc w:val="left"/>
        <w:rPr>
          <w:rFonts w:hint="eastAsia" w:ascii="宋体" w:hAnsi="Courier New" w:cs="Courier New"/>
          <w:szCs w:val="21"/>
        </w:rPr>
      </w:pPr>
      <w:r>
        <w:rPr>
          <w:rFonts w:hint="eastAsia" w:ascii="宋体" w:hAnsi="Courier New" w:cs="Courier New"/>
          <w:szCs w:val="21"/>
          <w:highlight w:val="none"/>
        </w:rPr>
        <w:t>TRIMPS-ZY04-001</w:t>
      </w:r>
      <w:r>
        <w:rPr>
          <w:rFonts w:hint="eastAsia" w:ascii="宋体" w:hAnsi="Courier New" w:cs="Courier New"/>
          <w:szCs w:val="21"/>
          <w:highlight w:val="none"/>
          <w:lang w:val="en-US" w:eastAsia="zh-CN"/>
        </w:rPr>
        <w:t xml:space="preserve">  </w:t>
      </w:r>
      <w:r>
        <w:rPr>
          <w:rFonts w:hint="eastAsia" w:ascii="宋体" w:hAnsi="Courier New" w:cs="Courier New"/>
          <w:szCs w:val="21"/>
          <w:highlight w:val="none"/>
        </w:rPr>
        <w:t>《社会公主共安全领域自愿性认证实施规则智能联网产品（网络安全）》</w:t>
      </w:r>
    </w:p>
    <w:p w14:paraId="48713662">
      <w:pPr>
        <w:pStyle w:val="49"/>
        <w:spacing w:before="312" w:after="312"/>
        <w:outlineLvl w:val="0"/>
      </w:pPr>
      <w:bookmarkStart w:id="25" w:name="_Toc32257"/>
      <w:bookmarkStart w:id="26" w:name="_Toc166092712"/>
      <w:bookmarkStart w:id="27" w:name="_Toc52288518"/>
      <w:bookmarkStart w:id="28" w:name="_Toc44414105"/>
      <w:r>
        <w:rPr>
          <w:rFonts w:hint="eastAsia"/>
        </w:rPr>
        <w:t>术</w:t>
      </w:r>
      <w:r>
        <w:t>语和定</w:t>
      </w:r>
      <w:r>
        <w:rPr>
          <w:rFonts w:hint="eastAsia"/>
        </w:rPr>
        <w:t>义</w:t>
      </w:r>
      <w:bookmarkEnd w:id="25"/>
      <w:bookmarkEnd w:id="26"/>
      <w:bookmarkEnd w:id="27"/>
      <w:bookmarkEnd w:id="28"/>
    </w:p>
    <w:p w14:paraId="388B89A4">
      <w:pPr>
        <w:ind w:firstLine="420" w:firstLineChars="200"/>
        <w:rPr>
          <w:rFonts w:ascii="宋体" w:hAnsi="宋体" w:cs="宋体"/>
        </w:rPr>
      </w:pPr>
      <w:r>
        <w:rPr>
          <w:rFonts w:hint="eastAsia" w:ascii="宋体" w:hAnsi="宋体" w:cs="宋体"/>
        </w:rPr>
        <w:t>下列术语和定义适用于本文件。</w:t>
      </w:r>
    </w:p>
    <w:p w14:paraId="4B232146">
      <w:pPr>
        <w:pStyle w:val="46"/>
        <w:spacing w:before="156" w:after="156"/>
        <w:outlineLvl w:val="1"/>
        <w:rPr>
          <w:rFonts w:ascii="宋体" w:eastAsia="宋体"/>
          <w:bCs/>
          <w:szCs w:val="22"/>
        </w:rPr>
      </w:pPr>
    </w:p>
    <w:p w14:paraId="4017EC29">
      <w:pPr>
        <w:pStyle w:val="46"/>
        <w:numPr>
          <w:ilvl w:val="255"/>
          <w:numId w:val="0"/>
        </w:numPr>
        <w:spacing w:before="156" w:after="156"/>
        <w:ind w:firstLine="420" w:firstLineChars="200"/>
        <w:outlineLvl w:val="1"/>
        <w:rPr>
          <w:rFonts w:ascii="宋体" w:eastAsia="宋体"/>
          <w:bCs/>
          <w:szCs w:val="22"/>
        </w:rPr>
      </w:pPr>
      <w:r>
        <w:rPr>
          <w:rFonts w:hint="eastAsia" w:hAnsi="黑体" w:cs="黑体"/>
          <w:bCs/>
          <w:szCs w:val="22"/>
        </w:rPr>
        <w:t>模块化数据中心</w:t>
      </w:r>
      <w:r>
        <w:rPr>
          <w:rFonts w:ascii="宋体" w:eastAsia="宋体"/>
          <w:bCs/>
          <w:szCs w:val="22"/>
        </w:rPr>
        <w:t xml:space="preserve"> </w:t>
      </w:r>
      <w:r>
        <w:rPr>
          <w:rFonts w:hint="eastAsia" w:hAnsi="黑体" w:cs="黑体"/>
          <w:bCs/>
          <w:szCs w:val="22"/>
        </w:rPr>
        <w:t>modular data center</w:t>
      </w:r>
    </w:p>
    <w:p w14:paraId="6BDA5550">
      <w:pPr>
        <w:pStyle w:val="25"/>
      </w:pPr>
      <w:r>
        <w:t>安装在建筑物内，由</w:t>
      </w:r>
      <w:r>
        <w:rPr>
          <w:rFonts w:hint="eastAsia"/>
        </w:rPr>
        <w:t>机柜系统、供配电系统、监控系统、空调系统、</w:t>
      </w:r>
      <w:r>
        <w:t>模块化的功能模块</w:t>
      </w:r>
      <w:r>
        <w:rPr>
          <w:rFonts w:hint="eastAsia"/>
        </w:rPr>
        <w:t>及其他封闭通道构件组成的</w:t>
      </w:r>
      <w:r>
        <w:rPr>
          <w:rFonts w:hint="eastAsia"/>
          <w:color w:val="0D0D0D"/>
        </w:rPr>
        <w:t>，通过封闭通道与机房和其他机柜系统相对隔离的，能够完成单项或多项业务的独立功能单元，</w:t>
      </w:r>
      <w:r>
        <w:t>由建筑物提供配套设施，为电子信息设备系统提供服务的数据中心。</w:t>
      </w:r>
    </w:p>
    <w:p w14:paraId="7DB4E536">
      <w:pPr>
        <w:pStyle w:val="25"/>
      </w:pPr>
      <w:r>
        <w:rPr>
          <w:rFonts w:hint="eastAsia"/>
        </w:rPr>
        <w:t>注：可分为双排模块化数据中心、单排模块化数据中心、紧凑型模块化数据中心。</w:t>
      </w:r>
    </w:p>
    <w:p w14:paraId="67550035">
      <w:pPr>
        <w:pStyle w:val="46"/>
        <w:spacing w:before="156" w:after="156"/>
        <w:outlineLvl w:val="1"/>
        <w:rPr>
          <w:rFonts w:ascii="宋体" w:eastAsia="宋体"/>
          <w:bCs/>
          <w:szCs w:val="22"/>
        </w:rPr>
      </w:pPr>
    </w:p>
    <w:p w14:paraId="75E24A9F">
      <w:pPr>
        <w:pStyle w:val="46"/>
        <w:numPr>
          <w:ilvl w:val="255"/>
          <w:numId w:val="0"/>
        </w:numPr>
        <w:spacing w:before="156" w:after="156"/>
        <w:ind w:firstLine="420" w:firstLineChars="200"/>
        <w:outlineLvl w:val="1"/>
        <w:rPr>
          <w:rFonts w:hAnsi="黑体" w:cs="黑体"/>
          <w:bCs/>
          <w:szCs w:val="22"/>
        </w:rPr>
      </w:pPr>
      <w:r>
        <w:rPr>
          <w:rFonts w:hint="eastAsia" w:hAnsi="黑体" w:cs="黑体"/>
          <w:bCs/>
          <w:szCs w:val="22"/>
        </w:rPr>
        <w:t>封闭通道 closed channel</w:t>
      </w:r>
    </w:p>
    <w:p w14:paraId="1C83B58E">
      <w:pPr>
        <w:spacing w:after="80" w:line="317" w:lineRule="exact"/>
        <w:ind w:firstLine="400"/>
        <w:rPr>
          <w:rFonts w:ascii="宋体"/>
          <w:color w:val="0D0D0D"/>
          <w:kern w:val="0"/>
          <w:szCs w:val="20"/>
        </w:rPr>
      </w:pPr>
      <w:r>
        <w:rPr>
          <w:rFonts w:ascii="宋体"/>
          <w:color w:val="0D0D0D"/>
          <w:kern w:val="0"/>
          <w:szCs w:val="20"/>
        </w:rPr>
        <w:t>与机柜配合共同组成封闭冷/热通道的组件，主要包括通道门、天窗、底座等。</w:t>
      </w:r>
    </w:p>
    <w:p w14:paraId="2D7F463C">
      <w:pPr>
        <w:tabs>
          <w:tab w:val="center" w:pos="4201"/>
          <w:tab w:val="right" w:leader="dot" w:pos="9298"/>
        </w:tabs>
        <w:autoSpaceDE w:val="0"/>
        <w:autoSpaceDN w:val="0"/>
        <w:ind w:firstLine="420" w:firstLineChars="200"/>
        <w:rPr>
          <w:rFonts w:ascii="宋体" w:eastAsia="宋体"/>
          <w:bCs/>
          <w:szCs w:val="22"/>
        </w:rPr>
      </w:pPr>
      <w:r>
        <w:rPr>
          <w:rFonts w:hint="eastAsia" w:ascii="宋体"/>
          <w:color w:val="0D0D0D"/>
          <w:kern w:val="0"/>
          <w:szCs w:val="20"/>
        </w:rPr>
        <w:t>利用专用结构件将两列机柜中间的通道与机房环境隔离的气流组织设计方法，通道与冷却设备回风侧或送风侧连通，通道内的冷气流或热气流不会与机房环境中的气流混合，有效提高气流利用效率。封闭机柜正面进风通道的方式称为封闭冷通道，封闭机柜背面出风通道的方式称为封闭热通道。</w:t>
      </w:r>
      <w:bookmarkStart w:id="29" w:name="_Toc47690707"/>
      <w:bookmarkEnd w:id="29"/>
      <w:bookmarkStart w:id="30" w:name="_Toc47690708"/>
      <w:bookmarkEnd w:id="30"/>
    </w:p>
    <w:p w14:paraId="32483D58">
      <w:pPr>
        <w:pStyle w:val="46"/>
        <w:spacing w:before="156" w:after="156"/>
        <w:outlineLvl w:val="1"/>
        <w:rPr>
          <w:rFonts w:ascii="宋体" w:eastAsia="宋体"/>
          <w:bCs/>
          <w:szCs w:val="22"/>
        </w:rPr>
      </w:pPr>
    </w:p>
    <w:p w14:paraId="6DECC8E1">
      <w:pPr>
        <w:pStyle w:val="46"/>
        <w:numPr>
          <w:ilvl w:val="255"/>
          <w:numId w:val="0"/>
        </w:numPr>
        <w:spacing w:before="156" w:after="156"/>
        <w:ind w:firstLine="420" w:firstLineChars="200"/>
        <w:outlineLvl w:val="1"/>
        <w:rPr>
          <w:rFonts w:ascii="宋体" w:eastAsia="宋体"/>
          <w:bCs/>
          <w:szCs w:val="22"/>
        </w:rPr>
      </w:pPr>
      <w:r>
        <w:rPr>
          <w:rFonts w:hint="eastAsia" w:hAnsi="黑体" w:cs="黑体"/>
          <w:bCs/>
          <w:szCs w:val="22"/>
        </w:rPr>
        <w:t>一体化UPS系统</w:t>
      </w:r>
      <w:r>
        <w:rPr>
          <w:rFonts w:ascii="宋体" w:eastAsia="宋体"/>
          <w:bCs/>
          <w:szCs w:val="22"/>
        </w:rPr>
        <w:t xml:space="preserve"> </w:t>
      </w:r>
      <w:r>
        <w:rPr>
          <w:rFonts w:hint="eastAsia" w:hAnsi="黑体" w:cs="黑体"/>
          <w:bCs/>
          <w:szCs w:val="22"/>
        </w:rPr>
        <w:t>i</w:t>
      </w:r>
      <w:r>
        <w:rPr>
          <w:rFonts w:hint="eastAsia" w:hAnsi="黑体" w:cs="黑体"/>
          <w:bCs/>
          <w:szCs w:val="22"/>
        </w:rPr>
        <w:t>ntegrated UPS system</w:t>
      </w:r>
    </w:p>
    <w:p w14:paraId="173C1FCB">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将ATS、UPS输入配电UPS电源、输出馈线等功能集成于单个柜体，实现高度集成、维护简单、高效节能的数据中心供配电设备。</w:t>
      </w:r>
    </w:p>
    <w:p w14:paraId="19F8BEC8">
      <w:pPr>
        <w:pStyle w:val="46"/>
        <w:spacing w:before="156" w:after="156"/>
        <w:outlineLvl w:val="1"/>
        <w:rPr>
          <w:rFonts w:ascii="宋体" w:eastAsia="宋体"/>
          <w:bCs/>
          <w:szCs w:val="22"/>
        </w:rPr>
      </w:pPr>
    </w:p>
    <w:p w14:paraId="7C0224D1">
      <w:pPr>
        <w:pStyle w:val="46"/>
        <w:numPr>
          <w:ilvl w:val="255"/>
          <w:numId w:val="0"/>
        </w:numPr>
        <w:spacing w:before="156" w:after="156"/>
        <w:ind w:firstLine="420" w:firstLineChars="200"/>
        <w:outlineLvl w:val="1"/>
        <w:rPr>
          <w:rFonts w:hAnsi="黑体" w:cs="黑体"/>
          <w:bCs/>
          <w:szCs w:val="22"/>
        </w:rPr>
      </w:pPr>
      <w:r>
        <w:rPr>
          <w:rFonts w:hint="eastAsia" w:hAnsi="黑体" w:cs="黑体"/>
          <w:bCs/>
          <w:szCs w:val="22"/>
        </w:rPr>
        <w:t>冗余 redundance</w:t>
      </w:r>
    </w:p>
    <w:p w14:paraId="2073E7C7">
      <w:pPr>
        <w:spacing w:after="180" w:line="317" w:lineRule="exact"/>
        <w:ind w:firstLine="420"/>
        <w:rPr>
          <w:rFonts w:ascii="宋体" w:hAnsi="宋体" w:cs="宋体"/>
          <w:kern w:val="0"/>
          <w:sz w:val="20"/>
          <w:szCs w:val="20"/>
        </w:rPr>
      </w:pPr>
      <w:r>
        <w:rPr>
          <w:rFonts w:ascii="宋体" w:hAnsi="宋体" w:cs="宋体"/>
          <w:color w:val="000000"/>
          <w:kern w:val="0"/>
          <w:sz w:val="20"/>
          <w:szCs w:val="20"/>
        </w:rPr>
        <w:t>重复配置功能模块的关健部件，共同承担系统</w:t>
      </w:r>
      <w:r>
        <w:rPr>
          <w:rFonts w:hint="eastAsia" w:ascii="宋体" w:hAnsi="宋体" w:cs="宋体"/>
          <w:color w:val="000000"/>
          <w:kern w:val="0"/>
          <w:sz w:val="20"/>
          <w:szCs w:val="20"/>
        </w:rPr>
        <w:t>负荷</w:t>
      </w:r>
      <w:r>
        <w:rPr>
          <w:rFonts w:ascii="宋体" w:hAnsi="宋体" w:cs="宋体"/>
          <w:color w:val="000000"/>
          <w:kern w:val="0"/>
          <w:sz w:val="20"/>
          <w:szCs w:val="20"/>
        </w:rPr>
        <w:t>，当其中部分关键部件发生故障时，重复配置的部件补充故障部件所承担的负荷，保障功能模块的正常运行。</w:t>
      </w:r>
    </w:p>
    <w:p w14:paraId="2CC49079">
      <w:pPr>
        <w:pStyle w:val="46"/>
        <w:spacing w:before="156" w:after="156"/>
        <w:outlineLvl w:val="1"/>
        <w:rPr>
          <w:rFonts w:ascii="宋体" w:eastAsia="宋体"/>
          <w:bCs/>
          <w:szCs w:val="22"/>
        </w:rPr>
      </w:pPr>
    </w:p>
    <w:p w14:paraId="1B938B79">
      <w:pPr>
        <w:pStyle w:val="46"/>
        <w:numPr>
          <w:ilvl w:val="255"/>
          <w:numId w:val="0"/>
        </w:numPr>
        <w:spacing w:before="156" w:after="156"/>
        <w:ind w:firstLine="420" w:firstLineChars="200"/>
        <w:outlineLvl w:val="1"/>
        <w:rPr>
          <w:rFonts w:hAnsi="黑体" w:cs="黑体"/>
          <w:bCs/>
          <w:szCs w:val="22"/>
        </w:rPr>
      </w:pPr>
      <w:r>
        <w:rPr>
          <w:rFonts w:hint="eastAsia" w:hAnsi="黑体" w:cs="黑体"/>
          <w:bCs/>
          <w:szCs w:val="22"/>
        </w:rPr>
        <w:t>容错 fault-tolerant</w:t>
      </w:r>
    </w:p>
    <w:p w14:paraId="30D289FB">
      <w:pPr>
        <w:spacing w:after="80" w:line="320" w:lineRule="exact"/>
        <w:ind w:firstLine="420"/>
        <w:rPr>
          <w:rFonts w:ascii="宋体" w:hAnsi="宋体" w:cs="宋体"/>
          <w:color w:val="000000"/>
          <w:kern w:val="0"/>
          <w:sz w:val="20"/>
          <w:szCs w:val="20"/>
        </w:rPr>
      </w:pPr>
      <w:r>
        <w:rPr>
          <w:rFonts w:ascii="宋体" w:hAnsi="宋体" w:cs="宋体"/>
          <w:color w:val="000000"/>
          <w:kern w:val="0"/>
          <w:sz w:val="20"/>
          <w:szCs w:val="20"/>
        </w:rPr>
        <w:t>具有两套或两套以上的系统、在同一时刻、至少有一套系统在正常工作。按容错系统配置的基础设施、在经受住一次严重的突发设备故障或人为操作失误后、仍能符合电子信息设备正常运行的基本需求。</w:t>
      </w:r>
    </w:p>
    <w:p w14:paraId="3CAEF0A3">
      <w:pPr>
        <w:pStyle w:val="46"/>
        <w:spacing w:before="156" w:after="156"/>
        <w:outlineLvl w:val="1"/>
        <w:rPr>
          <w:rFonts w:ascii="宋体" w:eastAsia="宋体"/>
          <w:bCs/>
          <w:szCs w:val="22"/>
        </w:rPr>
      </w:pPr>
      <w:bookmarkStart w:id="31" w:name="_Toc47690711"/>
    </w:p>
    <w:p w14:paraId="37D32423">
      <w:pPr>
        <w:pStyle w:val="46"/>
        <w:numPr>
          <w:ilvl w:val="255"/>
          <w:numId w:val="0"/>
        </w:numPr>
        <w:spacing w:before="156" w:after="156"/>
        <w:ind w:firstLine="420" w:firstLineChars="200"/>
        <w:outlineLvl w:val="1"/>
        <w:rPr>
          <w:rFonts w:hAnsi="黑体" w:cs="黑体"/>
          <w:bCs/>
          <w:szCs w:val="22"/>
        </w:rPr>
      </w:pPr>
      <w:r>
        <w:rPr>
          <w:rFonts w:hint="eastAsia" w:hAnsi="黑体" w:cs="黑体"/>
          <w:bCs/>
          <w:szCs w:val="22"/>
        </w:rPr>
        <w:t>模块化数据中心电能使用效率（mpPUE）</w:t>
      </w:r>
      <w:r>
        <w:rPr>
          <w:rFonts w:hint="eastAsia" w:hAnsi="黑体" w:cs="黑体"/>
          <w:bCs/>
          <w:szCs w:val="22"/>
          <w:lang w:val="en-US" w:eastAsia="zh-CN"/>
        </w:rPr>
        <w:t xml:space="preserve"> </w:t>
      </w:r>
      <w:r>
        <w:rPr>
          <w:rFonts w:hint="eastAsia" w:hAnsi="黑体" w:cs="黑体"/>
          <w:bCs/>
          <w:szCs w:val="22"/>
        </w:rPr>
        <w:t>modular data center power utilization efficiency</w:t>
      </w:r>
    </w:p>
    <w:p w14:paraId="19CD74AD">
      <w:pPr>
        <w:pStyle w:val="177"/>
        <w:spacing w:after="80" w:line="320" w:lineRule="exact"/>
      </w:pPr>
      <w:r>
        <w:t>同一时间周期内模块化数据中心总电能消耗量与电子信息设备电能消耗量之比。</w:t>
      </w:r>
    </w:p>
    <w:p w14:paraId="4556F598">
      <w:pPr>
        <w:pStyle w:val="46"/>
        <w:numPr>
          <w:ilvl w:val="1"/>
          <w:numId w:val="2"/>
        </w:numPr>
        <w:spacing w:before="156" w:after="156"/>
        <w:outlineLvl w:val="1"/>
        <w:rPr>
          <w:rFonts w:hAnsi="黑体" w:cs="黑体"/>
          <w:bCs/>
          <w:szCs w:val="22"/>
        </w:rPr>
      </w:pPr>
    </w:p>
    <w:p w14:paraId="3DD36915">
      <w:pPr>
        <w:pStyle w:val="46"/>
        <w:numPr>
          <w:ilvl w:val="255"/>
          <w:numId w:val="0"/>
        </w:numPr>
        <w:spacing w:before="156" w:after="156"/>
        <w:ind w:firstLine="420" w:firstLineChars="200"/>
        <w:outlineLvl w:val="1"/>
        <w:rPr>
          <w:rFonts w:hAnsi="黑体" w:cs="黑体"/>
          <w:bCs/>
          <w:szCs w:val="22"/>
        </w:rPr>
      </w:pPr>
      <w:r>
        <w:rPr>
          <w:rFonts w:hint="eastAsia" w:hAnsi="黑体" w:cs="黑体"/>
          <w:bCs/>
          <w:szCs w:val="22"/>
        </w:rPr>
        <w:t>安全防范系统</w:t>
      </w:r>
      <w:r>
        <w:rPr>
          <w:rFonts w:hint="eastAsia" w:hAnsi="黑体" w:cs="黑体"/>
          <w:bCs/>
          <w:szCs w:val="22"/>
          <w:lang w:val="en-US" w:eastAsia="zh-CN"/>
        </w:rPr>
        <w:t xml:space="preserve"> </w:t>
      </w:r>
      <w:r>
        <w:rPr>
          <w:rFonts w:hint="eastAsia" w:hAnsi="黑体" w:cs="黑体"/>
          <w:bCs/>
          <w:szCs w:val="22"/>
        </w:rPr>
        <w:t>security &amp; protection system</w:t>
      </w:r>
    </w:p>
    <w:p w14:paraId="543A4719">
      <w:pPr>
        <w:pStyle w:val="177"/>
        <w:spacing w:after="80" w:line="320" w:lineRule="exact"/>
        <w:rPr>
          <w:rFonts w:ascii="宋体" w:hAnsi="宋体" w:cs="宋体"/>
        </w:rPr>
      </w:pPr>
      <w:r>
        <w:rPr>
          <w:rFonts w:hint="eastAsia"/>
        </w:rPr>
        <w:t>以保障模块化数据中心安全为目的，通过运用安全防范技术构成的入侵报警系统、视频安防监控系统、出入口控制系统等子系统组成的电子系统或网络，这些系统共同作用实现防入侵、防盗窃、防破坏及安全检查等功能。</w:t>
      </w:r>
      <w:bookmarkEnd w:id="31"/>
    </w:p>
    <w:p w14:paraId="126B5214">
      <w:pPr>
        <w:pStyle w:val="49"/>
        <w:spacing w:before="312" w:after="312"/>
        <w:outlineLvl w:val="0"/>
      </w:pPr>
      <w:bookmarkStart w:id="32" w:name="_Toc166092713"/>
      <w:r>
        <w:rPr>
          <w:rFonts w:hint="eastAsia" w:ascii="Times New Roman"/>
          <w:color w:val="000000" w:themeColor="text1"/>
          <w14:textFill>
            <w14:solidFill>
              <w14:schemeClr w14:val="tx1"/>
            </w14:solidFill>
          </w14:textFill>
        </w:rPr>
        <w:t>模块化技术要求</w:t>
      </w:r>
      <w:bookmarkEnd w:id="32"/>
      <w:r>
        <w:rPr>
          <w:rFonts w:hint="eastAsia" w:ascii="Times New Roman"/>
          <w:color w:val="000000" w:themeColor="text1"/>
          <w14:textFill>
            <w14:solidFill>
              <w14:schemeClr w14:val="tx1"/>
            </w14:solidFill>
          </w14:textFill>
        </w:rPr>
        <w:t xml:space="preserve"> </w:t>
      </w:r>
    </w:p>
    <w:p w14:paraId="786B05AA">
      <w:pPr>
        <w:pStyle w:val="46"/>
        <w:spacing w:before="156" w:after="156"/>
        <w:outlineLvl w:val="1"/>
        <w:rPr>
          <w:rFonts w:hAnsi="黑体" w:cs="黑体"/>
          <w:bCs/>
          <w:szCs w:val="22"/>
        </w:rPr>
      </w:pPr>
      <w:bookmarkStart w:id="33" w:name="_Toc39751686"/>
      <w:bookmarkStart w:id="34" w:name="_Toc45628255"/>
      <w:bookmarkStart w:id="35" w:name="_Toc51059393"/>
      <w:bookmarkStart w:id="36" w:name="_Toc45633639"/>
      <w:bookmarkStart w:id="37" w:name="_Hlk44494585"/>
      <w:r>
        <w:rPr>
          <w:rFonts w:hint="eastAsia" w:hAnsi="黑体" w:cs="黑体"/>
          <w:bCs/>
          <w:szCs w:val="22"/>
          <w:lang w:val="en-US" w:eastAsia="zh-CN"/>
        </w:rPr>
        <w:t>产品</w:t>
      </w:r>
      <w:r>
        <w:rPr>
          <w:rFonts w:hint="eastAsia" w:hAnsi="黑体" w:cs="黑体"/>
          <w:bCs/>
          <w:szCs w:val="22"/>
        </w:rPr>
        <w:t>整体要求</w:t>
      </w:r>
    </w:p>
    <w:p w14:paraId="106C1D70">
      <w:pPr>
        <w:pStyle w:val="172"/>
        <w:ind w:left="0"/>
        <w:jc w:val="left"/>
        <w:outlineLvl w:val="2"/>
        <w:rPr>
          <w:rFonts w:ascii="黑体" w:hAnsi="黑体" w:eastAsia="黑体" w:cs="黑体"/>
        </w:rPr>
      </w:pPr>
      <w:r>
        <w:rPr>
          <w:rFonts w:hint="eastAsia" w:ascii="黑体" w:hAnsi="黑体" w:eastAsia="黑体" w:cs="黑体"/>
        </w:rPr>
        <w:t>机柜及通道系统要求</w:t>
      </w:r>
    </w:p>
    <w:p w14:paraId="206DB4F1">
      <w:pPr>
        <w:pStyle w:val="177"/>
        <w:spacing w:line="240" w:lineRule="auto"/>
        <w:ind w:firstLine="420"/>
        <w:jc w:val="both"/>
      </w:pPr>
      <w:r>
        <w:rPr>
          <w:color w:val="000000"/>
        </w:rPr>
        <w:t>模块化数据中心机柜、机柜与通道密封件共同组成的封闭冷/热通道要求如下：</w:t>
      </w:r>
    </w:p>
    <w:p w14:paraId="58A38527">
      <w:pPr>
        <w:pStyle w:val="151"/>
        <w:numPr>
          <w:ilvl w:val="0"/>
          <w:numId w:val="18"/>
        </w:numPr>
        <w:tabs>
          <w:tab w:val="left" w:pos="814"/>
        </w:tabs>
        <w:spacing w:line="320" w:lineRule="exact"/>
        <w:ind w:firstLineChars="0"/>
        <w:jc w:val="left"/>
        <w:rPr>
          <w:rFonts w:ascii="宋体" w:hAnsi="宋体" w:cs="宋体"/>
          <w:color w:val="000000"/>
          <w:kern w:val="0"/>
          <w:sz w:val="20"/>
          <w:szCs w:val="20"/>
          <w:lang w:bidi="en-US"/>
        </w:rPr>
      </w:pPr>
      <w:r>
        <w:rPr>
          <w:rFonts w:hint="eastAsia" w:ascii="宋体" w:hAnsi="宋体" w:cs="宋体"/>
          <w:kern w:val="0"/>
          <w:sz w:val="18"/>
          <w:szCs w:val="18"/>
        </w:rPr>
        <w:t>机柜应符合</w:t>
      </w:r>
      <w:r>
        <w:rPr>
          <w:rFonts w:hint="eastAsia" w:ascii="宋体" w:hAnsi="宋体" w:cs="宋体"/>
          <w:kern w:val="0"/>
          <w:sz w:val="18"/>
          <w:szCs w:val="18"/>
          <w:highlight w:val="none"/>
        </w:rPr>
        <w:t>GB/T 22690</w:t>
      </w:r>
      <w:r>
        <w:rPr>
          <w:rFonts w:hint="eastAsia" w:ascii="宋体" w:hAnsi="宋体" w:cs="宋体"/>
          <w:kern w:val="0"/>
          <w:sz w:val="18"/>
          <w:szCs w:val="18"/>
        </w:rPr>
        <w:t>的相关要求</w:t>
      </w:r>
      <w:r>
        <w:rPr>
          <w:rFonts w:hint="eastAsia" w:ascii="宋体" w:hAnsi="宋体" w:cs="宋体"/>
          <w:kern w:val="0"/>
          <w:sz w:val="18"/>
          <w:szCs w:val="18"/>
          <w:lang w:eastAsia="zh-CN"/>
        </w:rPr>
        <w:t>；</w:t>
      </w:r>
    </w:p>
    <w:p w14:paraId="6C415C5E">
      <w:pPr>
        <w:pStyle w:val="177"/>
        <w:numPr>
          <w:ilvl w:val="0"/>
          <w:numId w:val="18"/>
        </w:numPr>
        <w:tabs>
          <w:tab w:val="left" w:pos="814"/>
        </w:tabs>
        <w:spacing w:line="320" w:lineRule="exact"/>
        <w:jc w:val="both"/>
      </w:pPr>
      <w:r>
        <w:rPr>
          <w:color w:val="000000"/>
        </w:rPr>
        <w:t>模块化数据中心</w:t>
      </w:r>
      <w:r>
        <w:rPr>
          <w:rFonts w:hint="eastAsia"/>
          <w:color w:val="000000"/>
        </w:rPr>
        <w:t>应</w:t>
      </w:r>
      <w:r>
        <w:rPr>
          <w:color w:val="000000"/>
        </w:rPr>
        <w:t>采取冷热通道隔离措施</w:t>
      </w:r>
      <w:r>
        <w:rPr>
          <w:rFonts w:hint="eastAsia"/>
          <w:color w:val="000000"/>
        </w:rPr>
        <w:t>；</w:t>
      </w:r>
    </w:p>
    <w:p w14:paraId="5E96243D">
      <w:pPr>
        <w:pStyle w:val="151"/>
        <w:numPr>
          <w:ilvl w:val="0"/>
          <w:numId w:val="18"/>
        </w:numPr>
        <w:tabs>
          <w:tab w:val="left" w:pos="814"/>
        </w:tabs>
        <w:spacing w:line="320" w:lineRule="exact"/>
        <w:ind w:firstLineChars="0"/>
        <w:jc w:val="left"/>
        <w:rPr>
          <w:rFonts w:ascii="宋体" w:hAnsi="宋体" w:cs="宋体"/>
          <w:color w:val="000000"/>
          <w:kern w:val="0"/>
          <w:sz w:val="20"/>
          <w:szCs w:val="20"/>
          <w:lang w:bidi="en-US"/>
        </w:rPr>
      </w:pPr>
      <w:r>
        <w:rPr>
          <w:rFonts w:ascii="宋体" w:hAnsi="宋体" w:cs="宋体"/>
          <w:color w:val="000000"/>
          <w:kern w:val="0"/>
          <w:sz w:val="20"/>
          <w:szCs w:val="20"/>
          <w:lang w:bidi="en-US"/>
        </w:rPr>
        <w:t>通道密封件</w:t>
      </w:r>
      <w:r>
        <w:rPr>
          <w:rFonts w:hint="eastAsia" w:ascii="宋体" w:hAnsi="宋体" w:cs="宋体"/>
          <w:color w:val="000000"/>
          <w:kern w:val="0"/>
          <w:sz w:val="20"/>
          <w:szCs w:val="20"/>
          <w:lang w:bidi="en-US"/>
        </w:rPr>
        <w:t>应</w:t>
      </w:r>
      <w:r>
        <w:rPr>
          <w:rFonts w:ascii="宋体" w:hAnsi="宋体" w:cs="宋体"/>
          <w:color w:val="000000"/>
          <w:kern w:val="0"/>
          <w:sz w:val="20"/>
          <w:szCs w:val="20"/>
          <w:lang w:bidi="en-US"/>
        </w:rPr>
        <w:t>包含通道门、通道顶窗、通道围板及其他气流密封组件（紧凑型模块化数据中心除外）</w:t>
      </w:r>
      <w:r>
        <w:rPr>
          <w:rFonts w:hint="eastAsia" w:ascii="宋体" w:hAnsi="宋体" w:cs="宋体"/>
          <w:color w:val="000000"/>
          <w:kern w:val="0"/>
          <w:sz w:val="20"/>
          <w:szCs w:val="20"/>
          <w:lang w:bidi="en-US"/>
        </w:rPr>
        <w:t>；</w:t>
      </w:r>
    </w:p>
    <w:p w14:paraId="6E6D6462">
      <w:pPr>
        <w:pStyle w:val="151"/>
        <w:numPr>
          <w:ilvl w:val="0"/>
          <w:numId w:val="18"/>
        </w:numPr>
        <w:tabs>
          <w:tab w:val="left" w:pos="814"/>
        </w:tabs>
        <w:spacing w:line="320" w:lineRule="exact"/>
        <w:ind w:firstLineChars="0"/>
        <w:jc w:val="left"/>
        <w:rPr>
          <w:rFonts w:hint="eastAsia" w:ascii="宋体" w:hAnsi="宋体" w:cs="宋体"/>
          <w:color w:val="000000"/>
          <w:kern w:val="0"/>
          <w:sz w:val="20"/>
          <w:szCs w:val="20"/>
          <w:lang w:bidi="en-US"/>
        </w:rPr>
      </w:pPr>
      <w:r>
        <w:rPr>
          <w:rFonts w:ascii="宋体" w:hAnsi="宋体" w:cs="宋体"/>
          <w:color w:val="000000"/>
          <w:kern w:val="0"/>
          <w:sz w:val="20"/>
          <w:szCs w:val="20"/>
          <w:lang w:bidi="en-US"/>
        </w:rPr>
        <w:t>通道密封件搭建完成，当活动天窗开启后通道内部净高度应不低于机柜高度</w:t>
      </w:r>
      <w:r>
        <w:rPr>
          <w:rFonts w:hint="eastAsia" w:ascii="宋体" w:hAnsi="宋体" w:cs="宋体"/>
          <w:color w:val="000000"/>
          <w:kern w:val="0"/>
          <w:sz w:val="20"/>
          <w:szCs w:val="20"/>
          <w:lang w:bidi="en-US"/>
        </w:rPr>
        <w:t>；</w:t>
      </w:r>
    </w:p>
    <w:p w14:paraId="30D0507F">
      <w:pPr>
        <w:pStyle w:val="151"/>
        <w:numPr>
          <w:ilvl w:val="0"/>
          <w:numId w:val="18"/>
        </w:numPr>
        <w:tabs>
          <w:tab w:val="left" w:pos="814"/>
        </w:tabs>
        <w:spacing w:line="320" w:lineRule="exact"/>
        <w:ind w:firstLineChars="0"/>
        <w:jc w:val="left"/>
        <w:rPr>
          <w:rFonts w:ascii="宋体" w:hAnsi="宋体" w:cs="宋体"/>
          <w:color w:val="000000"/>
          <w:kern w:val="0"/>
          <w:sz w:val="20"/>
          <w:szCs w:val="20"/>
          <w:lang w:bidi="en-US"/>
        </w:rPr>
      </w:pPr>
      <w:bookmarkStart w:id="38" w:name="bookmark41"/>
      <w:r>
        <w:rPr>
          <w:rFonts w:ascii="宋体" w:hAnsi="宋体" w:cs="宋体"/>
          <w:color w:val="000000"/>
          <w:kern w:val="0"/>
          <w:sz w:val="20"/>
          <w:szCs w:val="20"/>
          <w:lang w:bidi="en-US"/>
        </w:rPr>
        <w:t>通道活动顶窗</w:t>
      </w:r>
      <w:r>
        <w:rPr>
          <w:rFonts w:hint="eastAsia" w:ascii="宋体" w:hAnsi="宋体" w:cs="宋体"/>
          <w:color w:val="000000"/>
          <w:kern w:val="0"/>
          <w:sz w:val="20"/>
          <w:szCs w:val="20"/>
          <w:lang w:bidi="en-US"/>
        </w:rPr>
        <w:t>应</w:t>
      </w:r>
      <w:r>
        <w:rPr>
          <w:rFonts w:ascii="宋体" w:hAnsi="宋体" w:cs="宋体"/>
          <w:color w:val="000000"/>
          <w:kern w:val="0"/>
          <w:sz w:val="20"/>
          <w:szCs w:val="20"/>
          <w:lang w:bidi="en-US"/>
        </w:rPr>
        <w:t>配有专用消防联动控制单元，控制单元具备与消防系统联动的信号接口</w:t>
      </w:r>
      <w:r>
        <w:rPr>
          <w:rFonts w:hint="eastAsia" w:ascii="宋体" w:hAnsi="宋体" w:cs="宋体"/>
          <w:color w:val="000000"/>
          <w:kern w:val="0"/>
          <w:sz w:val="20"/>
          <w:szCs w:val="20"/>
          <w:lang w:bidi="en-US"/>
        </w:rPr>
        <w:t>；</w:t>
      </w:r>
    </w:p>
    <w:p w14:paraId="789F0AF1">
      <w:pPr>
        <w:pStyle w:val="151"/>
        <w:numPr>
          <w:ilvl w:val="0"/>
          <w:numId w:val="18"/>
        </w:numPr>
        <w:tabs>
          <w:tab w:val="left" w:pos="814"/>
        </w:tabs>
        <w:spacing w:line="320" w:lineRule="exact"/>
        <w:ind w:firstLineChars="0"/>
        <w:jc w:val="left"/>
        <w:rPr>
          <w:rFonts w:ascii="宋体" w:hAnsi="宋体" w:cs="宋体"/>
          <w:color w:val="000000"/>
          <w:kern w:val="0"/>
          <w:sz w:val="20"/>
          <w:szCs w:val="20"/>
          <w:lang w:bidi="en-US"/>
        </w:rPr>
      </w:pPr>
      <w:r>
        <w:rPr>
          <w:rFonts w:ascii="宋体" w:hAnsi="宋体" w:cs="宋体"/>
          <w:color w:val="000000"/>
          <w:kern w:val="0"/>
          <w:sz w:val="20"/>
          <w:szCs w:val="20"/>
          <w:lang w:bidi="en-US"/>
        </w:rPr>
        <w:t>通道内部应预留温湿度传感器、感烟传感器、监控摄像机等安装位置，安装孔应符合各类传感器固定及布线要求</w:t>
      </w:r>
      <w:r>
        <w:rPr>
          <w:rFonts w:hint="eastAsia" w:ascii="宋体" w:hAnsi="宋体" w:cs="宋体"/>
          <w:color w:val="000000"/>
          <w:kern w:val="0"/>
          <w:sz w:val="20"/>
          <w:szCs w:val="20"/>
          <w:lang w:bidi="en-US"/>
        </w:rPr>
        <w:t>；</w:t>
      </w:r>
    </w:p>
    <w:bookmarkEnd w:id="38"/>
    <w:p w14:paraId="44CD6EAA">
      <w:pPr>
        <w:pStyle w:val="151"/>
        <w:numPr>
          <w:ilvl w:val="0"/>
          <w:numId w:val="18"/>
        </w:numPr>
        <w:tabs>
          <w:tab w:val="left" w:pos="814"/>
        </w:tabs>
        <w:spacing w:line="320" w:lineRule="exact"/>
        <w:ind w:firstLineChars="0"/>
        <w:jc w:val="left"/>
        <w:rPr>
          <w:rFonts w:ascii="宋体" w:hAnsi="宋体" w:cs="宋体"/>
          <w:color w:val="000000"/>
          <w:kern w:val="0"/>
          <w:sz w:val="20"/>
          <w:szCs w:val="20"/>
          <w:lang w:bidi="en-US"/>
        </w:rPr>
      </w:pPr>
      <w:r>
        <w:rPr>
          <w:rFonts w:ascii="宋体" w:hAnsi="宋体" w:cs="宋体"/>
          <w:color w:val="000000"/>
          <w:kern w:val="0"/>
          <w:sz w:val="20"/>
          <w:szCs w:val="20"/>
          <w:lang w:bidi="en-US"/>
        </w:rPr>
        <w:t>通道门及顶窗</w:t>
      </w:r>
      <w:r>
        <w:rPr>
          <w:rFonts w:hint="eastAsia" w:ascii="宋体" w:hAnsi="宋体" w:cs="宋体"/>
          <w:color w:val="000000"/>
          <w:kern w:val="0"/>
          <w:sz w:val="20"/>
          <w:szCs w:val="20"/>
          <w:lang w:bidi="en-US"/>
        </w:rPr>
        <w:t>宜</w:t>
      </w:r>
      <w:r>
        <w:rPr>
          <w:rFonts w:ascii="宋体" w:hAnsi="宋体" w:cs="宋体"/>
          <w:color w:val="000000"/>
          <w:kern w:val="0"/>
          <w:sz w:val="20"/>
          <w:szCs w:val="20"/>
          <w:lang w:bidi="en-US"/>
        </w:rPr>
        <w:t>选择透光率不小于85%的透光材料（紧凑型模块化数据中心除外）</w:t>
      </w:r>
      <w:r>
        <w:rPr>
          <w:rFonts w:hint="eastAsia" w:ascii="宋体" w:hAnsi="宋体" w:cs="宋体"/>
          <w:color w:val="000000"/>
          <w:kern w:val="0"/>
          <w:sz w:val="20"/>
          <w:szCs w:val="20"/>
          <w:lang w:bidi="en-US"/>
        </w:rPr>
        <w:t>；</w:t>
      </w:r>
    </w:p>
    <w:p w14:paraId="524BC00D">
      <w:pPr>
        <w:pStyle w:val="151"/>
        <w:numPr>
          <w:ilvl w:val="0"/>
          <w:numId w:val="18"/>
        </w:numPr>
        <w:tabs>
          <w:tab w:val="left" w:pos="814"/>
        </w:tabs>
        <w:spacing w:line="320" w:lineRule="exact"/>
        <w:ind w:firstLineChars="0"/>
        <w:jc w:val="left"/>
        <w:rPr>
          <w:rFonts w:ascii="宋体" w:hAnsi="宋体" w:cs="宋体"/>
          <w:color w:val="000000"/>
          <w:kern w:val="0"/>
          <w:sz w:val="20"/>
          <w:szCs w:val="20"/>
          <w:lang w:bidi="en-US"/>
        </w:rPr>
      </w:pPr>
      <w:r>
        <w:rPr>
          <w:rFonts w:ascii="宋体" w:hAnsi="宋体" w:cs="宋体"/>
          <w:color w:val="000000"/>
          <w:kern w:val="0"/>
          <w:sz w:val="20"/>
          <w:szCs w:val="20"/>
          <w:lang w:bidi="en-US"/>
        </w:rPr>
        <w:t>通道顶窗</w:t>
      </w:r>
      <w:r>
        <w:rPr>
          <w:rFonts w:hint="eastAsia" w:ascii="宋体" w:hAnsi="宋体" w:cs="宋体"/>
          <w:color w:val="000000"/>
          <w:kern w:val="0"/>
          <w:sz w:val="20"/>
          <w:szCs w:val="20"/>
          <w:lang w:bidi="en-US"/>
        </w:rPr>
        <w:t>宜</w:t>
      </w:r>
      <w:r>
        <w:rPr>
          <w:rFonts w:ascii="宋体" w:hAnsi="宋体" w:cs="宋体"/>
          <w:color w:val="000000"/>
          <w:kern w:val="0"/>
          <w:sz w:val="20"/>
          <w:szCs w:val="20"/>
          <w:lang w:bidi="en-US"/>
        </w:rPr>
        <w:t>由透光材料及金属结构件组成，通道顶窗整体透光面积比率不小于60%</w:t>
      </w:r>
      <w:r>
        <w:rPr>
          <w:rFonts w:hint="eastAsia" w:ascii="宋体" w:hAnsi="宋体" w:cs="宋体"/>
          <w:color w:val="000000"/>
          <w:kern w:val="0"/>
          <w:sz w:val="20"/>
          <w:szCs w:val="20"/>
          <w:lang w:bidi="en-US"/>
        </w:rPr>
        <w:t>；</w:t>
      </w:r>
    </w:p>
    <w:p w14:paraId="7DE72085">
      <w:pPr>
        <w:pStyle w:val="151"/>
        <w:numPr>
          <w:ilvl w:val="0"/>
          <w:numId w:val="18"/>
        </w:numPr>
        <w:tabs>
          <w:tab w:val="left" w:pos="814"/>
        </w:tabs>
        <w:spacing w:line="320" w:lineRule="exact"/>
        <w:ind w:firstLineChars="0"/>
        <w:jc w:val="left"/>
        <w:rPr>
          <w:rFonts w:ascii="宋体" w:hAnsi="宋体" w:cs="宋体"/>
          <w:color w:val="000000"/>
          <w:kern w:val="0"/>
          <w:sz w:val="20"/>
          <w:szCs w:val="20"/>
          <w:lang w:bidi="en-US"/>
        </w:rPr>
      </w:pPr>
      <w:r>
        <w:rPr>
          <w:rFonts w:hint="eastAsia" w:ascii="宋体" w:hAnsi="宋体" w:cs="宋体"/>
          <w:color w:val="000000"/>
          <w:kern w:val="0"/>
          <w:sz w:val="20"/>
          <w:szCs w:val="20"/>
          <w:lang w:bidi="en-US"/>
        </w:rPr>
        <w:t>通道门宜配置门禁，配置门禁时，应设置紧急解锁装置。</w:t>
      </w:r>
    </w:p>
    <w:p w14:paraId="095252C5">
      <w:pPr>
        <w:pStyle w:val="172"/>
        <w:ind w:left="0"/>
        <w:jc w:val="left"/>
        <w:outlineLvl w:val="2"/>
        <w:rPr>
          <w:rFonts w:ascii="黑体" w:hAnsi="黑体" w:eastAsia="黑体" w:cs="黑体"/>
        </w:rPr>
      </w:pPr>
      <w:r>
        <w:rPr>
          <w:rFonts w:hint="eastAsia" w:ascii="黑体" w:hAnsi="黑体" w:eastAsia="黑体" w:cs="黑体"/>
        </w:rPr>
        <w:t>供配电系统要求</w:t>
      </w:r>
    </w:p>
    <w:p w14:paraId="33237E1D">
      <w:pPr>
        <w:pStyle w:val="177"/>
        <w:spacing w:line="240" w:lineRule="auto"/>
        <w:ind w:firstLine="420"/>
        <w:jc w:val="both"/>
      </w:pPr>
      <w:r>
        <w:rPr>
          <w:color w:val="000000"/>
        </w:rPr>
        <w:t>模块化数据中心</w:t>
      </w:r>
      <w:r>
        <w:rPr>
          <w:rFonts w:hint="eastAsia"/>
          <w:color w:val="000000"/>
        </w:rPr>
        <w:t>供</w:t>
      </w:r>
      <w:r>
        <w:rPr>
          <w:color w:val="000000"/>
        </w:rPr>
        <w:t>配电系统要求如下</w:t>
      </w:r>
      <w:r>
        <w:rPr>
          <w:rFonts w:hint="eastAsia"/>
          <w:color w:val="000000"/>
        </w:rPr>
        <w:t>：</w:t>
      </w:r>
    </w:p>
    <w:p w14:paraId="0DEC44DE">
      <w:pPr>
        <w:pStyle w:val="177"/>
        <w:numPr>
          <w:ilvl w:val="0"/>
          <w:numId w:val="19"/>
        </w:numPr>
        <w:tabs>
          <w:tab w:val="left" w:pos="831"/>
        </w:tabs>
        <w:spacing w:line="320" w:lineRule="exact"/>
        <w:ind w:left="839" w:leftChars="0" w:hanging="420"/>
        <w:jc w:val="left"/>
      </w:pPr>
      <w:bookmarkStart w:id="39" w:name="bookmark64"/>
      <w:r>
        <w:rPr>
          <w:rFonts w:hint="eastAsia"/>
        </w:rPr>
        <w:t xml:space="preserve"> </w:t>
      </w:r>
      <w:r>
        <w:t>模块化数据中心中</w:t>
      </w:r>
      <w:r>
        <w:rPr>
          <w:rFonts w:hint="eastAsia"/>
        </w:rPr>
        <w:t>的交流不间断电源</w:t>
      </w:r>
      <w:r>
        <w:t>供电电源质量</w:t>
      </w:r>
      <w:r>
        <w:rPr>
          <w:rFonts w:hint="eastAsia"/>
        </w:rPr>
        <w:t>应符合</w:t>
      </w:r>
      <w:r>
        <w:t>表1</w:t>
      </w:r>
      <w:r>
        <w:rPr>
          <w:rFonts w:hint="eastAsia"/>
        </w:rPr>
        <w:t>要求</w:t>
      </w:r>
      <w:r>
        <w:t>。</w:t>
      </w:r>
      <w:bookmarkEnd w:id="39"/>
      <w:r>
        <w:rPr>
          <w:rFonts w:hint="eastAsia"/>
        </w:rPr>
        <w:t>当采用直流电源供电时，供</w:t>
      </w:r>
      <w:r>
        <w:rPr>
          <w:rFonts w:hint="eastAsia"/>
          <w:lang w:val="en-US" w:eastAsia="zh-CN"/>
        </w:rPr>
        <w:t>电</w:t>
      </w:r>
      <w:r>
        <w:rPr>
          <w:rFonts w:hint="eastAsia"/>
        </w:rPr>
        <w:t>电电压应符合电子信息设备的要求；</w:t>
      </w:r>
    </w:p>
    <w:p w14:paraId="67F7DF18">
      <w:pPr>
        <w:pStyle w:val="183"/>
        <w:ind w:left="0"/>
        <w:jc w:val="center"/>
      </w:pPr>
      <w:r>
        <w:rPr>
          <w:color w:val="000000"/>
        </w:rPr>
        <w:t>表1</w:t>
      </w:r>
      <w:r>
        <w:rPr>
          <w:rFonts w:hint="eastAsia"/>
          <w:color w:val="000000"/>
        </w:rPr>
        <w:t xml:space="preserve">  交流不间断电源</w:t>
      </w:r>
      <w:r>
        <w:rPr>
          <w:color w:val="000000"/>
        </w:rPr>
        <w:t>供电电源质</w:t>
      </w:r>
      <w:r>
        <w:rPr>
          <w:rFonts w:hint="eastAsia"/>
          <w:color w:val="000000"/>
        </w:rPr>
        <w:t>量</w:t>
      </w:r>
      <w:r>
        <w:rPr>
          <w:color w:val="000000"/>
        </w:rPr>
        <w:t>要求</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689"/>
        <w:gridCol w:w="1460"/>
      </w:tblGrid>
      <w:tr w14:paraId="35848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5" w:hRule="exact"/>
          <w:jc w:val="center"/>
        </w:trPr>
        <w:tc>
          <w:tcPr>
            <w:tcW w:w="2689" w:type="dxa"/>
            <w:shd w:val="clear" w:color="auto" w:fill="FFFFFF"/>
            <w:vAlign w:val="center"/>
          </w:tcPr>
          <w:p w14:paraId="7E67CC2C">
            <w:pPr>
              <w:pStyle w:val="185"/>
              <w:spacing w:line="240" w:lineRule="auto"/>
              <w:ind w:firstLine="0"/>
              <w:jc w:val="center"/>
              <w:rPr>
                <w:sz w:val="17"/>
                <w:szCs w:val="17"/>
              </w:rPr>
            </w:pPr>
            <w:r>
              <w:rPr>
                <w:color w:val="000000"/>
                <w:sz w:val="17"/>
                <w:szCs w:val="17"/>
              </w:rPr>
              <w:t>项目</w:t>
            </w:r>
          </w:p>
        </w:tc>
        <w:tc>
          <w:tcPr>
            <w:tcW w:w="1460" w:type="dxa"/>
            <w:shd w:val="clear" w:color="auto" w:fill="FFFFFF"/>
            <w:vAlign w:val="center"/>
          </w:tcPr>
          <w:p w14:paraId="158AB832">
            <w:pPr>
              <w:pStyle w:val="185"/>
              <w:spacing w:line="240" w:lineRule="auto"/>
              <w:ind w:firstLine="0"/>
              <w:jc w:val="center"/>
              <w:rPr>
                <w:sz w:val="17"/>
                <w:szCs w:val="17"/>
              </w:rPr>
            </w:pPr>
            <w:r>
              <w:rPr>
                <w:rFonts w:hint="eastAsia"/>
                <w:sz w:val="17"/>
                <w:szCs w:val="17"/>
              </w:rPr>
              <w:t>技术要求</w:t>
            </w:r>
          </w:p>
        </w:tc>
      </w:tr>
      <w:tr w14:paraId="6678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7" w:hRule="exact"/>
          <w:jc w:val="center"/>
        </w:trPr>
        <w:tc>
          <w:tcPr>
            <w:tcW w:w="2689" w:type="dxa"/>
            <w:shd w:val="clear" w:color="auto" w:fill="FFFFFF"/>
            <w:vAlign w:val="center"/>
          </w:tcPr>
          <w:p w14:paraId="3A580D87">
            <w:pPr>
              <w:pStyle w:val="185"/>
              <w:spacing w:line="240" w:lineRule="auto"/>
              <w:ind w:firstLine="0"/>
              <w:jc w:val="center"/>
              <w:rPr>
                <w:sz w:val="17"/>
                <w:szCs w:val="17"/>
              </w:rPr>
            </w:pPr>
            <w:r>
              <w:rPr>
                <w:rFonts w:hint="eastAsia"/>
                <w:color w:val="000000"/>
                <w:sz w:val="17"/>
                <w:szCs w:val="17"/>
              </w:rPr>
              <w:t>输出稳压精度</w:t>
            </w:r>
          </w:p>
        </w:tc>
        <w:tc>
          <w:tcPr>
            <w:tcW w:w="1460" w:type="dxa"/>
            <w:shd w:val="clear" w:color="auto" w:fill="FFFFFF"/>
            <w:vAlign w:val="center"/>
          </w:tcPr>
          <w:p w14:paraId="048EF1F5">
            <w:pPr>
              <w:pStyle w:val="185"/>
              <w:spacing w:line="240" w:lineRule="auto"/>
              <w:ind w:firstLine="0"/>
              <w:jc w:val="center"/>
              <w:rPr>
                <w:sz w:val="18"/>
                <w:szCs w:val="18"/>
              </w:rPr>
            </w:pPr>
            <w:r>
              <w:rPr>
                <w:rFonts w:hint="eastAsia"/>
                <w:color w:val="000000"/>
                <w:sz w:val="18"/>
                <w:szCs w:val="17"/>
              </w:rPr>
              <w:t>-</w:t>
            </w:r>
            <w:r>
              <w:rPr>
                <w:color w:val="000000"/>
                <w:sz w:val="18"/>
                <w:szCs w:val="17"/>
              </w:rPr>
              <w:t>1%～1%</w:t>
            </w:r>
          </w:p>
        </w:tc>
      </w:tr>
      <w:tr w14:paraId="0DB6D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0" w:hRule="exact"/>
          <w:jc w:val="center"/>
        </w:trPr>
        <w:tc>
          <w:tcPr>
            <w:tcW w:w="2689" w:type="dxa"/>
            <w:shd w:val="clear" w:color="auto" w:fill="FFFFFF"/>
            <w:vAlign w:val="center"/>
          </w:tcPr>
          <w:p w14:paraId="21FC8EB0">
            <w:pPr>
              <w:pStyle w:val="185"/>
              <w:spacing w:line="240" w:lineRule="auto"/>
              <w:ind w:firstLine="0"/>
              <w:jc w:val="center"/>
              <w:rPr>
                <w:sz w:val="17"/>
                <w:szCs w:val="17"/>
              </w:rPr>
            </w:pPr>
            <w:r>
              <w:rPr>
                <w:color w:val="000000"/>
                <w:sz w:val="17"/>
                <w:szCs w:val="17"/>
              </w:rPr>
              <w:t>稳态频率偏移范围</w:t>
            </w:r>
          </w:p>
        </w:tc>
        <w:tc>
          <w:tcPr>
            <w:tcW w:w="1460" w:type="dxa"/>
            <w:shd w:val="clear" w:color="auto" w:fill="FFFFFF"/>
            <w:vAlign w:val="center"/>
          </w:tcPr>
          <w:p w14:paraId="4E14D90E">
            <w:pPr>
              <w:pStyle w:val="185"/>
              <w:spacing w:line="240" w:lineRule="auto"/>
              <w:ind w:firstLine="0"/>
              <w:jc w:val="center"/>
              <w:rPr>
                <w:sz w:val="18"/>
                <w:szCs w:val="18"/>
              </w:rPr>
            </w:pPr>
            <w:r>
              <w:rPr>
                <w:color w:val="000000"/>
                <w:sz w:val="18"/>
                <w:szCs w:val="18"/>
              </w:rPr>
              <w:t>-</w:t>
            </w:r>
            <w:r>
              <w:rPr>
                <w:rFonts w:hint="eastAsia"/>
                <w:color w:val="000000"/>
                <w:sz w:val="18"/>
                <w:szCs w:val="18"/>
              </w:rPr>
              <w:t>0</w:t>
            </w:r>
            <w:r>
              <w:rPr>
                <w:color w:val="000000"/>
                <w:sz w:val="18"/>
                <w:szCs w:val="18"/>
              </w:rPr>
              <w:t>.5 Hz</w:t>
            </w:r>
            <w:r>
              <w:rPr>
                <w:color w:val="000000"/>
                <w:sz w:val="18"/>
                <w:szCs w:val="17"/>
              </w:rPr>
              <w:t>～</w:t>
            </w:r>
            <w:r>
              <w:rPr>
                <w:color w:val="000000"/>
                <w:sz w:val="18"/>
                <w:szCs w:val="18"/>
              </w:rPr>
              <w:t>0.5Hz</w:t>
            </w:r>
          </w:p>
        </w:tc>
      </w:tr>
      <w:tr w14:paraId="25334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0" w:hRule="exact"/>
          <w:jc w:val="center"/>
        </w:trPr>
        <w:tc>
          <w:tcPr>
            <w:tcW w:w="2689" w:type="dxa"/>
            <w:shd w:val="clear" w:color="auto" w:fill="FFFFFF"/>
            <w:vAlign w:val="center"/>
          </w:tcPr>
          <w:p w14:paraId="2A60E6D5">
            <w:pPr>
              <w:pStyle w:val="185"/>
              <w:spacing w:line="240" w:lineRule="auto"/>
              <w:ind w:firstLine="0"/>
              <w:jc w:val="center"/>
              <w:rPr>
                <w:sz w:val="17"/>
                <w:szCs w:val="17"/>
              </w:rPr>
            </w:pPr>
            <w:r>
              <w:rPr>
                <w:rFonts w:hint="eastAsia"/>
                <w:color w:val="000000"/>
                <w:sz w:val="17"/>
                <w:szCs w:val="17"/>
              </w:rPr>
              <w:t>输出</w:t>
            </w:r>
            <w:r>
              <w:rPr>
                <w:color w:val="000000"/>
                <w:sz w:val="17"/>
                <w:szCs w:val="17"/>
              </w:rPr>
              <w:t>波形</w:t>
            </w:r>
            <w:r>
              <w:rPr>
                <w:rFonts w:hint="eastAsia"/>
                <w:color w:val="000000"/>
                <w:sz w:val="17"/>
                <w:szCs w:val="17"/>
              </w:rPr>
              <w:t>失真度(</w:t>
            </w:r>
            <w:r>
              <w:rPr>
                <w:color w:val="000000"/>
                <w:sz w:val="17"/>
                <w:szCs w:val="17"/>
              </w:rPr>
              <w:t>100%</w:t>
            </w:r>
            <w:r>
              <w:rPr>
                <w:rFonts w:hint="eastAsia"/>
                <w:color w:val="000000"/>
                <w:sz w:val="17"/>
                <w:szCs w:val="17"/>
              </w:rPr>
              <w:t>阻性负载)</w:t>
            </w:r>
          </w:p>
        </w:tc>
        <w:tc>
          <w:tcPr>
            <w:tcW w:w="1460" w:type="dxa"/>
            <w:shd w:val="clear" w:color="auto" w:fill="FFFFFF"/>
            <w:vAlign w:val="center"/>
          </w:tcPr>
          <w:p w14:paraId="55F000CD">
            <w:pPr>
              <w:pStyle w:val="185"/>
              <w:spacing w:line="240" w:lineRule="auto"/>
              <w:ind w:firstLine="0"/>
              <w:jc w:val="center"/>
              <w:rPr>
                <w:sz w:val="18"/>
                <w:szCs w:val="18"/>
              </w:rPr>
            </w:pPr>
            <w:r>
              <w:rPr>
                <w:color w:val="000000"/>
                <w:sz w:val="18"/>
                <w:szCs w:val="18"/>
              </w:rPr>
              <w:t>1%</w:t>
            </w:r>
          </w:p>
        </w:tc>
      </w:tr>
      <w:tr w14:paraId="31422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2" w:hRule="exact"/>
          <w:jc w:val="center"/>
        </w:trPr>
        <w:tc>
          <w:tcPr>
            <w:tcW w:w="2689" w:type="dxa"/>
            <w:shd w:val="clear" w:color="auto" w:fill="FFFFFF"/>
            <w:vAlign w:val="center"/>
          </w:tcPr>
          <w:p w14:paraId="406025E8">
            <w:pPr>
              <w:pStyle w:val="185"/>
              <w:spacing w:line="240" w:lineRule="auto"/>
              <w:ind w:firstLine="0"/>
              <w:jc w:val="center"/>
              <w:rPr>
                <w:rFonts w:hint="eastAsia"/>
                <w:sz w:val="17"/>
                <w:szCs w:val="17"/>
              </w:rPr>
            </w:pPr>
            <w:r>
              <w:rPr>
                <w:rFonts w:hint="eastAsia"/>
                <w:color w:val="000000"/>
                <w:sz w:val="17"/>
                <w:szCs w:val="17"/>
              </w:rPr>
              <w:t>旁路逆变转换时间</w:t>
            </w:r>
          </w:p>
        </w:tc>
        <w:tc>
          <w:tcPr>
            <w:tcW w:w="1460" w:type="dxa"/>
            <w:shd w:val="clear" w:color="auto" w:fill="FFFFFF"/>
            <w:vAlign w:val="center"/>
          </w:tcPr>
          <w:p w14:paraId="519301D9">
            <w:pPr>
              <w:pStyle w:val="185"/>
              <w:spacing w:line="240" w:lineRule="auto"/>
              <w:ind w:firstLine="0"/>
              <w:jc w:val="center"/>
              <w:rPr>
                <w:sz w:val="17"/>
                <w:szCs w:val="17"/>
              </w:rPr>
            </w:pPr>
            <w:r>
              <w:rPr>
                <w:color w:val="000000"/>
                <w:sz w:val="18"/>
                <w:szCs w:val="18"/>
              </w:rPr>
              <w:t>&lt;1ms</w:t>
            </w:r>
          </w:p>
        </w:tc>
      </w:tr>
    </w:tbl>
    <w:p w14:paraId="30A39C90">
      <w:pPr>
        <w:spacing w:after="159" w:line="1" w:lineRule="exact"/>
      </w:pPr>
    </w:p>
    <w:p w14:paraId="510D344E">
      <w:pPr>
        <w:pStyle w:val="177"/>
        <w:tabs>
          <w:tab w:val="left" w:pos="831"/>
        </w:tabs>
        <w:spacing w:line="325" w:lineRule="exact"/>
        <w:ind w:firstLine="400" w:firstLineChars="200"/>
        <w:jc w:val="both"/>
        <w:rPr>
          <w:rFonts w:hint="eastAsia" w:eastAsia="宋体"/>
          <w:lang w:val="en-US" w:eastAsia="zh-CN"/>
        </w:rPr>
      </w:pPr>
      <w:bookmarkStart w:id="40" w:name="bookmark65"/>
      <w:r>
        <w:rPr>
          <w:rFonts w:hint="eastAsia"/>
          <w:color w:val="000000"/>
        </w:rPr>
        <w:t>注：数值要求</w:t>
      </w:r>
      <w:bookmarkEnd w:id="40"/>
      <w:r>
        <w:rPr>
          <w:rFonts w:hint="eastAsia"/>
          <w:color w:val="000000"/>
        </w:rPr>
        <w:t>参考</w:t>
      </w:r>
      <w:r>
        <w:rPr>
          <w:rFonts w:hint="eastAsia"/>
        </w:rPr>
        <w:t>YD/T 1095</w:t>
      </w:r>
      <w:r>
        <w:t xml:space="preserve"> </w:t>
      </w:r>
      <w:r>
        <w:rPr>
          <w:rFonts w:hint="eastAsia"/>
        </w:rPr>
        <w:t>I类电源质量要求</w:t>
      </w:r>
      <w:bookmarkStart w:id="52" w:name="_GoBack"/>
      <w:bookmarkEnd w:id="52"/>
      <w:r>
        <w:rPr>
          <w:rFonts w:hint="eastAsia"/>
          <w:lang w:val="en-US" w:eastAsia="zh-CN"/>
        </w:rPr>
        <w:t>。</w:t>
      </w:r>
    </w:p>
    <w:p w14:paraId="707B2788">
      <w:pPr>
        <w:pStyle w:val="177"/>
        <w:numPr>
          <w:ilvl w:val="0"/>
          <w:numId w:val="19"/>
        </w:numPr>
        <w:tabs>
          <w:tab w:val="left" w:pos="831"/>
        </w:tabs>
        <w:spacing w:line="320" w:lineRule="exact"/>
        <w:ind w:left="839" w:leftChars="0" w:hanging="420"/>
        <w:jc w:val="left"/>
      </w:pPr>
      <w:r>
        <w:rPr>
          <w:rFonts w:hint="eastAsia"/>
          <w:lang w:val="en-US" w:eastAsia="zh-CN"/>
        </w:rPr>
        <w:t xml:space="preserve"> </w:t>
      </w:r>
      <w:r>
        <w:t>模块化数据中心正常电源与备用电源之间的切换若采用自动转换开关设备</w:t>
      </w:r>
      <w:r>
        <w:rPr>
          <w:rFonts w:hint="eastAsia"/>
          <w:lang w:eastAsia="zh-CN"/>
        </w:rPr>
        <w:t>，</w:t>
      </w:r>
      <w:r>
        <w:t>在自动转换开关电器检修或故障时不应影响系统的运行</w:t>
      </w:r>
      <w:r>
        <w:rPr>
          <w:rFonts w:hint="eastAsia"/>
        </w:rPr>
        <w:t>；</w:t>
      </w:r>
    </w:p>
    <w:p w14:paraId="54F7C3D2">
      <w:pPr>
        <w:pStyle w:val="177"/>
        <w:numPr>
          <w:ilvl w:val="0"/>
          <w:numId w:val="19"/>
        </w:numPr>
        <w:tabs>
          <w:tab w:val="left" w:pos="831"/>
        </w:tabs>
        <w:spacing w:line="320" w:lineRule="exact"/>
        <w:ind w:left="839" w:leftChars="0" w:hanging="420"/>
        <w:rPr>
          <w:color w:val="000000"/>
        </w:rPr>
      </w:pPr>
      <w:r>
        <w:rPr>
          <w:rFonts w:hint="eastAsia"/>
          <w:color w:val="000000"/>
          <w:lang w:val="en-US" w:eastAsia="zh-CN"/>
        </w:rPr>
        <w:t xml:space="preserve"> </w:t>
      </w:r>
      <w:r>
        <w:rPr>
          <w:rFonts w:hint="eastAsia"/>
          <w:color w:val="000000"/>
        </w:rPr>
        <w:t>交流配电列头柜和交流专用末端母线、一体化UPS</w:t>
      </w:r>
      <w:r>
        <w:rPr>
          <w:rFonts w:hint="eastAsia"/>
          <w:color w:val="000000"/>
          <w:lang w:val="en-US" w:eastAsia="zh-CN"/>
        </w:rPr>
        <w:t>系统</w:t>
      </w:r>
      <w:r>
        <w:rPr>
          <w:rFonts w:hint="eastAsia"/>
          <w:color w:val="000000"/>
        </w:rPr>
        <w:t>应配备瞬态电压浪涌保护器，并应提供通信接口</w:t>
      </w:r>
      <w:r>
        <w:rPr>
          <w:rFonts w:hint="eastAsia"/>
          <w:color w:val="000000"/>
          <w:lang w:eastAsia="zh-CN"/>
        </w:rPr>
        <w:t>；</w:t>
      </w:r>
    </w:p>
    <w:p w14:paraId="40B0AEB3">
      <w:pPr>
        <w:pStyle w:val="177"/>
        <w:numPr>
          <w:ilvl w:val="0"/>
          <w:numId w:val="19"/>
        </w:numPr>
        <w:tabs>
          <w:tab w:val="left" w:pos="833"/>
        </w:tabs>
        <w:spacing w:after="0" w:line="320" w:lineRule="exact"/>
        <w:ind w:left="839" w:leftChars="0" w:hanging="420"/>
        <w:jc w:val="left"/>
      </w:pPr>
      <w:r>
        <w:rPr>
          <w:rFonts w:hint="eastAsia"/>
          <w:color w:val="000000"/>
          <w:lang w:val="en-US" w:eastAsia="zh-CN"/>
        </w:rPr>
        <w:t xml:space="preserve"> </w:t>
      </w:r>
      <w:r>
        <w:rPr>
          <w:rFonts w:hint="eastAsia"/>
          <w:color w:val="000000"/>
        </w:rPr>
        <w:t>模块化数据中心供电系统及备用电源容量应满足模块内的电子信息设备、空调、电池充电及其他负荷正常运行时的最大容量</w:t>
      </w:r>
      <w:r>
        <w:rPr>
          <w:rFonts w:hint="eastAsia"/>
          <w:color w:val="000000"/>
          <w:lang w:eastAsia="zh-CN"/>
        </w:rPr>
        <w:t>；</w:t>
      </w:r>
    </w:p>
    <w:p w14:paraId="7DC50802">
      <w:pPr>
        <w:pStyle w:val="177"/>
        <w:numPr>
          <w:ilvl w:val="0"/>
          <w:numId w:val="19"/>
        </w:numPr>
        <w:tabs>
          <w:tab w:val="left" w:pos="833"/>
        </w:tabs>
        <w:spacing w:line="320" w:lineRule="exact"/>
        <w:ind w:left="839" w:leftChars="0" w:hanging="420"/>
      </w:pPr>
      <w:r>
        <w:rPr>
          <w:rFonts w:hint="eastAsia"/>
          <w:lang w:val="en-US" w:eastAsia="zh-CN"/>
        </w:rPr>
        <w:t xml:space="preserve"> </w:t>
      </w:r>
      <w:r>
        <w:rPr>
          <w:color w:val="000000"/>
        </w:rPr>
        <w:t>模块化数据中心内的电子信息设备</w:t>
      </w:r>
      <w:r>
        <w:rPr>
          <w:rFonts w:hint="eastAsia"/>
          <w:color w:val="000000"/>
        </w:rPr>
        <w:t>应</w:t>
      </w:r>
      <w:r>
        <w:rPr>
          <w:color w:val="000000"/>
        </w:rPr>
        <w:t>由不间断电源系统供电</w:t>
      </w:r>
      <w:r>
        <w:rPr>
          <w:rFonts w:hint="eastAsia"/>
          <w:color w:val="000000"/>
          <w:lang w:eastAsia="zh-CN"/>
        </w:rPr>
        <w:t>；</w:t>
      </w:r>
    </w:p>
    <w:p w14:paraId="316CA97C">
      <w:pPr>
        <w:pStyle w:val="177"/>
        <w:numPr>
          <w:ilvl w:val="0"/>
          <w:numId w:val="19"/>
        </w:numPr>
        <w:tabs>
          <w:tab w:val="left" w:pos="833"/>
        </w:tabs>
        <w:spacing w:line="320" w:lineRule="exact"/>
        <w:ind w:left="839" w:leftChars="0" w:hanging="420"/>
      </w:pPr>
      <w:r>
        <w:rPr>
          <w:rFonts w:hint="eastAsia"/>
        </w:rPr>
        <w:t xml:space="preserve"> </w:t>
      </w:r>
      <w:r>
        <w:t>应确定不间断电源系统的基本容量留有余量</w:t>
      </w:r>
      <w:r>
        <w:rPr>
          <w:rFonts w:hint="eastAsia"/>
          <w:lang w:eastAsia="zh-CN"/>
        </w:rPr>
        <w:t>，</w:t>
      </w:r>
      <w:r>
        <w:t>不间断电源系统的基本容量按公式（1）计算</w:t>
      </w:r>
      <w:r>
        <w:rPr>
          <w:rFonts w:hint="eastAsia"/>
          <w:lang w:eastAsia="zh-CN"/>
        </w:rPr>
        <w:t>；</w:t>
      </w:r>
    </w:p>
    <w:p w14:paraId="575188E5">
      <w:pPr>
        <w:pStyle w:val="179"/>
        <w:tabs>
          <w:tab w:val="left" w:pos="2542"/>
          <w:tab w:val="left" w:leader="dot" w:pos="4608"/>
        </w:tabs>
        <w:spacing w:after="0" w:line="329" w:lineRule="auto"/>
        <w:jc w:val="right"/>
      </w:pPr>
      <w:r>
        <w:rPr>
          <w:rFonts w:ascii="宋体" w:hAnsi="宋体" w:cs="宋体"/>
          <w:color w:val="000000"/>
        </w:rPr>
        <w:t>E</w:t>
      </w:r>
      <w:r>
        <w:rPr>
          <w:rFonts w:hint="eastAsia" w:ascii="宋体" w:hAnsi="宋体" w:cs="宋体"/>
          <w:color w:val="000000"/>
        </w:rPr>
        <w:t>≥1</w:t>
      </w:r>
      <w:r>
        <w:rPr>
          <w:rFonts w:ascii="宋体" w:hAnsi="宋体" w:cs="宋体"/>
          <w:color w:val="000000"/>
        </w:rPr>
        <w:t>.2P</w:t>
      </w:r>
      <w:r>
        <w:tab/>
      </w:r>
      <w:r>
        <w:tab/>
      </w:r>
      <w:r>
        <w:rPr>
          <w:rFonts w:ascii="宋体" w:hAnsi="宋体" w:cs="宋体"/>
          <w:color w:val="000000"/>
        </w:rPr>
        <w:t>(1)</w:t>
      </w:r>
    </w:p>
    <w:p w14:paraId="4401F741">
      <w:pPr>
        <w:pStyle w:val="177"/>
        <w:spacing w:line="306" w:lineRule="exact"/>
        <w:ind w:firstLine="820"/>
      </w:pPr>
      <w:r>
        <w:rPr>
          <w:color w:val="000000"/>
        </w:rPr>
        <w:t>式中：</w:t>
      </w:r>
    </w:p>
    <w:p w14:paraId="01534D10">
      <w:pPr>
        <w:pStyle w:val="177"/>
        <w:spacing w:line="306" w:lineRule="exact"/>
        <w:ind w:left="1500" w:hanging="660"/>
        <w:jc w:val="both"/>
        <w:rPr>
          <w:rFonts w:hint="eastAsia" w:eastAsia="宋体"/>
          <w:lang w:eastAsia="zh-CN"/>
        </w:rPr>
      </w:pPr>
      <w:r>
        <w:rPr>
          <w:color w:val="000000"/>
        </w:rPr>
        <w:t>E-不间断电源系统的基本容量（不包含备份不间断电源系统设备）、单位为千瓦每千伏安（kW/kVA）</w:t>
      </w:r>
    </w:p>
    <w:p w14:paraId="07D9E5A6">
      <w:pPr>
        <w:pStyle w:val="177"/>
        <w:spacing w:line="315" w:lineRule="exact"/>
        <w:ind w:firstLine="820"/>
        <w:rPr>
          <w:rFonts w:hint="eastAsia" w:eastAsia="宋体"/>
          <w:lang w:eastAsia="zh-CN"/>
        </w:rPr>
      </w:pPr>
      <w:r>
        <w:rPr>
          <w:color w:val="000000"/>
        </w:rPr>
        <w:t>P—</w:t>
      </w:r>
      <w:r>
        <w:rPr>
          <w:rFonts w:hint="eastAsia"/>
          <w:color w:val="000000"/>
        </w:rPr>
        <w:t>电子设备和制冷设备的计算负荷</w:t>
      </w:r>
      <w:r>
        <w:rPr>
          <w:color w:val="000000"/>
        </w:rPr>
        <w:t>、单位为千瓦每千伏安（kW/kVA）</w:t>
      </w:r>
    </w:p>
    <w:p w14:paraId="5EA89799">
      <w:pPr>
        <w:spacing w:after="159" w:line="1" w:lineRule="exact"/>
      </w:pPr>
    </w:p>
    <w:p w14:paraId="2907020F">
      <w:pPr>
        <w:pStyle w:val="177"/>
        <w:numPr>
          <w:ilvl w:val="0"/>
          <w:numId w:val="19"/>
        </w:numPr>
        <w:tabs>
          <w:tab w:val="left" w:pos="831"/>
        </w:tabs>
        <w:spacing w:line="320" w:lineRule="exact"/>
        <w:ind w:left="820" w:leftChars="200" w:hanging="400" w:hangingChars="200"/>
      </w:pPr>
      <w:bookmarkStart w:id="41" w:name="bookmark81"/>
      <w:r>
        <w:t xml:space="preserve"> </w:t>
      </w:r>
      <w:r>
        <w:rPr>
          <w:rFonts w:hint="eastAsia"/>
        </w:rPr>
        <w:t>模块化数据中心供配电系统应设置铜排温度检测，提前预警铜排温度异常情况；</w:t>
      </w:r>
    </w:p>
    <w:p w14:paraId="10DF1FE7">
      <w:pPr>
        <w:pStyle w:val="177"/>
        <w:numPr>
          <w:ilvl w:val="0"/>
          <w:numId w:val="19"/>
        </w:numPr>
        <w:tabs>
          <w:tab w:val="left" w:pos="831"/>
        </w:tabs>
        <w:spacing w:line="320" w:lineRule="exact"/>
        <w:ind w:left="820" w:leftChars="200" w:hanging="400" w:hangingChars="200"/>
      </w:pPr>
      <w:r>
        <w:rPr>
          <w:rFonts w:hint="eastAsia"/>
        </w:rPr>
        <w:t xml:space="preserve"> </w:t>
      </w:r>
      <w:r>
        <w:t>模块化数据中心配电系统</w:t>
      </w:r>
      <w:r>
        <w:rPr>
          <w:rFonts w:hint="eastAsia"/>
        </w:rPr>
        <w:t>应具备监测输出电压三相平衡状态的功能；</w:t>
      </w:r>
    </w:p>
    <w:p w14:paraId="38A8B38D">
      <w:pPr>
        <w:pStyle w:val="177"/>
        <w:numPr>
          <w:ilvl w:val="0"/>
          <w:numId w:val="19"/>
        </w:numPr>
        <w:tabs>
          <w:tab w:val="left" w:pos="831"/>
        </w:tabs>
        <w:spacing w:line="320" w:lineRule="exact"/>
        <w:ind w:left="820" w:leftChars="200" w:hanging="400" w:hangingChars="200"/>
      </w:pPr>
      <w:r>
        <w:rPr>
          <w:rFonts w:hint="eastAsia"/>
        </w:rPr>
        <w:t xml:space="preserve"> 电池汇流排及端子裸露部位应具有防护措施；</w:t>
      </w:r>
    </w:p>
    <w:p w14:paraId="43449A2F">
      <w:pPr>
        <w:pStyle w:val="177"/>
        <w:numPr>
          <w:ilvl w:val="0"/>
          <w:numId w:val="19"/>
        </w:numPr>
        <w:tabs>
          <w:tab w:val="left" w:pos="833"/>
        </w:tabs>
        <w:spacing w:line="320" w:lineRule="exact"/>
        <w:ind w:left="820" w:leftChars="200" w:hanging="400" w:hangingChars="200"/>
        <w:rPr>
          <w:rFonts w:hint="eastAsia"/>
        </w:rPr>
      </w:pPr>
      <w:r>
        <w:rPr>
          <w:rFonts w:hint="eastAsia"/>
        </w:rPr>
        <w:t xml:space="preserve"> 模块化数据中心配电设备应具备外部双路电源接入供电</w:t>
      </w:r>
      <w:r>
        <w:rPr>
          <w:rFonts w:hint="eastAsia"/>
          <w:lang w:eastAsia="zh-CN"/>
        </w:rPr>
        <w:t>；</w:t>
      </w:r>
    </w:p>
    <w:p w14:paraId="67B4AF30">
      <w:pPr>
        <w:pStyle w:val="177"/>
        <w:numPr>
          <w:ilvl w:val="0"/>
          <w:numId w:val="19"/>
        </w:numPr>
        <w:tabs>
          <w:tab w:val="left" w:pos="831"/>
        </w:tabs>
        <w:spacing w:line="320" w:lineRule="exact"/>
        <w:ind w:left="820" w:leftChars="200" w:hanging="400" w:hangingChars="200"/>
        <w:rPr>
          <w:rFonts w:hint="eastAsia"/>
        </w:rPr>
      </w:pPr>
      <w:r>
        <w:rPr>
          <w:rFonts w:hint="eastAsia"/>
        </w:rPr>
        <w:t xml:space="preserve"> 模块化数据中心内</w:t>
      </w:r>
      <w:r>
        <w:t>宜采用</w:t>
      </w:r>
      <w:r>
        <w:rPr>
          <w:rFonts w:hint="eastAsia"/>
        </w:rPr>
        <w:t>一体化U</w:t>
      </w:r>
      <w:r>
        <w:t>PS</w:t>
      </w:r>
      <w:r>
        <w:rPr>
          <w:rFonts w:hint="eastAsia"/>
          <w:lang w:val="en-US" w:eastAsia="zh-CN"/>
        </w:rPr>
        <w:t>系统</w:t>
      </w:r>
      <w:r>
        <w:rPr>
          <w:rFonts w:hint="eastAsia"/>
        </w:rPr>
        <w:t>；</w:t>
      </w:r>
      <w:bookmarkEnd w:id="41"/>
    </w:p>
    <w:p w14:paraId="01078F05">
      <w:pPr>
        <w:pStyle w:val="177"/>
        <w:numPr>
          <w:ilvl w:val="0"/>
          <w:numId w:val="19"/>
        </w:numPr>
        <w:tabs>
          <w:tab w:val="left" w:pos="831"/>
        </w:tabs>
        <w:spacing w:line="320" w:lineRule="exact"/>
        <w:ind w:left="820" w:leftChars="200" w:hanging="400" w:hangingChars="200"/>
        <w:jc w:val="both"/>
        <w:rPr>
          <w:rFonts w:hint="eastAsia"/>
        </w:rPr>
      </w:pPr>
      <w:r>
        <w:rPr>
          <w:rFonts w:hint="eastAsia"/>
          <w:lang w:val="en-US" w:eastAsia="zh-CN"/>
        </w:rPr>
        <w:t xml:space="preserve"> 宜具备精密空调，</w:t>
      </w:r>
      <w:r>
        <w:rPr>
          <w:rFonts w:hint="eastAsia"/>
          <w:lang w:eastAsia="zh-CN"/>
        </w:rPr>
        <w:t>精密空调使用一体化UPS系统供电时，精密空调启动、运行和故障维护时，电子信息设备的正常运行应不受影响。</w:t>
      </w:r>
    </w:p>
    <w:p w14:paraId="5A091B06">
      <w:pPr>
        <w:pStyle w:val="172"/>
        <w:ind w:left="0"/>
        <w:jc w:val="left"/>
        <w:outlineLvl w:val="2"/>
        <w:rPr>
          <w:rFonts w:ascii="黑体" w:hAnsi="黑体" w:eastAsia="黑体" w:cs="黑体"/>
        </w:rPr>
      </w:pPr>
      <w:r>
        <w:rPr>
          <w:rFonts w:hint="eastAsia" w:ascii="黑体" w:hAnsi="黑体" w:eastAsia="黑体" w:cs="黑体"/>
        </w:rPr>
        <w:t>制冷系统要求</w:t>
      </w:r>
    </w:p>
    <w:p w14:paraId="406BCE9A">
      <w:pPr>
        <w:pStyle w:val="177"/>
        <w:spacing w:line="240" w:lineRule="auto"/>
        <w:ind w:firstLine="420"/>
        <w:jc w:val="both"/>
      </w:pPr>
      <w:r>
        <w:rPr>
          <w:color w:val="000000"/>
        </w:rPr>
        <w:t>模块化数据中心制冷系统要求如下</w:t>
      </w:r>
      <w:r>
        <w:rPr>
          <w:rFonts w:hint="eastAsia"/>
          <w:color w:val="000000"/>
        </w:rPr>
        <w:t>：</w:t>
      </w:r>
    </w:p>
    <w:p w14:paraId="175E2BAA">
      <w:pPr>
        <w:pStyle w:val="177"/>
        <w:numPr>
          <w:ilvl w:val="0"/>
          <w:numId w:val="20"/>
        </w:numPr>
        <w:tabs>
          <w:tab w:val="left" w:pos="814"/>
        </w:tabs>
        <w:spacing w:line="320" w:lineRule="exact"/>
        <w:ind w:left="840" w:leftChars="200" w:hanging="420"/>
      </w:pPr>
      <w:r>
        <w:rPr>
          <w:color w:val="000000"/>
        </w:rPr>
        <w:t>模块化数据中心内应有</w:t>
      </w:r>
      <w:r>
        <w:rPr>
          <w:rFonts w:hint="eastAsia"/>
          <w:color w:val="000000"/>
        </w:rPr>
        <w:t>均匀的温度场，</w:t>
      </w:r>
      <w:r>
        <w:rPr>
          <w:color w:val="000000"/>
        </w:rPr>
        <w:t>气流组织</w:t>
      </w:r>
      <w:r>
        <w:rPr>
          <w:rFonts w:hint="eastAsia"/>
          <w:color w:val="000000"/>
        </w:rPr>
        <w:t>合理</w:t>
      </w:r>
      <w:r>
        <w:rPr>
          <w:color w:val="000000"/>
        </w:rPr>
        <w:t>，冷通道与热通道间保持正压差</w:t>
      </w:r>
      <w:r>
        <w:rPr>
          <w:rFonts w:hint="eastAsia"/>
          <w:color w:val="000000"/>
        </w:rPr>
        <w:t>；</w:t>
      </w:r>
    </w:p>
    <w:p w14:paraId="5DCBB5D5">
      <w:pPr>
        <w:pStyle w:val="177"/>
        <w:numPr>
          <w:ilvl w:val="0"/>
          <w:numId w:val="20"/>
        </w:numPr>
        <w:tabs>
          <w:tab w:val="left" w:pos="814"/>
        </w:tabs>
        <w:spacing w:line="320" w:lineRule="exact"/>
        <w:ind w:left="840" w:leftChars="200" w:hanging="420"/>
        <w:jc w:val="both"/>
        <w:rPr>
          <w:color w:val="000000"/>
        </w:rPr>
      </w:pPr>
      <w:r>
        <w:rPr>
          <w:color w:val="000000"/>
        </w:rPr>
        <w:t>模块化数据中心应配置冷凝水收集/排放装置</w:t>
      </w:r>
      <w:r>
        <w:rPr>
          <w:rFonts w:hint="eastAsia"/>
          <w:color w:val="000000"/>
        </w:rPr>
        <w:t>，</w:t>
      </w:r>
      <w:r>
        <w:rPr>
          <w:color w:val="000000"/>
        </w:rPr>
        <w:t>当采用重力排水时，干管坡度</w:t>
      </w:r>
      <w:r>
        <w:rPr>
          <w:rFonts w:hint="eastAsia"/>
          <w:color w:val="000000"/>
          <w:highlight w:val="none"/>
          <w:lang w:val="en-US" w:eastAsia="zh-CN"/>
        </w:rPr>
        <w:t>应</w:t>
      </w:r>
      <w:r>
        <w:rPr>
          <w:color w:val="000000"/>
        </w:rPr>
        <w:t>不小于0.8%，支管坡度</w:t>
      </w:r>
      <w:r>
        <w:rPr>
          <w:rFonts w:hint="eastAsia"/>
          <w:color w:val="000000"/>
          <w:highlight w:val="none"/>
          <w:lang w:val="en-US" w:eastAsia="zh-CN"/>
        </w:rPr>
        <w:t>应</w:t>
      </w:r>
      <w:r>
        <w:rPr>
          <w:color w:val="000000"/>
        </w:rPr>
        <w:t>不小于1%；当无法符合重力排水时，应选配排水泵</w:t>
      </w:r>
      <w:r>
        <w:rPr>
          <w:rFonts w:hint="eastAsia"/>
          <w:color w:val="000000"/>
        </w:rPr>
        <w:t>；</w:t>
      </w:r>
    </w:p>
    <w:p w14:paraId="52A9572B">
      <w:pPr>
        <w:pStyle w:val="177"/>
        <w:numPr>
          <w:ilvl w:val="0"/>
          <w:numId w:val="20"/>
        </w:numPr>
        <w:tabs>
          <w:tab w:val="left" w:pos="814"/>
        </w:tabs>
        <w:spacing w:line="320" w:lineRule="exact"/>
        <w:ind w:left="840" w:leftChars="200" w:hanging="420"/>
      </w:pPr>
      <w:r>
        <w:rPr>
          <w:rFonts w:hint="eastAsia"/>
        </w:rPr>
        <w:t>冷却设备</w:t>
      </w:r>
      <w:r>
        <w:rPr>
          <w:color w:val="000000"/>
        </w:rPr>
        <w:t>应具备掉电记忆功能，供电复电后自动恢复到停电前的设置状态</w:t>
      </w:r>
      <w:r>
        <w:rPr>
          <w:rFonts w:hint="eastAsia"/>
          <w:color w:val="000000"/>
        </w:rPr>
        <w:t>；</w:t>
      </w:r>
    </w:p>
    <w:p w14:paraId="7B8009E1">
      <w:pPr>
        <w:pStyle w:val="177"/>
        <w:numPr>
          <w:ilvl w:val="0"/>
          <w:numId w:val="20"/>
        </w:numPr>
        <w:tabs>
          <w:tab w:val="left" w:pos="814"/>
        </w:tabs>
        <w:spacing w:line="320" w:lineRule="exact"/>
        <w:ind w:left="840" w:leftChars="200" w:hanging="420"/>
        <w:rPr>
          <w:color w:val="000000"/>
        </w:rPr>
      </w:pPr>
      <w:r>
        <w:rPr>
          <w:rFonts w:hint="eastAsia"/>
          <w:color w:val="000000"/>
        </w:rPr>
        <w:t>冷却</w:t>
      </w:r>
      <w:r>
        <w:rPr>
          <w:color w:val="000000"/>
        </w:rPr>
        <w:t>设备中的空气过滤器应高于粗效过滤器标准</w:t>
      </w:r>
      <w:r>
        <w:rPr>
          <w:rFonts w:hint="eastAsia"/>
          <w:color w:val="000000"/>
          <w:lang w:eastAsia="zh-CN"/>
        </w:rPr>
        <w:t>，</w:t>
      </w:r>
      <w:r>
        <w:rPr>
          <w:color w:val="000000"/>
        </w:rPr>
        <w:t>空调滤网的进风</w:t>
      </w:r>
      <w:r>
        <w:rPr>
          <w:rFonts w:hint="eastAsia"/>
          <w:color w:val="000000"/>
        </w:rPr>
        <w:t>风量</w:t>
      </w:r>
      <w:r>
        <w:rPr>
          <w:color w:val="000000"/>
        </w:rPr>
        <w:t>和风速应符合所选用滤网的标称要求</w:t>
      </w:r>
      <w:r>
        <w:rPr>
          <w:rFonts w:hint="eastAsia"/>
          <w:color w:val="000000"/>
          <w:lang w:eastAsia="zh-CN"/>
        </w:rPr>
        <w:t>，</w:t>
      </w:r>
      <w:r>
        <w:rPr>
          <w:color w:val="000000"/>
        </w:rPr>
        <w:t>空气过滤器应符合GB/T 14295的相关要求</w:t>
      </w:r>
      <w:r>
        <w:rPr>
          <w:rFonts w:hint="eastAsia"/>
          <w:color w:val="000000"/>
        </w:rPr>
        <w:t>；</w:t>
      </w:r>
    </w:p>
    <w:p w14:paraId="325F1E6C">
      <w:pPr>
        <w:pStyle w:val="177"/>
        <w:numPr>
          <w:ilvl w:val="0"/>
          <w:numId w:val="20"/>
        </w:numPr>
        <w:tabs>
          <w:tab w:val="left" w:pos="814"/>
        </w:tabs>
        <w:spacing w:line="320" w:lineRule="exact"/>
        <w:ind w:left="840" w:leftChars="200" w:hanging="420"/>
        <w:jc w:val="both"/>
        <w:rPr>
          <w:rFonts w:hint="eastAsia"/>
          <w:color w:val="000000"/>
        </w:rPr>
      </w:pPr>
      <w:r>
        <w:rPr>
          <w:rFonts w:hint="eastAsia"/>
          <w:color w:val="000000"/>
        </w:rPr>
        <w:t>模块化数据中心采用冷冻水制冷方式时，应采取水电隔离措施，同时在水管走线区域应具有水浸报警装置、联动控制装置和排水装置，当意外情况发生时，应能及时报警和排水</w:t>
      </w:r>
      <w:r>
        <w:rPr>
          <w:rFonts w:hint="eastAsia"/>
          <w:color w:val="000000"/>
          <w:lang w:eastAsia="zh-CN"/>
        </w:rPr>
        <w:t>；</w:t>
      </w:r>
    </w:p>
    <w:p w14:paraId="21FC1249">
      <w:pPr>
        <w:pStyle w:val="177"/>
        <w:numPr>
          <w:ilvl w:val="0"/>
          <w:numId w:val="20"/>
        </w:numPr>
        <w:tabs>
          <w:tab w:val="left" w:pos="814"/>
        </w:tabs>
        <w:spacing w:line="320" w:lineRule="exact"/>
        <w:ind w:left="840" w:leftChars="200" w:hanging="420"/>
        <w:rPr>
          <w:color w:val="000000"/>
        </w:rPr>
      </w:pPr>
      <w:r>
        <w:rPr>
          <w:color w:val="000000"/>
        </w:rPr>
        <w:t>制冷系统中的冷媒管、供回水管、冷凝水管应做保温处理</w:t>
      </w:r>
      <w:r>
        <w:rPr>
          <w:rFonts w:hint="eastAsia"/>
          <w:color w:val="000000"/>
          <w:lang w:eastAsia="zh-CN"/>
        </w:rPr>
        <w:t>，</w:t>
      </w:r>
      <w:r>
        <w:rPr>
          <w:color w:val="000000"/>
        </w:rPr>
        <w:t>管道及保温材料均应采用非燃A级或难燃B1级材料</w:t>
      </w:r>
      <w:r>
        <w:rPr>
          <w:rFonts w:hint="eastAsia"/>
          <w:color w:val="000000"/>
          <w:lang w:eastAsia="zh-CN"/>
        </w:rPr>
        <w:t>，</w:t>
      </w:r>
      <w:r>
        <w:rPr>
          <w:color w:val="000000"/>
        </w:rPr>
        <w:t>并符合GB 8624的相关要求</w:t>
      </w:r>
      <w:r>
        <w:rPr>
          <w:rFonts w:hint="eastAsia"/>
          <w:color w:val="000000"/>
        </w:rPr>
        <w:t>；</w:t>
      </w:r>
    </w:p>
    <w:p w14:paraId="5FF0D983">
      <w:pPr>
        <w:pStyle w:val="177"/>
        <w:numPr>
          <w:ilvl w:val="0"/>
          <w:numId w:val="20"/>
        </w:numPr>
        <w:tabs>
          <w:tab w:val="left" w:pos="814"/>
        </w:tabs>
        <w:spacing w:line="320" w:lineRule="exact"/>
        <w:ind w:left="840" w:leftChars="200" w:hanging="420"/>
        <w:rPr>
          <w:rFonts w:hint="eastAsia"/>
          <w:color w:val="000000"/>
        </w:rPr>
      </w:pPr>
      <w:r>
        <w:rPr>
          <w:color w:val="000000"/>
        </w:rPr>
        <w:t>对于水进模块化数据中心，漏水风险点应采用结构防护措施</w:t>
      </w:r>
      <w:r>
        <w:rPr>
          <w:rFonts w:hint="eastAsia"/>
          <w:color w:val="000000"/>
        </w:rPr>
        <w:t>；</w:t>
      </w:r>
    </w:p>
    <w:p w14:paraId="62C5FF83">
      <w:pPr>
        <w:pStyle w:val="183"/>
        <w:numPr>
          <w:ilvl w:val="0"/>
          <w:numId w:val="20"/>
        </w:numPr>
        <w:spacing w:line="320" w:lineRule="exact"/>
        <w:ind w:left="840" w:leftChars="200" w:hanging="420"/>
        <w:rPr>
          <w:color w:val="000000"/>
        </w:rPr>
      </w:pPr>
      <w:r>
        <w:rPr>
          <w:color w:val="000000"/>
        </w:rPr>
        <w:t>模块化数据中心采用封闭冷通道时，宜采用冷通道温度控制（如空调采用送风温度控制、采用回风控制等），以符合服务器进风温度恒定的要求</w:t>
      </w:r>
      <w:r>
        <w:rPr>
          <w:rFonts w:hint="eastAsia"/>
          <w:color w:val="000000"/>
        </w:rPr>
        <w:t>；</w:t>
      </w:r>
    </w:p>
    <w:p w14:paraId="32A1501E">
      <w:pPr>
        <w:pStyle w:val="177"/>
        <w:numPr>
          <w:ilvl w:val="0"/>
          <w:numId w:val="20"/>
        </w:numPr>
        <w:tabs>
          <w:tab w:val="left" w:pos="814"/>
        </w:tabs>
        <w:spacing w:line="320" w:lineRule="exact"/>
        <w:ind w:left="840" w:leftChars="200" w:hanging="420"/>
      </w:pPr>
      <w:r>
        <w:rPr>
          <w:rFonts w:hint="eastAsia"/>
          <w:color w:val="000000"/>
        </w:rPr>
        <w:t>模块化数据中心产品宜具备连续制冷功能。</w:t>
      </w:r>
    </w:p>
    <w:p w14:paraId="78B05064">
      <w:pPr>
        <w:pStyle w:val="172"/>
        <w:ind w:left="0"/>
        <w:jc w:val="left"/>
        <w:outlineLvl w:val="2"/>
        <w:rPr>
          <w:rFonts w:ascii="黑体" w:hAnsi="黑体" w:eastAsia="黑体" w:cs="黑体"/>
        </w:rPr>
      </w:pPr>
      <w:r>
        <w:rPr>
          <w:rFonts w:hint="eastAsia" w:ascii="黑体" w:hAnsi="黑体" w:eastAsia="黑体" w:cs="黑体"/>
        </w:rPr>
        <w:t>综合监控系统要求</w:t>
      </w:r>
    </w:p>
    <w:p w14:paraId="4AE73CA4">
      <w:pPr>
        <w:pStyle w:val="172"/>
        <w:numPr>
          <w:ilvl w:val="3"/>
          <w:numId w:val="2"/>
        </w:numPr>
        <w:ind w:left="0"/>
        <w:rPr>
          <w:rFonts w:ascii="黑体" w:hAnsi="黑体" w:eastAsia="黑体" w:cs="黑体"/>
        </w:rPr>
      </w:pPr>
      <w:r>
        <w:rPr>
          <w:rFonts w:hint="eastAsia" w:ascii="黑体" w:hAnsi="黑体" w:eastAsia="黑体" w:cs="黑体"/>
        </w:rPr>
        <w:t>动力环境监控系统要求</w:t>
      </w:r>
    </w:p>
    <w:p w14:paraId="45E26682">
      <w:pPr>
        <w:pStyle w:val="177"/>
        <w:spacing w:line="240" w:lineRule="auto"/>
        <w:ind w:firstLine="420"/>
        <w:jc w:val="both"/>
      </w:pPr>
      <w:r>
        <w:rPr>
          <w:color w:val="000000"/>
        </w:rPr>
        <w:t>模块化数据中心动力环境监控系统要求如下</w:t>
      </w:r>
      <w:r>
        <w:rPr>
          <w:rFonts w:hint="eastAsia"/>
          <w:color w:val="000000"/>
        </w:rPr>
        <w:t>：</w:t>
      </w:r>
    </w:p>
    <w:p w14:paraId="4B6C9160">
      <w:pPr>
        <w:pStyle w:val="177"/>
        <w:numPr>
          <w:ilvl w:val="0"/>
          <w:numId w:val="21"/>
        </w:numPr>
        <w:tabs>
          <w:tab w:val="left" w:pos="833"/>
        </w:tabs>
        <w:spacing w:line="320" w:lineRule="exact"/>
        <w:ind w:left="839"/>
        <w:rPr>
          <w:color w:val="000000"/>
        </w:rPr>
      </w:pPr>
      <w:r>
        <w:rPr>
          <w:rFonts w:hint="eastAsia"/>
          <w:color w:val="000000"/>
        </w:rPr>
        <w:t>模块化数据中心动力环境监控系统应实时</w:t>
      </w:r>
      <w:r>
        <w:rPr>
          <w:color w:val="000000"/>
        </w:rPr>
        <w:t>监测模块内环境参数、供</w:t>
      </w:r>
      <w:r>
        <w:rPr>
          <w:rFonts w:hint="eastAsia"/>
          <w:color w:val="000000"/>
        </w:rPr>
        <w:t>配</w:t>
      </w:r>
      <w:r>
        <w:rPr>
          <w:color w:val="000000"/>
        </w:rPr>
        <w:t>电系统参数、安防信息及消防报警等信息，并可对模块实现联动控制</w:t>
      </w:r>
      <w:r>
        <w:rPr>
          <w:rFonts w:hint="eastAsia"/>
          <w:color w:val="000000"/>
        </w:rPr>
        <w:t>；</w:t>
      </w:r>
    </w:p>
    <w:p w14:paraId="63F8B586">
      <w:pPr>
        <w:pStyle w:val="177"/>
        <w:numPr>
          <w:ilvl w:val="0"/>
          <w:numId w:val="21"/>
        </w:numPr>
        <w:tabs>
          <w:tab w:val="left" w:pos="833"/>
        </w:tabs>
        <w:spacing w:line="320" w:lineRule="exact"/>
        <w:ind w:left="839"/>
        <w:rPr>
          <w:color w:val="000000"/>
        </w:rPr>
      </w:pPr>
      <w:r>
        <w:rPr>
          <w:color w:val="000000"/>
        </w:rPr>
        <w:t>应具有身份鉴别和访问控制策略，针对监控的数据，应具有备份和输出功能</w:t>
      </w:r>
      <w:r>
        <w:rPr>
          <w:rFonts w:hint="eastAsia"/>
          <w:color w:val="000000"/>
        </w:rPr>
        <w:t>；</w:t>
      </w:r>
    </w:p>
    <w:p w14:paraId="1A970E9D">
      <w:pPr>
        <w:pStyle w:val="177"/>
        <w:numPr>
          <w:ilvl w:val="0"/>
          <w:numId w:val="21"/>
        </w:numPr>
        <w:tabs>
          <w:tab w:val="left" w:pos="833"/>
        </w:tabs>
        <w:spacing w:line="320" w:lineRule="exact"/>
        <w:ind w:left="839"/>
        <w:rPr>
          <w:color w:val="000000"/>
        </w:rPr>
      </w:pPr>
      <w:r>
        <w:rPr>
          <w:color w:val="000000"/>
        </w:rPr>
        <w:t>应具故障报警功能</w:t>
      </w:r>
      <w:r>
        <w:rPr>
          <w:rFonts w:hint="eastAsia"/>
          <w:color w:val="000000"/>
        </w:rPr>
        <w:t>；</w:t>
      </w:r>
    </w:p>
    <w:p w14:paraId="6EB26FA2">
      <w:pPr>
        <w:pStyle w:val="177"/>
        <w:numPr>
          <w:ilvl w:val="0"/>
          <w:numId w:val="21"/>
        </w:numPr>
        <w:tabs>
          <w:tab w:val="left" w:pos="824"/>
        </w:tabs>
        <w:spacing w:line="320" w:lineRule="exact"/>
        <w:ind w:left="839"/>
        <w:rPr>
          <w:color w:val="000000"/>
        </w:rPr>
      </w:pPr>
      <w:r>
        <w:rPr>
          <w:color w:val="000000"/>
        </w:rPr>
        <w:t>动力环境监控系统应具备显示、记录、统计、控制、分析、管理、提示和报警功能，应具备网络管理接口，采用集散或分布式网络结构</w:t>
      </w:r>
      <w:r>
        <w:rPr>
          <w:rFonts w:hint="eastAsia"/>
          <w:color w:val="000000"/>
        </w:rPr>
        <w:t>；</w:t>
      </w:r>
    </w:p>
    <w:p w14:paraId="0DACBB04">
      <w:pPr>
        <w:pStyle w:val="177"/>
        <w:numPr>
          <w:ilvl w:val="0"/>
          <w:numId w:val="21"/>
        </w:numPr>
        <w:tabs>
          <w:tab w:val="left" w:pos="824"/>
        </w:tabs>
        <w:spacing w:line="320" w:lineRule="exact"/>
        <w:ind w:left="839"/>
        <w:rPr>
          <w:color w:val="000000"/>
        </w:rPr>
      </w:pPr>
      <w:r>
        <w:rPr>
          <w:color w:val="000000"/>
        </w:rPr>
        <w:t>模块化数据中心内动力环境监控系统，可不依赖于上级平台，在网络出现中断时</w:t>
      </w:r>
      <w:r>
        <w:rPr>
          <w:rFonts w:hint="eastAsia"/>
          <w:color w:val="000000"/>
        </w:rPr>
        <w:t>应</w:t>
      </w:r>
      <w:r>
        <w:rPr>
          <w:color w:val="000000"/>
        </w:rPr>
        <w:t>独立提供本设备监控服务</w:t>
      </w:r>
      <w:r>
        <w:rPr>
          <w:rFonts w:hint="eastAsia"/>
          <w:color w:val="000000"/>
        </w:rPr>
        <w:t>；</w:t>
      </w:r>
    </w:p>
    <w:p w14:paraId="3DF74531">
      <w:pPr>
        <w:pStyle w:val="177"/>
        <w:numPr>
          <w:ilvl w:val="0"/>
          <w:numId w:val="21"/>
        </w:numPr>
        <w:tabs>
          <w:tab w:val="left" w:pos="833"/>
        </w:tabs>
        <w:spacing w:line="320" w:lineRule="exact"/>
        <w:ind w:left="839"/>
        <w:rPr>
          <w:color w:val="000000"/>
        </w:rPr>
      </w:pPr>
      <w:r>
        <w:rPr>
          <w:rFonts w:hint="eastAsia"/>
          <w:color w:val="000000"/>
        </w:rPr>
        <w:t>动力环境监控</w:t>
      </w:r>
      <w:r>
        <w:rPr>
          <w:color w:val="000000"/>
        </w:rPr>
        <w:t>系统</w:t>
      </w:r>
      <w:r>
        <w:rPr>
          <w:rFonts w:hint="eastAsia"/>
          <w:color w:val="000000"/>
        </w:rPr>
        <w:t>所用服务器，其处理器、数据库、操作系统应满足安全可靠测试要求</w:t>
      </w:r>
      <w:r>
        <w:rPr>
          <w:rFonts w:hint="eastAsia"/>
          <w:color w:val="000000"/>
          <w:lang w:eastAsia="zh-CN"/>
        </w:rPr>
        <w:t>；</w:t>
      </w:r>
    </w:p>
    <w:p w14:paraId="3BE0D753">
      <w:pPr>
        <w:pStyle w:val="177"/>
        <w:numPr>
          <w:ilvl w:val="0"/>
          <w:numId w:val="21"/>
        </w:numPr>
        <w:tabs>
          <w:tab w:val="left" w:pos="824"/>
        </w:tabs>
        <w:spacing w:line="320" w:lineRule="exact"/>
        <w:ind w:left="839"/>
        <w:rPr>
          <w:color w:val="000000"/>
        </w:rPr>
      </w:pPr>
      <w:r>
        <w:rPr>
          <w:color w:val="000000"/>
        </w:rPr>
        <w:t>动力环境监控系统的供电应可靠，宜采用不间断电源系统供电</w:t>
      </w:r>
      <w:r>
        <w:rPr>
          <w:rFonts w:hint="eastAsia"/>
          <w:color w:val="000000"/>
        </w:rPr>
        <w:t>；</w:t>
      </w:r>
    </w:p>
    <w:p w14:paraId="1E00ADBC">
      <w:pPr>
        <w:pStyle w:val="177"/>
        <w:numPr>
          <w:ilvl w:val="0"/>
          <w:numId w:val="21"/>
        </w:numPr>
        <w:tabs>
          <w:tab w:val="left" w:pos="824"/>
        </w:tabs>
        <w:spacing w:line="320" w:lineRule="exact"/>
        <w:ind w:left="839"/>
        <w:rPr>
          <w:color w:val="000000"/>
        </w:rPr>
      </w:pPr>
      <w:r>
        <w:rPr>
          <w:color w:val="000000"/>
        </w:rPr>
        <w:t>宜具有本模块显示功能，并具有友好的人机对话界面和汉字支持能力</w:t>
      </w:r>
      <w:r>
        <w:rPr>
          <w:rFonts w:hint="eastAsia"/>
          <w:color w:val="000000"/>
        </w:rPr>
        <w:t>；</w:t>
      </w:r>
    </w:p>
    <w:p w14:paraId="4653554E">
      <w:pPr>
        <w:pStyle w:val="177"/>
        <w:numPr>
          <w:ilvl w:val="0"/>
          <w:numId w:val="21"/>
        </w:numPr>
        <w:tabs>
          <w:tab w:val="left" w:pos="824"/>
        </w:tabs>
        <w:spacing w:line="320" w:lineRule="exact"/>
        <w:ind w:left="839"/>
        <w:rPr>
          <w:color w:val="000000"/>
        </w:rPr>
      </w:pPr>
      <w:r>
        <w:rPr>
          <w:color w:val="000000"/>
        </w:rPr>
        <w:t>动力环境监控系统宜具备能效管理</w:t>
      </w:r>
      <w:r>
        <w:rPr>
          <w:rFonts w:hint="eastAsia"/>
          <w:color w:val="000000"/>
        </w:rPr>
        <w:t>；</w:t>
      </w:r>
    </w:p>
    <w:p w14:paraId="1A9221A2">
      <w:pPr>
        <w:pStyle w:val="177"/>
        <w:numPr>
          <w:ilvl w:val="0"/>
          <w:numId w:val="21"/>
        </w:numPr>
        <w:tabs>
          <w:tab w:val="left" w:pos="824"/>
        </w:tabs>
        <w:spacing w:line="320" w:lineRule="exact"/>
        <w:ind w:left="839"/>
        <w:rPr>
          <w:color w:val="000000"/>
        </w:rPr>
      </w:pPr>
      <w:r>
        <w:rPr>
          <w:color w:val="000000"/>
        </w:rPr>
        <w:t>动力环境监控系统宜</w:t>
      </w:r>
      <w:r>
        <w:rPr>
          <w:rFonts w:hint="eastAsia"/>
          <w:color w:val="000000"/>
          <w:lang w:val="en-US" w:eastAsia="zh-CN"/>
        </w:rPr>
        <w:t>具备</w:t>
      </w:r>
      <w:r>
        <w:rPr>
          <w:color w:val="000000"/>
        </w:rPr>
        <w:t>3D可视化监控管理</w:t>
      </w:r>
      <w:r>
        <w:rPr>
          <w:rFonts w:hint="eastAsia"/>
          <w:color w:val="000000"/>
        </w:rPr>
        <w:t>；</w:t>
      </w:r>
    </w:p>
    <w:p w14:paraId="33CF3803">
      <w:pPr>
        <w:pStyle w:val="177"/>
        <w:numPr>
          <w:ilvl w:val="0"/>
          <w:numId w:val="21"/>
        </w:numPr>
        <w:tabs>
          <w:tab w:val="left" w:pos="824"/>
        </w:tabs>
        <w:spacing w:line="320" w:lineRule="exact"/>
        <w:ind w:left="839"/>
        <w:rPr>
          <w:color w:val="000000"/>
        </w:rPr>
      </w:pPr>
      <w:r>
        <w:rPr>
          <w:color w:val="000000"/>
        </w:rPr>
        <w:t>动力环境监控系统宜具备资产管理</w:t>
      </w:r>
      <w:r>
        <w:rPr>
          <w:rFonts w:hint="eastAsia"/>
          <w:color w:val="000000"/>
        </w:rPr>
        <w:t>；</w:t>
      </w:r>
    </w:p>
    <w:p w14:paraId="03AF23A2">
      <w:pPr>
        <w:pStyle w:val="177"/>
        <w:numPr>
          <w:ilvl w:val="0"/>
          <w:numId w:val="21"/>
        </w:numPr>
        <w:tabs>
          <w:tab w:val="left" w:pos="824"/>
        </w:tabs>
        <w:spacing w:line="320" w:lineRule="exact"/>
        <w:ind w:left="839"/>
        <w:rPr>
          <w:color w:val="000000"/>
        </w:rPr>
      </w:pPr>
      <w:r>
        <w:rPr>
          <w:color w:val="000000"/>
        </w:rPr>
        <w:t>动力环境监控系统宜具备容量管理</w:t>
      </w:r>
      <w:r>
        <w:rPr>
          <w:rFonts w:hint="eastAsia"/>
          <w:color w:val="000000"/>
        </w:rPr>
        <w:t>；</w:t>
      </w:r>
    </w:p>
    <w:p w14:paraId="05282767">
      <w:pPr>
        <w:pStyle w:val="177"/>
        <w:numPr>
          <w:ilvl w:val="0"/>
          <w:numId w:val="21"/>
        </w:numPr>
        <w:tabs>
          <w:tab w:val="left" w:pos="824"/>
        </w:tabs>
        <w:spacing w:line="320" w:lineRule="exact"/>
        <w:ind w:left="839"/>
        <w:rPr>
          <w:color w:val="000000"/>
        </w:rPr>
      </w:pPr>
      <w:r>
        <w:rPr>
          <w:rFonts w:hint="eastAsia"/>
          <w:color w:val="000000"/>
        </w:rPr>
        <w:t>动环监控系统宜具备系统运维管理功能；</w:t>
      </w:r>
    </w:p>
    <w:p w14:paraId="04C9864E">
      <w:pPr>
        <w:pStyle w:val="177"/>
        <w:numPr>
          <w:ilvl w:val="0"/>
          <w:numId w:val="21"/>
        </w:numPr>
        <w:tabs>
          <w:tab w:val="left" w:pos="824"/>
        </w:tabs>
        <w:spacing w:line="320" w:lineRule="exact"/>
        <w:ind w:left="839"/>
        <w:rPr>
          <w:color w:val="000000"/>
        </w:rPr>
      </w:pPr>
      <w:r>
        <w:rPr>
          <w:rFonts w:hint="eastAsia"/>
          <w:color w:val="000000"/>
        </w:rPr>
        <w:t>动力环境监控</w:t>
      </w:r>
      <w:r>
        <w:rPr>
          <w:color w:val="000000"/>
        </w:rPr>
        <w:t>系统</w:t>
      </w:r>
      <w:r>
        <w:rPr>
          <w:rFonts w:hint="eastAsia"/>
          <w:color w:val="000000"/>
        </w:rPr>
        <w:t>宜支持短信告警功能；</w:t>
      </w:r>
    </w:p>
    <w:p w14:paraId="2658A2DA">
      <w:pPr>
        <w:pStyle w:val="177"/>
        <w:numPr>
          <w:ilvl w:val="0"/>
          <w:numId w:val="21"/>
        </w:numPr>
        <w:tabs>
          <w:tab w:val="left" w:pos="824"/>
        </w:tabs>
        <w:spacing w:after="0" w:line="320" w:lineRule="exact"/>
        <w:ind w:left="839" w:hanging="420"/>
        <w:jc w:val="left"/>
      </w:pPr>
      <w:r>
        <w:rPr>
          <w:color w:val="000000"/>
        </w:rPr>
        <w:t>动力环境监控系统宜具备</w:t>
      </w:r>
      <w:r>
        <w:rPr>
          <w:rFonts w:hint="eastAsia"/>
          <w:color w:val="000000"/>
        </w:rPr>
        <w:t>移动端管理功能</w:t>
      </w:r>
      <w:r>
        <w:rPr>
          <w:rFonts w:hint="eastAsia"/>
          <w:color w:val="000000"/>
          <w:lang w:eastAsia="zh-CN"/>
        </w:rPr>
        <w:t>。</w:t>
      </w:r>
    </w:p>
    <w:p w14:paraId="1C186AF1">
      <w:pPr>
        <w:pStyle w:val="172"/>
        <w:numPr>
          <w:ilvl w:val="3"/>
          <w:numId w:val="2"/>
        </w:numPr>
        <w:ind w:left="57"/>
        <w:rPr>
          <w:rFonts w:ascii="黑体" w:hAnsi="黑体" w:eastAsia="黑体" w:cs="黑体"/>
        </w:rPr>
      </w:pPr>
      <w:r>
        <w:rPr>
          <w:rFonts w:hint="eastAsia" w:ascii="黑体" w:hAnsi="黑体" w:eastAsia="黑体" w:cs="黑体"/>
        </w:rPr>
        <w:t>安全防范系统要求</w:t>
      </w:r>
    </w:p>
    <w:p w14:paraId="4621A3F1">
      <w:pPr>
        <w:pStyle w:val="177"/>
        <w:spacing w:line="240" w:lineRule="auto"/>
        <w:ind w:firstLine="420"/>
        <w:jc w:val="both"/>
      </w:pPr>
      <w:r>
        <w:rPr>
          <w:color w:val="000000"/>
        </w:rPr>
        <w:t>模块化数据中心安全防范系统要求如下：</w:t>
      </w:r>
    </w:p>
    <w:p w14:paraId="6E49929C">
      <w:pPr>
        <w:pStyle w:val="177"/>
        <w:tabs>
          <w:tab w:val="left" w:pos="824"/>
        </w:tabs>
        <w:spacing w:line="320" w:lineRule="exact"/>
        <w:ind w:left="840" w:leftChars="200" w:hanging="420"/>
      </w:pPr>
      <w:bookmarkStart w:id="42" w:name="bookmark94"/>
      <w:r>
        <w:rPr>
          <w:color w:val="000000"/>
        </w:rPr>
        <w:t>a)</w:t>
      </w:r>
      <w:bookmarkEnd w:id="42"/>
      <w:r>
        <w:tab/>
      </w:r>
      <w:r>
        <w:rPr>
          <w:color w:val="000000"/>
        </w:rPr>
        <w:t>出入口控制系统应设置紧急解锁装置；</w:t>
      </w:r>
    </w:p>
    <w:p w14:paraId="604E72F2">
      <w:pPr>
        <w:pStyle w:val="177"/>
        <w:tabs>
          <w:tab w:val="left" w:pos="824"/>
        </w:tabs>
        <w:spacing w:line="320" w:lineRule="exact"/>
        <w:ind w:left="840" w:leftChars="200" w:hanging="420"/>
      </w:pPr>
      <w:bookmarkStart w:id="43" w:name="bookmark95"/>
      <w:r>
        <w:rPr>
          <w:color w:val="000000"/>
        </w:rPr>
        <w:t>b)</w:t>
      </w:r>
      <w:bookmarkEnd w:id="43"/>
      <w:r>
        <w:tab/>
      </w:r>
      <w:r>
        <w:rPr>
          <w:color w:val="000000"/>
        </w:rPr>
        <w:t>视频安防监控系统应覆盖重点部位、主要通道</w:t>
      </w:r>
      <w:r>
        <w:rPr>
          <w:rFonts w:hint="eastAsia"/>
          <w:color w:val="000000"/>
          <w:lang w:eastAsia="zh-CN"/>
        </w:rPr>
        <w:t>，</w:t>
      </w:r>
      <w:r>
        <w:rPr>
          <w:color w:val="000000"/>
        </w:rPr>
        <w:t>视频存储时间应不少于180</w:t>
      </w:r>
      <w:r>
        <w:rPr>
          <w:rFonts w:hint="eastAsia"/>
          <w:color w:val="000000"/>
        </w:rPr>
        <w:t>天</w:t>
      </w:r>
      <w:r>
        <w:rPr>
          <w:color w:val="000000"/>
        </w:rPr>
        <w:t>；</w:t>
      </w:r>
    </w:p>
    <w:p w14:paraId="0E5939C4">
      <w:pPr>
        <w:pStyle w:val="177"/>
        <w:tabs>
          <w:tab w:val="left" w:pos="824"/>
        </w:tabs>
        <w:spacing w:line="320" w:lineRule="exact"/>
        <w:ind w:left="840" w:leftChars="200" w:hanging="420"/>
        <w:rPr>
          <w:color w:val="000000"/>
        </w:rPr>
      </w:pPr>
      <w:bookmarkStart w:id="44" w:name="bookmark96"/>
      <w:r>
        <w:rPr>
          <w:color w:val="000000"/>
        </w:rPr>
        <w:t>c)</w:t>
      </w:r>
      <w:bookmarkEnd w:id="44"/>
      <w:r>
        <w:tab/>
      </w:r>
      <w:r>
        <w:rPr>
          <w:color w:val="000000"/>
        </w:rPr>
        <w:t>安全防范系统应具有与建筑内消防系统联动的接口</w:t>
      </w:r>
      <w:r>
        <w:rPr>
          <w:rFonts w:hint="eastAsia"/>
          <w:color w:val="000000"/>
        </w:rPr>
        <w:t>，消防防范区域内发生火灾时，建筑消防系统联动模块化数据中心的安全防范系统自动释放门禁权限</w:t>
      </w:r>
      <w:r>
        <w:rPr>
          <w:rFonts w:hint="eastAsia"/>
          <w:color w:val="000000"/>
          <w:lang w:eastAsia="zh-CN"/>
        </w:rPr>
        <w:t>、</w:t>
      </w:r>
      <w:r>
        <w:rPr>
          <w:rFonts w:hint="eastAsia"/>
          <w:color w:val="000000"/>
        </w:rPr>
        <w:t>开启活动天窗</w:t>
      </w:r>
      <w:bookmarkStart w:id="45" w:name="bookmark97"/>
      <w:r>
        <w:rPr>
          <w:rFonts w:hint="eastAsia"/>
          <w:color w:val="000000"/>
        </w:rPr>
        <w:t>；</w:t>
      </w:r>
    </w:p>
    <w:p w14:paraId="31B448E9">
      <w:pPr>
        <w:pStyle w:val="177"/>
        <w:tabs>
          <w:tab w:val="left" w:pos="824"/>
        </w:tabs>
        <w:spacing w:line="320" w:lineRule="exact"/>
        <w:ind w:left="840" w:leftChars="200" w:hanging="420"/>
        <w:rPr>
          <w:color w:val="000000"/>
        </w:rPr>
      </w:pPr>
      <w:r>
        <w:rPr>
          <w:color w:val="000000"/>
        </w:rPr>
        <w:t>d)</w:t>
      </w:r>
      <w:bookmarkEnd w:id="45"/>
      <w:r>
        <w:rPr>
          <w:color w:val="000000"/>
        </w:rPr>
        <w:tab/>
      </w:r>
      <w:r>
        <w:rPr>
          <w:color w:val="000000"/>
        </w:rPr>
        <w:t>安全防范系统宜由视频安防监控系统、出入口控制系统构成</w:t>
      </w:r>
      <w:r>
        <w:rPr>
          <w:rFonts w:hint="eastAsia"/>
          <w:color w:val="000000"/>
          <w:lang w:eastAsia="zh-CN"/>
        </w:rPr>
        <w:t>；</w:t>
      </w:r>
    </w:p>
    <w:p w14:paraId="74D49408">
      <w:pPr>
        <w:pStyle w:val="177"/>
        <w:tabs>
          <w:tab w:val="left" w:pos="824"/>
        </w:tabs>
        <w:spacing w:line="320" w:lineRule="exact"/>
        <w:ind w:left="840" w:leftChars="200" w:hanging="420"/>
      </w:pPr>
      <w:r>
        <w:rPr>
          <w:rFonts w:hint="eastAsia"/>
          <w:color w:val="000000"/>
          <w:lang w:val="en-US" w:eastAsia="zh-CN"/>
        </w:rPr>
        <w:t xml:space="preserve">e)  </w:t>
      </w:r>
      <w:r>
        <w:rPr>
          <w:color w:val="000000"/>
        </w:rPr>
        <w:t>各系统之间宜具有联动控制功能</w:t>
      </w:r>
      <w:r>
        <w:rPr>
          <w:rFonts w:hint="eastAsia"/>
          <w:color w:val="000000"/>
          <w:lang w:eastAsia="zh-CN"/>
        </w:rPr>
        <w:t>。</w:t>
      </w:r>
    </w:p>
    <w:p w14:paraId="0DC89A94">
      <w:pPr>
        <w:pStyle w:val="172"/>
        <w:ind w:left="0"/>
        <w:jc w:val="left"/>
        <w:outlineLvl w:val="2"/>
        <w:rPr>
          <w:rFonts w:ascii="黑体" w:hAnsi="黑体" w:eastAsia="黑体" w:cs="黑体"/>
        </w:rPr>
      </w:pPr>
      <w:r>
        <w:rPr>
          <w:rFonts w:hint="eastAsia" w:ascii="黑体" w:hAnsi="黑体" w:eastAsia="黑体" w:cs="黑体"/>
        </w:rPr>
        <w:t>照明系统要求</w:t>
      </w:r>
    </w:p>
    <w:p w14:paraId="0329961E">
      <w:pPr>
        <w:pStyle w:val="177"/>
        <w:spacing w:line="240" w:lineRule="auto"/>
        <w:ind w:firstLine="420"/>
      </w:pPr>
      <w:r>
        <w:rPr>
          <w:color w:val="000000"/>
        </w:rPr>
        <w:t>模块化数据中心照明系统要求如下</w:t>
      </w:r>
      <w:r>
        <w:rPr>
          <w:rFonts w:hint="eastAsia"/>
          <w:color w:val="000000"/>
        </w:rPr>
        <w:t>：</w:t>
      </w:r>
    </w:p>
    <w:p w14:paraId="652DD4E6">
      <w:pPr>
        <w:pStyle w:val="177"/>
        <w:tabs>
          <w:tab w:val="left" w:pos="824"/>
        </w:tabs>
        <w:spacing w:line="320" w:lineRule="exact"/>
        <w:ind w:left="820" w:leftChars="200" w:hanging="400" w:hangingChars="200"/>
      </w:pPr>
      <w:bookmarkStart w:id="46" w:name="bookmark99"/>
      <w:r>
        <w:rPr>
          <w:color w:val="000000"/>
        </w:rPr>
        <w:t>a)</w:t>
      </w:r>
      <w:bookmarkEnd w:id="46"/>
      <w:r>
        <w:tab/>
      </w:r>
      <w:r>
        <w:rPr>
          <w:color w:val="000000"/>
        </w:rPr>
        <w:t>模块化数据中心照明灯具应符合GB 7000.1的I类灯具的要求</w:t>
      </w:r>
      <w:r>
        <w:rPr>
          <w:rFonts w:hint="eastAsia"/>
          <w:color w:val="000000"/>
        </w:rPr>
        <w:t>；</w:t>
      </w:r>
    </w:p>
    <w:p w14:paraId="242A7A71">
      <w:pPr>
        <w:pStyle w:val="177"/>
        <w:tabs>
          <w:tab w:val="left" w:pos="824"/>
        </w:tabs>
        <w:spacing w:line="320" w:lineRule="exact"/>
        <w:ind w:left="820" w:leftChars="200" w:hanging="400" w:hangingChars="200"/>
        <w:jc w:val="left"/>
      </w:pPr>
      <w:bookmarkStart w:id="47" w:name="bookmark100"/>
      <w:r>
        <w:rPr>
          <w:color w:val="000000"/>
        </w:rPr>
        <w:t>b)</w:t>
      </w:r>
      <w:bookmarkEnd w:id="47"/>
      <w:r>
        <w:tab/>
      </w:r>
      <w:r>
        <w:rPr>
          <w:color w:val="000000"/>
        </w:rPr>
        <w:t>模块化数据中心内部正常照明照度应按GB 55015的相关要求</w:t>
      </w:r>
      <w:r>
        <w:rPr>
          <w:rFonts w:hint="eastAsia"/>
          <w:color w:val="000000"/>
        </w:rPr>
        <w:t>，</w:t>
      </w:r>
      <w:r>
        <w:rPr>
          <w:color w:val="000000"/>
        </w:rPr>
        <w:t>无人工作时照度应满足视频监控系统要求</w:t>
      </w:r>
      <w:r>
        <w:rPr>
          <w:rFonts w:hint="eastAsia"/>
          <w:color w:val="000000"/>
        </w:rPr>
        <w:t>；</w:t>
      </w:r>
    </w:p>
    <w:p w14:paraId="769BF00E">
      <w:pPr>
        <w:pStyle w:val="177"/>
        <w:tabs>
          <w:tab w:val="left" w:pos="824"/>
        </w:tabs>
        <w:spacing w:after="0" w:line="320" w:lineRule="exact"/>
        <w:ind w:left="820" w:leftChars="200" w:hanging="400" w:hangingChars="200"/>
      </w:pPr>
      <w:bookmarkStart w:id="48" w:name="bookmark102"/>
      <w:r>
        <w:rPr>
          <w:rFonts w:hint="eastAsia"/>
          <w:color w:val="000000"/>
        </w:rPr>
        <w:t>c</w:t>
      </w:r>
      <w:r>
        <w:rPr>
          <w:color w:val="000000"/>
        </w:rPr>
        <w:t>)</w:t>
      </w:r>
      <w:bookmarkEnd w:id="48"/>
      <w:r>
        <w:tab/>
      </w:r>
      <w:r>
        <w:rPr>
          <w:color w:val="000000"/>
        </w:rPr>
        <w:t>照明灯具</w:t>
      </w:r>
      <w:r>
        <w:rPr>
          <w:rFonts w:hint="eastAsia"/>
          <w:color w:val="000000"/>
        </w:rPr>
        <w:t>的能效水平应高于能效限定值或能效等级3级的要求</w:t>
      </w:r>
      <w:r>
        <w:rPr>
          <w:color w:val="000000"/>
        </w:rPr>
        <w:t>。</w:t>
      </w:r>
    </w:p>
    <w:p w14:paraId="58679A12">
      <w:pPr>
        <w:pStyle w:val="172"/>
        <w:ind w:left="0"/>
        <w:jc w:val="left"/>
        <w:outlineLvl w:val="2"/>
        <w:rPr>
          <w:rFonts w:ascii="黑体" w:hAnsi="黑体" w:eastAsia="黑体" w:cs="黑体"/>
        </w:rPr>
      </w:pPr>
      <w:r>
        <w:rPr>
          <w:rFonts w:hint="eastAsia" w:ascii="黑体" w:hAnsi="黑体" w:eastAsia="黑体" w:cs="黑体"/>
        </w:rPr>
        <w:t>防雷与接地系统要求</w:t>
      </w:r>
    </w:p>
    <w:p w14:paraId="7AA1342C">
      <w:pPr>
        <w:pStyle w:val="177"/>
        <w:spacing w:line="240" w:lineRule="auto"/>
        <w:ind w:firstLine="420"/>
      </w:pPr>
      <w:r>
        <w:rPr>
          <w:color w:val="000000"/>
        </w:rPr>
        <w:t>模块化数据中心防雷与接地系统要求如下：</w:t>
      </w:r>
    </w:p>
    <w:p w14:paraId="576AA48B">
      <w:pPr>
        <w:pStyle w:val="177"/>
        <w:numPr>
          <w:ilvl w:val="0"/>
          <w:numId w:val="22"/>
        </w:numPr>
        <w:tabs>
          <w:tab w:val="left" w:pos="805"/>
        </w:tabs>
        <w:spacing w:line="320" w:lineRule="exact"/>
        <w:ind w:left="839" w:hanging="420"/>
        <w:jc w:val="left"/>
      </w:pPr>
      <w:r>
        <w:t>模块化数据中心内</w:t>
      </w:r>
      <w:r>
        <w:rPr>
          <w:rFonts w:hint="eastAsia"/>
        </w:rPr>
        <w:t>所有设备的金属外壳、各类金属管道、金属线槽、建筑物金属结构应进行等电位联结并接地</w:t>
      </w:r>
      <w:r>
        <w:rPr>
          <w:rFonts w:hint="eastAsia"/>
          <w:color w:val="000000"/>
        </w:rPr>
        <w:t>；</w:t>
      </w:r>
    </w:p>
    <w:p w14:paraId="62682695">
      <w:pPr>
        <w:pStyle w:val="177"/>
        <w:numPr>
          <w:ilvl w:val="0"/>
          <w:numId w:val="22"/>
        </w:numPr>
        <w:tabs>
          <w:tab w:val="left" w:pos="805"/>
        </w:tabs>
        <w:spacing w:line="320" w:lineRule="exact"/>
        <w:ind w:left="839" w:hanging="420"/>
      </w:pPr>
      <w:r>
        <w:rPr>
          <w:rFonts w:hint="eastAsia"/>
        </w:rPr>
        <w:t>模块化数据中心产品内应有可靠的接地措施，所有设备接地均汇于接地铜排，应通过接地端子至少两处与外部接地预留点连接</w:t>
      </w:r>
      <w:r>
        <w:rPr>
          <w:rFonts w:hint="eastAsia"/>
          <w:color w:val="000000"/>
        </w:rPr>
        <w:t>；</w:t>
      </w:r>
    </w:p>
    <w:p w14:paraId="1A3D1C92">
      <w:pPr>
        <w:pStyle w:val="177"/>
        <w:numPr>
          <w:ilvl w:val="0"/>
          <w:numId w:val="22"/>
        </w:numPr>
        <w:tabs>
          <w:tab w:val="left" w:pos="805"/>
        </w:tabs>
        <w:spacing w:line="320" w:lineRule="exact"/>
        <w:ind w:left="839" w:hanging="420"/>
      </w:pPr>
      <w:r>
        <w:rPr>
          <w:rFonts w:hint="eastAsia"/>
        </w:rPr>
        <w:t>等电位联结带、接地线和等电位联结导体的材料和最小截面积应符合G</w:t>
      </w:r>
      <w:r>
        <w:t>B 50174</w:t>
      </w:r>
      <w:r>
        <w:rPr>
          <w:rFonts w:hint="eastAsia"/>
        </w:rPr>
        <w:t>的规定</w:t>
      </w:r>
      <w:r>
        <w:rPr>
          <w:rFonts w:hint="eastAsia"/>
          <w:lang w:val="en-US" w:eastAsia="zh-CN"/>
        </w:rPr>
        <w:t>。</w:t>
      </w:r>
    </w:p>
    <w:p w14:paraId="79C90A5D">
      <w:pPr>
        <w:pStyle w:val="46"/>
        <w:spacing w:before="156" w:after="156"/>
        <w:outlineLvl w:val="1"/>
        <w:rPr>
          <w:rFonts w:ascii="Times New Roman" w:eastAsia="宋体"/>
          <w:szCs w:val="24"/>
        </w:rPr>
      </w:pPr>
      <w:r>
        <w:rPr>
          <w:rFonts w:hint="eastAsia" w:hAnsi="黑体" w:cs="黑体"/>
          <w:bCs/>
          <w:szCs w:val="22"/>
          <w:lang w:val="en-US" w:eastAsia="zh-CN"/>
        </w:rPr>
        <w:t>产品</w:t>
      </w:r>
      <w:r>
        <w:rPr>
          <w:rFonts w:hint="eastAsia" w:hAnsi="黑体" w:cs="黑体"/>
          <w:bCs/>
          <w:szCs w:val="22"/>
        </w:rPr>
        <w:t>能效要求</w:t>
      </w:r>
    </w:p>
    <w:p w14:paraId="5E2EC5A0">
      <w:pPr>
        <w:ind w:firstLine="420" w:firstLineChars="200"/>
        <w:rPr>
          <w:rFonts w:ascii="宋体"/>
          <w:kern w:val="0"/>
          <w:szCs w:val="20"/>
        </w:rPr>
      </w:pPr>
      <w:r>
        <w:rPr>
          <w:color w:val="000000"/>
        </w:rPr>
        <w:t>模块化数据中心</w:t>
      </w:r>
      <w:r>
        <w:rPr>
          <w:rFonts w:hint="eastAsia"/>
          <w:color w:val="000000"/>
        </w:rPr>
        <w:t>产品</w:t>
      </w:r>
      <w:r>
        <w:rPr>
          <w:rFonts w:hint="eastAsia" w:ascii="宋体"/>
          <w:kern w:val="0"/>
          <w:szCs w:val="20"/>
        </w:rPr>
        <w:t>能效要求如下：</w:t>
      </w:r>
    </w:p>
    <w:p w14:paraId="387C556B">
      <w:pPr>
        <w:pStyle w:val="177"/>
        <w:numPr>
          <w:ilvl w:val="0"/>
          <w:numId w:val="23"/>
        </w:numPr>
        <w:spacing w:after="0" w:line="320" w:lineRule="exact"/>
        <w:ind w:left="839" w:hanging="420"/>
        <w:rPr>
          <w:strike/>
        </w:rPr>
      </w:pPr>
      <w:r>
        <w:t>模块化数据中心</w:t>
      </w:r>
      <w:r>
        <w:rPr>
          <w:rFonts w:hint="eastAsia"/>
          <w:lang w:val="en-US" w:eastAsia="zh-CN"/>
        </w:rPr>
        <w:t>产品</w:t>
      </w:r>
      <w:r>
        <w:t>电能使用效率</w:t>
      </w:r>
      <w:r>
        <w:rPr>
          <w:rFonts w:hint="eastAsia"/>
        </w:rPr>
        <w:t>采用</w:t>
      </w:r>
      <w:r>
        <w:t>mpPUE</w:t>
      </w:r>
      <w:r>
        <w:rPr>
          <w:rFonts w:hint="eastAsia"/>
        </w:rPr>
        <w:t>衡量，对模块化数据中心内</w:t>
      </w:r>
      <w:r>
        <w:t>各系统</w:t>
      </w:r>
      <w:r>
        <w:rPr>
          <w:rFonts w:hint="eastAsia"/>
        </w:rPr>
        <w:t>的</w:t>
      </w:r>
      <w:r>
        <w:t>能耗</w:t>
      </w:r>
      <w:r>
        <w:rPr>
          <w:rFonts w:hint="eastAsia"/>
          <w:lang w:val="en-US" w:eastAsia="zh-CN"/>
        </w:rPr>
        <w:t>应</w:t>
      </w:r>
      <w:r>
        <w:t>进行</w:t>
      </w:r>
      <w:r>
        <w:rPr>
          <w:rFonts w:hint="eastAsia"/>
          <w:lang w:val="en-US" w:eastAsia="zh-CN"/>
        </w:rPr>
        <w:t>能效</w:t>
      </w:r>
      <w:r>
        <w:rPr>
          <w:rFonts w:hint="eastAsia"/>
        </w:rPr>
        <w:t>测试</w:t>
      </w:r>
      <w:r>
        <w:rPr>
          <w:rFonts w:hint="eastAsia"/>
          <w:color w:val="000000"/>
        </w:rPr>
        <w:t>；</w:t>
      </w:r>
    </w:p>
    <w:p w14:paraId="4A24A8BE">
      <w:pPr>
        <w:pStyle w:val="177"/>
        <w:numPr>
          <w:ilvl w:val="0"/>
          <w:numId w:val="23"/>
        </w:numPr>
        <w:spacing w:after="0" w:line="320" w:lineRule="exact"/>
        <w:ind w:left="820" w:leftChars="200" w:hanging="400" w:hangingChars="200"/>
      </w:pPr>
      <w:r>
        <w:t>模块化数据中心</w:t>
      </w:r>
      <w:r>
        <w:rPr>
          <w:rFonts w:hint="eastAsia"/>
          <w:lang w:val="en-US" w:eastAsia="zh-CN"/>
        </w:rPr>
        <w:t>产品</w:t>
      </w:r>
      <w:r>
        <w:t>电能使用效率等级要求见表</w:t>
      </w:r>
      <w:r>
        <w:rPr>
          <w:rFonts w:hint="eastAsia"/>
          <w:lang w:val="en-US" w:eastAsia="zh-CN"/>
        </w:rPr>
        <w:t>2</w:t>
      </w:r>
      <w:r>
        <w:rPr>
          <w:rFonts w:hint="eastAsia"/>
          <w:color w:val="000000"/>
        </w:rPr>
        <w:t>；</w:t>
      </w:r>
    </w:p>
    <w:p w14:paraId="6D24E48D">
      <w:pPr>
        <w:pStyle w:val="183"/>
        <w:jc w:val="center"/>
        <w:rPr>
          <w:rFonts w:ascii="宋体" w:hAnsi="宋体" w:eastAsia="宋体" w:cs="宋体"/>
          <w:color w:val="000000"/>
        </w:rPr>
      </w:pPr>
      <w:r>
        <w:rPr>
          <w:rFonts w:hint="default" w:ascii="宋体" w:hAnsi="宋体" w:eastAsia="宋体" w:cs="宋体"/>
          <w:color w:val="000000"/>
        </w:rPr>
        <w:t>表</w:t>
      </w:r>
      <w:r>
        <w:rPr>
          <w:rFonts w:hint="default" w:ascii="宋体" w:hAnsi="宋体" w:eastAsia="宋体" w:cs="宋体"/>
          <w:color w:val="000000"/>
          <w:lang w:val="en-US" w:eastAsia="zh-CN"/>
        </w:rPr>
        <w:t>2</w:t>
      </w:r>
      <w:r>
        <w:rPr>
          <w:rFonts w:hint="default" w:ascii="宋体" w:hAnsi="宋体" w:eastAsia="宋体" w:cs="宋体"/>
          <w:color w:val="000000"/>
        </w:rPr>
        <w:t xml:space="preserve">  全模块化数据中心电能使用效率等级要求</w:t>
      </w:r>
    </w:p>
    <w:tbl>
      <w:tblPr>
        <w:tblStyle w:val="35"/>
        <w:tblW w:w="93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8"/>
        <w:gridCol w:w="6193"/>
      </w:tblGrid>
      <w:tr w14:paraId="2961C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3198" w:type="dxa"/>
            <w:tcBorders>
              <w:tl2br w:val="nil"/>
              <w:tr2bl w:val="nil"/>
            </w:tcBorders>
          </w:tcPr>
          <w:p w14:paraId="19F7502A">
            <w:pPr>
              <w:pStyle w:val="185"/>
              <w:spacing w:line="240" w:lineRule="auto"/>
              <w:ind w:firstLine="0"/>
              <w:jc w:val="center"/>
              <w:rPr>
                <w:color w:val="000000"/>
                <w:sz w:val="17"/>
                <w:szCs w:val="17"/>
              </w:rPr>
            </w:pPr>
            <w:r>
              <w:rPr>
                <w:rFonts w:hint="eastAsia"/>
                <w:color w:val="000000"/>
                <w:sz w:val="17"/>
                <w:szCs w:val="17"/>
              </w:rPr>
              <w:t>能效等级</w:t>
            </w:r>
          </w:p>
        </w:tc>
        <w:tc>
          <w:tcPr>
            <w:tcW w:w="6193" w:type="dxa"/>
            <w:tcBorders>
              <w:tl2br w:val="nil"/>
              <w:tr2bl w:val="nil"/>
            </w:tcBorders>
          </w:tcPr>
          <w:p w14:paraId="042F7589">
            <w:pPr>
              <w:pStyle w:val="185"/>
              <w:spacing w:line="240" w:lineRule="auto"/>
              <w:ind w:firstLine="0"/>
              <w:jc w:val="center"/>
              <w:rPr>
                <w:color w:val="000000"/>
                <w:sz w:val="17"/>
                <w:szCs w:val="17"/>
              </w:rPr>
            </w:pPr>
            <w:r>
              <w:rPr>
                <w:rFonts w:hint="eastAsia"/>
                <w:color w:val="000000"/>
                <w:sz w:val="17"/>
                <w:szCs w:val="17"/>
              </w:rPr>
              <w:t>要求</w:t>
            </w:r>
          </w:p>
        </w:tc>
      </w:tr>
      <w:tr w14:paraId="30652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3198" w:type="dxa"/>
            <w:tcBorders>
              <w:tl2br w:val="nil"/>
              <w:tr2bl w:val="nil"/>
            </w:tcBorders>
          </w:tcPr>
          <w:p w14:paraId="76D30809">
            <w:pPr>
              <w:pStyle w:val="185"/>
              <w:spacing w:line="240" w:lineRule="auto"/>
              <w:ind w:firstLine="0"/>
              <w:jc w:val="center"/>
              <w:rPr>
                <w:color w:val="000000"/>
                <w:sz w:val="17"/>
                <w:szCs w:val="17"/>
              </w:rPr>
            </w:pPr>
            <w:r>
              <w:rPr>
                <w:rFonts w:hint="eastAsia"/>
                <w:color w:val="000000"/>
                <w:sz w:val="17"/>
                <w:szCs w:val="17"/>
              </w:rPr>
              <w:t>一级</w:t>
            </w:r>
          </w:p>
        </w:tc>
        <w:tc>
          <w:tcPr>
            <w:tcW w:w="6193" w:type="dxa"/>
            <w:tcBorders>
              <w:tl2br w:val="nil"/>
              <w:tr2bl w:val="nil"/>
            </w:tcBorders>
          </w:tcPr>
          <w:p w14:paraId="7E979036">
            <w:pPr>
              <w:pStyle w:val="185"/>
              <w:spacing w:line="240" w:lineRule="auto"/>
              <w:ind w:firstLine="0"/>
              <w:jc w:val="center"/>
              <w:rPr>
                <w:color w:val="000000"/>
                <w:sz w:val="17"/>
                <w:szCs w:val="17"/>
              </w:rPr>
            </w:pPr>
            <w:r>
              <w:rPr>
                <w:color w:val="000000"/>
                <w:sz w:val="17"/>
                <w:szCs w:val="17"/>
              </w:rPr>
              <w:t>mpPUE</w:t>
            </w:r>
            <w:r>
              <w:rPr>
                <w:rFonts w:hint="eastAsia"/>
                <w:color w:val="000000"/>
                <w:sz w:val="17"/>
                <w:szCs w:val="17"/>
              </w:rPr>
              <w:t>等效值</w:t>
            </w:r>
            <w:r>
              <w:rPr>
                <w:color w:val="000000"/>
                <w:sz w:val="17"/>
                <w:szCs w:val="17"/>
              </w:rPr>
              <w:t>≤1.2</w:t>
            </w:r>
          </w:p>
        </w:tc>
      </w:tr>
      <w:tr w14:paraId="10E92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3198" w:type="dxa"/>
            <w:tcBorders>
              <w:tl2br w:val="nil"/>
              <w:tr2bl w:val="nil"/>
            </w:tcBorders>
          </w:tcPr>
          <w:p w14:paraId="6375BC9C">
            <w:pPr>
              <w:pStyle w:val="185"/>
              <w:spacing w:line="240" w:lineRule="auto"/>
              <w:ind w:firstLine="0"/>
              <w:jc w:val="center"/>
              <w:rPr>
                <w:color w:val="000000"/>
                <w:sz w:val="17"/>
                <w:szCs w:val="17"/>
              </w:rPr>
            </w:pPr>
            <w:r>
              <w:rPr>
                <w:rFonts w:hint="eastAsia"/>
                <w:color w:val="000000"/>
                <w:sz w:val="17"/>
                <w:szCs w:val="17"/>
              </w:rPr>
              <w:t>二级</w:t>
            </w:r>
          </w:p>
        </w:tc>
        <w:tc>
          <w:tcPr>
            <w:tcW w:w="6193" w:type="dxa"/>
            <w:tcBorders>
              <w:tl2br w:val="nil"/>
              <w:tr2bl w:val="nil"/>
            </w:tcBorders>
          </w:tcPr>
          <w:p w14:paraId="2816A2A0">
            <w:pPr>
              <w:pStyle w:val="185"/>
              <w:spacing w:line="240" w:lineRule="auto"/>
              <w:ind w:firstLine="0"/>
              <w:jc w:val="center"/>
              <w:rPr>
                <w:color w:val="000000"/>
                <w:sz w:val="17"/>
                <w:szCs w:val="17"/>
              </w:rPr>
            </w:pPr>
            <w:r>
              <w:rPr>
                <w:color w:val="000000"/>
                <w:sz w:val="17"/>
                <w:szCs w:val="17"/>
              </w:rPr>
              <w:t>1.2&lt;mpPUE</w:t>
            </w:r>
            <w:r>
              <w:rPr>
                <w:rFonts w:hint="eastAsia"/>
                <w:color w:val="000000"/>
                <w:sz w:val="17"/>
                <w:szCs w:val="17"/>
              </w:rPr>
              <w:t>等效值</w:t>
            </w:r>
            <w:r>
              <w:rPr>
                <w:color w:val="000000"/>
                <w:sz w:val="17"/>
                <w:szCs w:val="17"/>
              </w:rPr>
              <w:t>≤1.3</w:t>
            </w:r>
          </w:p>
        </w:tc>
      </w:tr>
      <w:tr w14:paraId="09B75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3198" w:type="dxa"/>
            <w:tcBorders>
              <w:tl2br w:val="nil"/>
              <w:tr2bl w:val="nil"/>
            </w:tcBorders>
          </w:tcPr>
          <w:p w14:paraId="4F85D6E4">
            <w:pPr>
              <w:pStyle w:val="185"/>
              <w:spacing w:line="240" w:lineRule="auto"/>
              <w:ind w:firstLine="0"/>
              <w:jc w:val="center"/>
              <w:rPr>
                <w:color w:val="000000"/>
                <w:sz w:val="17"/>
                <w:szCs w:val="17"/>
              </w:rPr>
            </w:pPr>
            <w:r>
              <w:rPr>
                <w:rFonts w:hint="eastAsia"/>
                <w:color w:val="000000"/>
                <w:sz w:val="17"/>
                <w:szCs w:val="17"/>
              </w:rPr>
              <w:t>三级</w:t>
            </w:r>
          </w:p>
        </w:tc>
        <w:tc>
          <w:tcPr>
            <w:tcW w:w="6193" w:type="dxa"/>
            <w:tcBorders>
              <w:tl2br w:val="nil"/>
              <w:tr2bl w:val="nil"/>
            </w:tcBorders>
          </w:tcPr>
          <w:p w14:paraId="7BF7261D">
            <w:pPr>
              <w:pStyle w:val="185"/>
              <w:spacing w:line="240" w:lineRule="auto"/>
              <w:ind w:firstLine="0"/>
              <w:jc w:val="center"/>
              <w:rPr>
                <w:color w:val="000000"/>
                <w:sz w:val="17"/>
                <w:szCs w:val="17"/>
              </w:rPr>
            </w:pPr>
            <w:r>
              <w:rPr>
                <w:color w:val="000000"/>
                <w:sz w:val="17"/>
                <w:szCs w:val="17"/>
              </w:rPr>
              <w:t>1.3&lt;mpPUE</w:t>
            </w:r>
            <w:r>
              <w:rPr>
                <w:rFonts w:hint="eastAsia"/>
                <w:color w:val="000000"/>
                <w:sz w:val="17"/>
                <w:szCs w:val="17"/>
              </w:rPr>
              <w:t>等效值</w:t>
            </w:r>
            <w:r>
              <w:rPr>
                <w:color w:val="000000"/>
                <w:sz w:val="17"/>
                <w:szCs w:val="17"/>
              </w:rPr>
              <w:t>≤1.45</w:t>
            </w:r>
          </w:p>
        </w:tc>
      </w:tr>
      <w:tr w14:paraId="3BAB4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9391" w:type="dxa"/>
            <w:gridSpan w:val="2"/>
            <w:tcBorders>
              <w:tl2br w:val="nil"/>
              <w:tr2bl w:val="nil"/>
            </w:tcBorders>
          </w:tcPr>
          <w:p w14:paraId="6D7D88E4">
            <w:pPr>
              <w:pStyle w:val="185"/>
              <w:spacing w:line="240" w:lineRule="auto"/>
              <w:ind w:firstLine="0"/>
              <w:jc w:val="center"/>
              <w:rPr>
                <w:color w:val="000000"/>
                <w:sz w:val="17"/>
                <w:szCs w:val="17"/>
              </w:rPr>
            </w:pPr>
            <w:r>
              <w:rPr>
                <w:rFonts w:hint="eastAsia"/>
                <w:color w:val="000000"/>
                <w:sz w:val="17"/>
                <w:szCs w:val="17"/>
              </w:rPr>
              <w:t>注：</w:t>
            </w:r>
            <w:r>
              <w:rPr>
                <w:color w:val="000000"/>
                <w:sz w:val="17"/>
                <w:szCs w:val="17"/>
              </w:rPr>
              <w:t>mpPUE</w:t>
            </w:r>
            <w:r>
              <w:rPr>
                <w:rFonts w:hint="eastAsia"/>
                <w:color w:val="000000"/>
                <w:sz w:val="17"/>
                <w:szCs w:val="17"/>
              </w:rPr>
              <w:t>等效值用于模块化数据中心能效出厂标定。</w:t>
            </w:r>
          </w:p>
        </w:tc>
      </w:tr>
    </w:tbl>
    <w:p w14:paraId="69E7B126">
      <w:pPr>
        <w:pStyle w:val="177"/>
        <w:numPr>
          <w:ilvl w:val="0"/>
          <w:numId w:val="23"/>
        </w:numPr>
        <w:tabs>
          <w:tab w:val="left" w:pos="831"/>
        </w:tabs>
        <w:spacing w:line="320" w:lineRule="exact"/>
        <w:ind w:left="839" w:hanging="420"/>
      </w:pPr>
      <w:r>
        <w:t>宜采用国家工业和信息化领域节能降碳技术装备推荐目录</w:t>
      </w:r>
      <w:r>
        <w:rPr>
          <w:rFonts w:hint="eastAsia"/>
        </w:rPr>
        <w:t>产品</w:t>
      </w:r>
      <w:r>
        <w:rPr>
          <w:rFonts w:hint="eastAsia"/>
          <w:lang w:eastAsia="zh-CN"/>
        </w:rPr>
        <w:t>。</w:t>
      </w:r>
    </w:p>
    <w:p w14:paraId="6639F51F">
      <w:pPr>
        <w:pStyle w:val="46"/>
        <w:spacing w:before="156" w:after="156"/>
        <w:outlineLvl w:val="1"/>
        <w:rPr>
          <w:rFonts w:hAnsi="黑体" w:cs="黑体"/>
          <w:bCs/>
          <w:szCs w:val="22"/>
        </w:rPr>
      </w:pPr>
      <w:r>
        <w:rPr>
          <w:rFonts w:hint="eastAsia" w:hAnsi="黑体" w:cs="黑体"/>
          <w:bCs/>
          <w:szCs w:val="22"/>
          <w:lang w:val="en-US" w:eastAsia="zh-CN"/>
        </w:rPr>
        <w:t>产品</w:t>
      </w:r>
      <w:r>
        <w:rPr>
          <w:rFonts w:hint="eastAsia" w:hAnsi="黑体" w:cs="黑体"/>
          <w:bCs/>
          <w:szCs w:val="22"/>
        </w:rPr>
        <w:t>外观与体验一致性要求</w:t>
      </w:r>
    </w:p>
    <w:p w14:paraId="24D8DF42">
      <w:pPr>
        <w:pStyle w:val="25"/>
        <w:autoSpaceDE/>
        <w:autoSpaceDN/>
        <w:rPr>
          <w:rFonts w:hint="eastAsia"/>
        </w:rPr>
      </w:pPr>
      <w:r>
        <w:rPr>
          <w:rFonts w:hint="eastAsia"/>
        </w:rPr>
        <w:t>模块化数据中心</w:t>
      </w:r>
      <w:r>
        <w:rPr>
          <w:rFonts w:hint="eastAsia"/>
          <w:lang w:val="en-US" w:eastAsia="zh-CN"/>
        </w:rPr>
        <w:t>产品</w:t>
      </w:r>
      <w:r>
        <w:rPr>
          <w:rFonts w:hint="eastAsia"/>
        </w:rPr>
        <w:t>由模块化的功能模块组成，包括：机柜及通道系统、供配电系统、制冷系统、综合监控系统、照明系统、防雷与接地系统等功能模块，具体要求如下：</w:t>
      </w:r>
    </w:p>
    <w:p w14:paraId="6A37FBB0">
      <w:pPr>
        <w:pStyle w:val="25"/>
        <w:numPr>
          <w:ilvl w:val="0"/>
          <w:numId w:val="24"/>
        </w:numPr>
        <w:tabs>
          <w:tab w:val="left" w:pos="420"/>
        </w:tabs>
        <w:autoSpaceDE/>
        <w:autoSpaceDN/>
        <w:spacing w:line="320" w:lineRule="exact"/>
        <w:ind w:left="420" w:leftChars="200" w:firstLine="0" w:firstLineChars="0"/>
        <w:jc w:val="left"/>
      </w:pPr>
      <w:r>
        <w:rPr>
          <w:rFonts w:hint="eastAsia"/>
          <w:color w:val="000000"/>
          <w:lang w:val="en-US" w:eastAsia="zh-CN"/>
        </w:rPr>
        <w:t xml:space="preserve"> </w:t>
      </w:r>
      <w:r>
        <w:rPr>
          <w:color w:val="000000"/>
        </w:rPr>
        <w:t>模块化数据中心</w:t>
      </w:r>
      <w:r>
        <w:rPr>
          <w:rFonts w:hint="eastAsia"/>
        </w:rPr>
        <w:t>各连接件、紧固件、焊缝不应存在松动、裂纹、损伤等现象</w:t>
      </w:r>
      <w:r>
        <w:rPr>
          <w:rFonts w:hint="eastAsia"/>
          <w:color w:val="000000"/>
        </w:rPr>
        <w:t>；</w:t>
      </w:r>
    </w:p>
    <w:p w14:paraId="1B47A1FB">
      <w:pPr>
        <w:pStyle w:val="25"/>
        <w:numPr>
          <w:ilvl w:val="0"/>
          <w:numId w:val="24"/>
        </w:numPr>
        <w:tabs>
          <w:tab w:val="left" w:pos="420"/>
        </w:tabs>
        <w:autoSpaceDE/>
        <w:autoSpaceDN/>
        <w:spacing w:line="320" w:lineRule="exact"/>
        <w:ind w:left="420" w:leftChars="200" w:firstLine="0" w:firstLineChars="0"/>
        <w:jc w:val="left"/>
        <w:rPr>
          <w:rFonts w:hint="eastAsia"/>
          <w:color w:val="000000"/>
        </w:rPr>
      </w:pPr>
      <w:r>
        <w:rPr>
          <w:rFonts w:hint="eastAsia"/>
          <w:color w:val="000000"/>
          <w:lang w:val="en-US" w:eastAsia="zh-CN"/>
        </w:rPr>
        <w:t xml:space="preserve"> </w:t>
      </w:r>
      <w:r>
        <w:rPr>
          <w:rFonts w:hint="eastAsia"/>
          <w:color w:val="000000"/>
        </w:rPr>
        <w:t>模块化数据中心金属件应无毛刺、裂边、卷边、锈蚀，非金属件应无毛刺，龟裂</w:t>
      </w:r>
      <w:r>
        <w:rPr>
          <w:rFonts w:hint="eastAsia"/>
          <w:color w:val="000000"/>
          <w:lang w:eastAsia="zh-CN"/>
        </w:rPr>
        <w:t>；</w:t>
      </w:r>
    </w:p>
    <w:p w14:paraId="5D6B5872">
      <w:pPr>
        <w:pStyle w:val="25"/>
        <w:numPr>
          <w:ilvl w:val="0"/>
          <w:numId w:val="24"/>
        </w:numPr>
        <w:tabs>
          <w:tab w:val="left" w:pos="420"/>
        </w:tabs>
        <w:autoSpaceDE/>
        <w:autoSpaceDN/>
        <w:spacing w:line="320" w:lineRule="exact"/>
        <w:ind w:left="420" w:leftChars="200" w:firstLine="0" w:firstLineChars="0"/>
        <w:jc w:val="left"/>
      </w:pPr>
      <w:r>
        <w:rPr>
          <w:rFonts w:hint="eastAsia"/>
          <w:color w:val="000000"/>
          <w:lang w:val="en-US" w:eastAsia="zh-CN"/>
        </w:rPr>
        <w:t xml:space="preserve"> </w:t>
      </w:r>
      <w:r>
        <w:rPr>
          <w:color w:val="000000"/>
        </w:rPr>
        <w:t>模块化数据中心</w:t>
      </w:r>
      <w:r>
        <w:rPr>
          <w:rFonts w:hint="eastAsia"/>
        </w:rPr>
        <w:t>宜作为一个独立产品进行整体设计，</w:t>
      </w:r>
      <w:r>
        <w:rPr>
          <w:rFonts w:hint="eastAsia"/>
          <w:color w:val="000000"/>
        </w:rPr>
        <w:t>外观具备一致性，</w:t>
      </w:r>
      <w:r>
        <w:rPr>
          <w:rFonts w:hint="eastAsia"/>
        </w:rPr>
        <w:t>机柜及通道系统、制冷系统、供配电系统等结构具有尺寸一致性，维护操作屏体验一致性，设计合理方便操作，满足人体工学设计</w:t>
      </w:r>
      <w:r>
        <w:rPr>
          <w:rFonts w:hint="eastAsia"/>
          <w:color w:val="000000"/>
        </w:rPr>
        <w:t>；</w:t>
      </w:r>
    </w:p>
    <w:p w14:paraId="47855CEA">
      <w:pPr>
        <w:pStyle w:val="25"/>
        <w:numPr>
          <w:ilvl w:val="0"/>
          <w:numId w:val="24"/>
        </w:numPr>
        <w:tabs>
          <w:tab w:val="left" w:pos="420"/>
        </w:tabs>
        <w:autoSpaceDE/>
        <w:autoSpaceDN/>
        <w:spacing w:line="320" w:lineRule="exact"/>
        <w:ind w:left="420" w:leftChars="200" w:firstLine="0" w:firstLineChars="0"/>
        <w:jc w:val="left"/>
      </w:pPr>
      <w:r>
        <w:rPr>
          <w:rFonts w:hint="eastAsia"/>
          <w:color w:val="000000"/>
          <w:lang w:val="en-US" w:eastAsia="zh-CN"/>
        </w:rPr>
        <w:t xml:space="preserve"> </w:t>
      </w:r>
      <w:r>
        <w:rPr>
          <w:color w:val="000000"/>
        </w:rPr>
        <w:t>模块化数据中心</w:t>
      </w:r>
      <w:r>
        <w:rPr>
          <w:rFonts w:hint="eastAsia"/>
          <w:color w:val="000000"/>
        </w:rPr>
        <w:t>宜</w:t>
      </w:r>
      <w:r>
        <w:rPr>
          <w:rFonts w:hint="eastAsia"/>
        </w:rPr>
        <w:t>具有必要的警告标识、指示标识、供配电及空调设备铭牌等标志标识，所有标志标识、文字符号清晰易见、正确、整齐</w:t>
      </w:r>
      <w:r>
        <w:rPr>
          <w:rFonts w:hint="eastAsia"/>
          <w:lang w:eastAsia="zh-CN"/>
        </w:rPr>
        <w:t>，</w:t>
      </w:r>
      <w:r>
        <w:rPr>
          <w:rFonts w:hint="eastAsia"/>
        </w:rPr>
        <w:t>标志标识内容样式、命名方式前后统一、便于区分</w:t>
      </w:r>
      <w:r>
        <w:rPr>
          <w:rFonts w:hint="eastAsia"/>
          <w:color w:val="000000"/>
        </w:rPr>
        <w:t>；</w:t>
      </w:r>
    </w:p>
    <w:p w14:paraId="20CF0C84">
      <w:pPr>
        <w:pStyle w:val="177"/>
        <w:numPr>
          <w:ilvl w:val="0"/>
          <w:numId w:val="24"/>
        </w:numPr>
        <w:tabs>
          <w:tab w:val="left" w:pos="805"/>
        </w:tabs>
        <w:spacing w:line="320" w:lineRule="exact"/>
        <w:ind w:left="420" w:leftChars="200" w:firstLine="0"/>
        <w:jc w:val="left"/>
        <w:rPr>
          <w:color w:val="000000"/>
        </w:rPr>
      </w:pPr>
      <w:r>
        <w:rPr>
          <w:rFonts w:hint="eastAsia"/>
          <w:color w:val="000000"/>
          <w:lang w:val="en-US" w:eastAsia="zh-CN"/>
        </w:rPr>
        <w:t xml:space="preserve"> </w:t>
      </w:r>
      <w:r>
        <w:rPr>
          <w:color w:val="000000"/>
        </w:rPr>
        <w:t>模块化数据中心内机柜及通道系统、制冷系统、供</w:t>
      </w:r>
      <w:r>
        <w:rPr>
          <w:rFonts w:hint="eastAsia"/>
          <w:color w:val="000000"/>
        </w:rPr>
        <w:t>配</w:t>
      </w:r>
      <w:r>
        <w:rPr>
          <w:color w:val="000000"/>
        </w:rPr>
        <w:t>电系统</w:t>
      </w:r>
      <w:r>
        <w:rPr>
          <w:rFonts w:hint="eastAsia"/>
          <w:color w:val="000000"/>
        </w:rPr>
        <w:t>宜</w:t>
      </w:r>
      <w:r>
        <w:rPr>
          <w:color w:val="000000"/>
        </w:rPr>
        <w:t>具有</w:t>
      </w:r>
      <w:r>
        <w:rPr>
          <w:rFonts w:hint="eastAsia"/>
          <w:color w:val="000000"/>
        </w:rPr>
        <w:t>色差一致性，</w:t>
      </w:r>
      <w:r>
        <w:rPr>
          <w:rFonts w:hint="eastAsia"/>
        </w:rPr>
        <w:t>表面不应存在脱层、空洞、剥皮、粉化、分层、鼓泡、碎裂、翘曲、戳穿、损伤、变形等缺陷</w:t>
      </w:r>
      <w:r>
        <w:rPr>
          <w:rFonts w:hint="eastAsia"/>
          <w:color w:val="000000"/>
        </w:rPr>
        <w:t>；</w:t>
      </w:r>
    </w:p>
    <w:p w14:paraId="7076A9A1">
      <w:pPr>
        <w:pStyle w:val="177"/>
        <w:numPr>
          <w:ilvl w:val="0"/>
          <w:numId w:val="24"/>
        </w:numPr>
        <w:tabs>
          <w:tab w:val="left" w:pos="805"/>
        </w:tabs>
        <w:spacing w:line="320" w:lineRule="exact"/>
        <w:ind w:left="420" w:leftChars="200" w:firstLine="0"/>
        <w:jc w:val="left"/>
        <w:rPr>
          <w:color w:val="000000"/>
        </w:rPr>
      </w:pPr>
      <w:r>
        <w:rPr>
          <w:rFonts w:hint="eastAsia"/>
          <w:color w:val="000000"/>
          <w:lang w:val="en-US" w:eastAsia="zh-CN"/>
        </w:rPr>
        <w:t xml:space="preserve"> </w:t>
      </w:r>
      <w:r>
        <w:rPr>
          <w:color w:val="000000"/>
        </w:rPr>
        <w:t>模块化数据中心内机柜及通道系统、制冷系统、供</w:t>
      </w:r>
      <w:r>
        <w:rPr>
          <w:rFonts w:hint="eastAsia"/>
          <w:color w:val="000000"/>
        </w:rPr>
        <w:t>配</w:t>
      </w:r>
      <w:r>
        <w:rPr>
          <w:color w:val="000000"/>
        </w:rPr>
        <w:t>电系统</w:t>
      </w:r>
      <w:r>
        <w:rPr>
          <w:rFonts w:hint="eastAsia"/>
          <w:color w:val="000000"/>
        </w:rPr>
        <w:t>宜</w:t>
      </w:r>
      <w:r>
        <w:rPr>
          <w:color w:val="000000"/>
        </w:rPr>
        <w:t>具有良好的气密性，IT</w:t>
      </w:r>
      <w:r>
        <w:rPr>
          <w:rFonts w:hint="eastAsia"/>
          <w:color w:val="000000"/>
        </w:rPr>
        <w:t>机柜中未安装设备空间</w:t>
      </w:r>
      <w:r>
        <w:rPr>
          <w:rFonts w:hint="eastAsia"/>
          <w:color w:val="000000"/>
          <w:lang w:val="en-US" w:eastAsia="zh-CN"/>
        </w:rPr>
        <w:t>应</w:t>
      </w:r>
      <w:r>
        <w:rPr>
          <w:rFonts w:hint="eastAsia"/>
          <w:color w:val="000000"/>
        </w:rPr>
        <w:t>安装盲板，设备面板无漏风，</w:t>
      </w:r>
      <w:r>
        <w:rPr>
          <w:color w:val="000000"/>
        </w:rPr>
        <w:t>机柜与设备</w:t>
      </w:r>
      <w:r>
        <w:rPr>
          <w:rFonts w:hint="eastAsia"/>
          <w:color w:val="000000"/>
        </w:rPr>
        <w:t>、密封通道件</w:t>
      </w:r>
      <w:r>
        <w:rPr>
          <w:color w:val="000000"/>
        </w:rPr>
        <w:t>之间</w:t>
      </w:r>
      <w:r>
        <w:rPr>
          <w:rFonts w:hint="eastAsia"/>
          <w:color w:val="000000"/>
        </w:rPr>
        <w:t>的</w:t>
      </w:r>
      <w:r>
        <w:rPr>
          <w:color w:val="000000"/>
        </w:rPr>
        <w:t>并柜间隙</w:t>
      </w:r>
      <w:r>
        <w:rPr>
          <w:rFonts w:hint="eastAsia"/>
          <w:color w:val="000000"/>
          <w:lang w:val="en-US" w:eastAsia="zh-CN"/>
        </w:rPr>
        <w:t>应</w:t>
      </w:r>
      <w:r>
        <w:t>≤2mm</w:t>
      </w:r>
      <w:r>
        <w:rPr>
          <w:rFonts w:hint="eastAsia"/>
          <w:color w:val="000000"/>
        </w:rPr>
        <w:t>；</w:t>
      </w:r>
    </w:p>
    <w:p w14:paraId="6AAC3BA1">
      <w:pPr>
        <w:pStyle w:val="177"/>
        <w:numPr>
          <w:ilvl w:val="0"/>
          <w:numId w:val="24"/>
        </w:numPr>
        <w:tabs>
          <w:tab w:val="left" w:pos="805"/>
        </w:tabs>
        <w:spacing w:line="320" w:lineRule="exact"/>
        <w:ind w:left="420" w:leftChars="200" w:firstLine="0"/>
        <w:jc w:val="left"/>
        <w:rPr>
          <w:color w:val="000000"/>
        </w:rPr>
      </w:pPr>
      <w:r>
        <w:rPr>
          <w:rFonts w:hint="eastAsia"/>
          <w:color w:val="000000"/>
          <w:lang w:val="en-US" w:eastAsia="zh-CN"/>
        </w:rPr>
        <w:t xml:space="preserve"> </w:t>
      </w:r>
      <w:r>
        <w:rPr>
          <w:color w:val="000000"/>
        </w:rPr>
        <w:t>模块化数据中心</w:t>
      </w:r>
      <w:r>
        <w:rPr>
          <w:rFonts w:hint="eastAsia"/>
        </w:rPr>
        <w:t>制冷系统、供配电系统综合监控系统操作界面风格体验宜具备一致性。</w:t>
      </w:r>
    </w:p>
    <w:p w14:paraId="7FF7FDFB">
      <w:pPr>
        <w:pStyle w:val="46"/>
        <w:spacing w:before="156" w:after="156"/>
        <w:outlineLvl w:val="1"/>
        <w:rPr>
          <w:rFonts w:hAnsi="黑体" w:cs="黑体"/>
          <w:bCs/>
          <w:szCs w:val="22"/>
        </w:rPr>
      </w:pPr>
      <w:r>
        <w:rPr>
          <w:rFonts w:hint="eastAsia" w:hAnsi="黑体" w:cs="黑体"/>
          <w:bCs/>
          <w:szCs w:val="22"/>
          <w:lang w:val="en-US" w:eastAsia="zh-CN"/>
        </w:rPr>
        <w:t>产品</w:t>
      </w:r>
      <w:r>
        <w:rPr>
          <w:rFonts w:hint="eastAsia" w:hAnsi="黑体" w:cs="黑体"/>
          <w:bCs/>
          <w:szCs w:val="22"/>
        </w:rPr>
        <w:t>智能化要求</w:t>
      </w:r>
    </w:p>
    <w:p w14:paraId="49BE440F">
      <w:pPr>
        <w:pStyle w:val="177"/>
        <w:spacing w:line="240" w:lineRule="auto"/>
        <w:ind w:firstLine="420"/>
        <w:jc w:val="both"/>
      </w:pPr>
      <w:r>
        <w:rPr>
          <w:color w:val="000000"/>
        </w:rPr>
        <w:t>模块化数据中心</w:t>
      </w:r>
      <w:r>
        <w:rPr>
          <w:rFonts w:hint="eastAsia"/>
          <w:color w:val="000000"/>
          <w:lang w:val="en-US" w:eastAsia="zh-CN"/>
        </w:rPr>
        <w:t>产品</w:t>
      </w:r>
      <w:r>
        <w:rPr>
          <w:rFonts w:hint="eastAsia"/>
          <w:color w:val="000000"/>
        </w:rPr>
        <w:t>智能化</w:t>
      </w:r>
      <w:r>
        <w:rPr>
          <w:color w:val="000000"/>
        </w:rPr>
        <w:t>要求如下</w:t>
      </w:r>
      <w:r>
        <w:rPr>
          <w:rFonts w:hint="eastAsia"/>
          <w:color w:val="000000"/>
        </w:rPr>
        <w:t>：</w:t>
      </w:r>
    </w:p>
    <w:p w14:paraId="21FFF7ED">
      <w:pPr>
        <w:pStyle w:val="177"/>
        <w:numPr>
          <w:ilvl w:val="1"/>
          <w:numId w:val="25"/>
        </w:numPr>
        <w:tabs>
          <w:tab w:val="left" w:pos="805"/>
        </w:tabs>
        <w:spacing w:line="320" w:lineRule="exact"/>
        <w:ind w:left="839"/>
        <w:jc w:val="both"/>
        <w:rPr>
          <w:color w:val="000000"/>
        </w:rPr>
      </w:pPr>
      <w:r>
        <w:rPr>
          <w:rFonts w:hint="eastAsia"/>
          <w:color w:val="000000"/>
        </w:rPr>
        <w:t>模块化数据中心</w:t>
      </w:r>
      <w:r>
        <w:rPr>
          <w:rFonts w:hint="eastAsia"/>
          <w:color w:val="000000"/>
          <w:lang w:val="en-US" w:eastAsia="zh-CN"/>
        </w:rPr>
        <w:t>产品</w:t>
      </w:r>
      <w:r>
        <w:rPr>
          <w:rFonts w:hint="eastAsia"/>
          <w:color w:val="000000"/>
        </w:rPr>
        <w:t>应能与消防系统联动，在紧急情况时可支持消防系统与通道、精密空调等设备联动控制</w:t>
      </w:r>
      <w:r>
        <w:rPr>
          <w:rFonts w:hint="eastAsia"/>
          <w:color w:val="000000"/>
          <w:lang w:eastAsia="zh-CN"/>
        </w:rPr>
        <w:t>；</w:t>
      </w:r>
    </w:p>
    <w:p w14:paraId="16A00C78">
      <w:pPr>
        <w:pStyle w:val="177"/>
        <w:numPr>
          <w:ilvl w:val="1"/>
          <w:numId w:val="25"/>
        </w:numPr>
        <w:tabs>
          <w:tab w:val="left" w:pos="805"/>
        </w:tabs>
        <w:spacing w:line="320" w:lineRule="exact"/>
        <w:ind w:left="839"/>
        <w:jc w:val="both"/>
        <w:rPr>
          <w:color w:val="000000"/>
        </w:rPr>
      </w:pPr>
      <w:r>
        <w:rPr>
          <w:color w:val="000000"/>
        </w:rPr>
        <w:t>模块化数据中心</w:t>
      </w:r>
      <w:r>
        <w:rPr>
          <w:rFonts w:hint="eastAsia"/>
          <w:color w:val="000000"/>
        </w:rPr>
        <w:t>宜</w:t>
      </w:r>
      <w:r>
        <w:rPr>
          <w:rFonts w:hint="eastAsia"/>
        </w:rPr>
        <w:t>支持移动智能管理，随时可获取模块化数据中心</w:t>
      </w:r>
      <w:r>
        <w:t>内环境参数、</w:t>
      </w:r>
      <w:r>
        <w:rPr>
          <w:rFonts w:hint="eastAsia"/>
        </w:rPr>
        <w:t>制冷系统参数、</w:t>
      </w:r>
      <w:r>
        <w:t>供电系统参数、安防信息及消防报警等信息</w:t>
      </w:r>
      <w:r>
        <w:rPr>
          <w:rFonts w:hint="eastAsia"/>
        </w:rPr>
        <w:t>运行状态</w:t>
      </w:r>
      <w:r>
        <w:rPr>
          <w:rFonts w:hint="eastAsia"/>
          <w:color w:val="000000"/>
        </w:rPr>
        <w:t>；</w:t>
      </w:r>
    </w:p>
    <w:p w14:paraId="5F4E1E6A">
      <w:pPr>
        <w:pStyle w:val="177"/>
        <w:numPr>
          <w:ilvl w:val="1"/>
          <w:numId w:val="25"/>
        </w:numPr>
        <w:tabs>
          <w:tab w:val="left" w:pos="805"/>
        </w:tabs>
        <w:spacing w:line="320" w:lineRule="exact"/>
        <w:ind w:left="839"/>
        <w:jc w:val="both"/>
        <w:rPr>
          <w:color w:val="000000"/>
        </w:rPr>
      </w:pPr>
      <w:r>
        <w:rPr>
          <w:color w:val="000000"/>
        </w:rPr>
        <w:t>模块化数据中心</w:t>
      </w:r>
      <w:r>
        <w:rPr>
          <w:rFonts w:hint="eastAsia"/>
          <w:color w:val="000000"/>
        </w:rPr>
        <w:t>宜</w:t>
      </w:r>
      <w:r>
        <w:rPr>
          <w:rFonts w:hint="eastAsia"/>
        </w:rPr>
        <w:t>有报警联动的智能指示，可根据运行不同状态显示不同颜色</w:t>
      </w:r>
      <w:r>
        <w:rPr>
          <w:rFonts w:hint="eastAsia"/>
          <w:color w:val="000000"/>
        </w:rPr>
        <w:t>；</w:t>
      </w:r>
    </w:p>
    <w:p w14:paraId="51F244C3">
      <w:pPr>
        <w:pStyle w:val="177"/>
        <w:numPr>
          <w:ilvl w:val="1"/>
          <w:numId w:val="25"/>
        </w:numPr>
        <w:tabs>
          <w:tab w:val="left" w:pos="805"/>
        </w:tabs>
        <w:spacing w:line="320" w:lineRule="exact"/>
        <w:ind w:left="839"/>
        <w:jc w:val="both"/>
      </w:pPr>
      <w:r>
        <w:rPr>
          <w:color w:val="000000"/>
        </w:rPr>
        <w:t>模块化数据中心</w:t>
      </w:r>
      <w:r>
        <w:rPr>
          <w:rFonts w:hint="eastAsia"/>
          <w:color w:val="000000"/>
        </w:rPr>
        <w:t>宜</w:t>
      </w:r>
      <w:r>
        <w:rPr>
          <w:rFonts w:hint="eastAsia"/>
        </w:rPr>
        <w:t>具有照明智能控制系统，具备人来灯亮、人走灯延时灭的功能</w:t>
      </w:r>
      <w:r>
        <w:rPr>
          <w:rFonts w:hint="eastAsia"/>
          <w:color w:val="000000"/>
        </w:rPr>
        <w:t>；</w:t>
      </w:r>
    </w:p>
    <w:p w14:paraId="36684680">
      <w:pPr>
        <w:pStyle w:val="177"/>
        <w:numPr>
          <w:ilvl w:val="1"/>
          <w:numId w:val="25"/>
        </w:numPr>
        <w:tabs>
          <w:tab w:val="left" w:pos="805"/>
        </w:tabs>
        <w:spacing w:line="320" w:lineRule="exact"/>
        <w:ind w:left="839"/>
        <w:jc w:val="both"/>
        <w:rPr>
          <w:color w:val="000000"/>
        </w:rPr>
      </w:pPr>
      <w:bookmarkStart w:id="49" w:name="_Toc166092714"/>
      <w:r>
        <w:rPr>
          <w:color w:val="000000"/>
        </w:rPr>
        <w:t>模块化数据中心</w:t>
      </w:r>
      <w:r>
        <w:rPr>
          <w:rFonts w:hint="eastAsia"/>
          <w:color w:val="000000"/>
        </w:rPr>
        <w:t>宜支持事故快速定界能力，支持告警收敛能力；</w:t>
      </w:r>
    </w:p>
    <w:p w14:paraId="4CF26F85">
      <w:pPr>
        <w:pStyle w:val="177"/>
        <w:numPr>
          <w:ilvl w:val="1"/>
          <w:numId w:val="25"/>
        </w:numPr>
        <w:tabs>
          <w:tab w:val="left" w:pos="805"/>
        </w:tabs>
        <w:spacing w:line="320" w:lineRule="exact"/>
        <w:ind w:left="839"/>
        <w:jc w:val="both"/>
        <w:rPr>
          <w:color w:val="000000"/>
        </w:rPr>
      </w:pPr>
      <w:r>
        <w:rPr>
          <w:color w:val="000000"/>
        </w:rPr>
        <w:t>模块化数据中心</w:t>
      </w:r>
      <w:r>
        <w:rPr>
          <w:rFonts w:hint="eastAsia"/>
          <w:color w:val="000000"/>
        </w:rPr>
        <w:t>宜支持冷媒泄露检测、低载除湿能力；</w:t>
      </w:r>
    </w:p>
    <w:p w14:paraId="649E9013">
      <w:pPr>
        <w:pStyle w:val="177"/>
        <w:numPr>
          <w:ilvl w:val="1"/>
          <w:numId w:val="25"/>
        </w:numPr>
        <w:tabs>
          <w:tab w:val="left" w:pos="805"/>
        </w:tabs>
        <w:spacing w:line="320" w:lineRule="exact"/>
        <w:ind w:left="839"/>
        <w:jc w:val="both"/>
        <w:rPr>
          <w:rFonts w:hint="eastAsia"/>
          <w:color w:val="000000"/>
        </w:rPr>
      </w:pPr>
      <w:r>
        <w:rPr>
          <w:color w:val="000000"/>
        </w:rPr>
        <w:t>模块化数据中心</w:t>
      </w:r>
      <w:r>
        <w:rPr>
          <w:rFonts w:hint="eastAsia"/>
          <w:color w:val="000000"/>
        </w:rPr>
        <w:t>宜支持制冷能效管理，支持AI自动调节，AI模型支持在线实时训练与优化。</w:t>
      </w:r>
    </w:p>
    <w:p w14:paraId="50BFE64C">
      <w:pPr>
        <w:pStyle w:val="46"/>
        <w:spacing w:before="156" w:after="156"/>
        <w:outlineLvl w:val="1"/>
        <w:rPr>
          <w:rFonts w:hAnsi="黑体" w:cs="黑体"/>
          <w:bCs/>
          <w:strike w:val="0"/>
          <w:dstrike w:val="0"/>
          <w:szCs w:val="22"/>
        </w:rPr>
      </w:pPr>
      <w:r>
        <w:rPr>
          <w:rFonts w:hint="eastAsia"/>
          <w:strike w:val="0"/>
          <w:dstrike w:val="0"/>
          <w:lang w:val="en-US" w:eastAsia="zh-CN"/>
        </w:rPr>
        <w:t>产品网络安全要</w:t>
      </w:r>
      <w:r>
        <w:rPr>
          <w:rFonts w:hint="eastAsia"/>
          <w:strike w:val="0"/>
          <w:dstrike w:val="0"/>
          <w:lang w:val="en-US" w:eastAsia="zh-CN"/>
        </w:rPr>
        <w:t>求</w:t>
      </w:r>
    </w:p>
    <w:p w14:paraId="6DC5F736">
      <w:pPr>
        <w:pStyle w:val="177"/>
        <w:keepNext w:val="0"/>
        <w:keepLines w:val="0"/>
        <w:pageBreakBefore w:val="0"/>
        <w:widowControl w:val="0"/>
        <w:numPr>
          <w:ilvl w:val="0"/>
          <w:numId w:val="26"/>
        </w:numPr>
        <w:tabs>
          <w:tab w:val="left" w:pos="805"/>
        </w:tabs>
        <w:kinsoku/>
        <w:wordWrap/>
        <w:overflowPunct/>
        <w:topLinePunct w:val="0"/>
        <w:autoSpaceDE/>
        <w:autoSpaceDN/>
        <w:bidi w:val="0"/>
        <w:adjustRightInd/>
        <w:snapToGrid/>
        <w:spacing w:line="320" w:lineRule="exact"/>
        <w:ind w:left="839" w:leftChars="0" w:hanging="420"/>
        <w:jc w:val="left"/>
        <w:textAlignment w:val="auto"/>
        <w:rPr>
          <w:color w:val="000000"/>
        </w:rPr>
      </w:pPr>
      <w:r>
        <w:rPr>
          <w:rFonts w:hint="eastAsia"/>
          <w:color w:val="000000"/>
        </w:rPr>
        <w:t xml:space="preserve"> 动力环境监控系统的控制器应采用满足TRIMPS-ZY04-001《社会公主共安全领域自愿性认证实施规则智能联网产品（网络安全）》（终端增强级）要求的产品</w:t>
      </w:r>
      <w:r>
        <w:rPr>
          <w:rFonts w:hint="eastAsia"/>
          <w:color w:val="000000"/>
          <w:lang w:eastAsia="zh-CN"/>
        </w:rPr>
        <w:t>；</w:t>
      </w:r>
    </w:p>
    <w:p w14:paraId="1AC6EA66">
      <w:pPr>
        <w:pStyle w:val="177"/>
        <w:keepNext w:val="0"/>
        <w:keepLines w:val="0"/>
        <w:pageBreakBefore w:val="0"/>
        <w:widowControl w:val="0"/>
        <w:numPr>
          <w:ilvl w:val="0"/>
          <w:numId w:val="26"/>
        </w:numPr>
        <w:tabs>
          <w:tab w:val="left" w:pos="805"/>
        </w:tabs>
        <w:kinsoku/>
        <w:wordWrap/>
        <w:overflowPunct/>
        <w:topLinePunct w:val="0"/>
        <w:autoSpaceDE/>
        <w:autoSpaceDN/>
        <w:bidi w:val="0"/>
        <w:adjustRightInd/>
        <w:snapToGrid/>
        <w:spacing w:line="320" w:lineRule="exact"/>
        <w:ind w:left="839" w:leftChars="0" w:hanging="420"/>
        <w:jc w:val="left"/>
        <w:textAlignment w:val="auto"/>
        <w:rPr>
          <w:color w:val="000000"/>
        </w:rPr>
      </w:pPr>
      <w:r>
        <w:rPr>
          <w:rFonts w:hint="eastAsia"/>
          <w:color w:val="000000"/>
          <w:lang w:val="en-US" w:eastAsia="zh-CN"/>
        </w:rPr>
        <w:t xml:space="preserve"> </w:t>
      </w:r>
      <w:r>
        <w:rPr>
          <w:rFonts w:hint="eastAsia"/>
          <w:color w:val="000000"/>
        </w:rPr>
        <w:t>不间断电源宜采用满足TRIMPS-ZY04-001《社会公主共安全领域自愿性认证实施规则智能联网产品（网络安全）》（终端增强级）要求的产品；</w:t>
      </w:r>
    </w:p>
    <w:p w14:paraId="0248CB59">
      <w:pPr>
        <w:pStyle w:val="177"/>
        <w:keepNext w:val="0"/>
        <w:keepLines w:val="0"/>
        <w:pageBreakBefore w:val="0"/>
        <w:widowControl w:val="0"/>
        <w:numPr>
          <w:ilvl w:val="0"/>
          <w:numId w:val="26"/>
        </w:numPr>
        <w:tabs>
          <w:tab w:val="left" w:pos="805"/>
        </w:tabs>
        <w:kinsoku/>
        <w:wordWrap/>
        <w:overflowPunct/>
        <w:topLinePunct w:val="0"/>
        <w:autoSpaceDE/>
        <w:autoSpaceDN/>
        <w:bidi w:val="0"/>
        <w:adjustRightInd/>
        <w:snapToGrid/>
        <w:spacing w:line="320" w:lineRule="exact"/>
        <w:ind w:left="839" w:leftChars="0" w:hanging="420"/>
        <w:jc w:val="left"/>
        <w:textAlignment w:val="auto"/>
        <w:rPr>
          <w:color w:val="000000"/>
        </w:rPr>
      </w:pPr>
      <w:r>
        <w:rPr>
          <w:rFonts w:hint="eastAsia"/>
          <w:color w:val="000000"/>
          <w:lang w:val="en-US" w:eastAsia="zh-CN"/>
        </w:rPr>
        <w:t xml:space="preserve"> 制冷系统宜采用满足TRIMPS-ZY04-001《社会公主共安全领域自愿性认证实施规则智能联网产品（网络安全）》（终端增强级）要求的产品；</w:t>
      </w:r>
    </w:p>
    <w:p w14:paraId="1556712E">
      <w:pPr>
        <w:pStyle w:val="49"/>
        <w:spacing w:before="312" w:after="312"/>
        <w:outlineLvl w:val="0"/>
      </w:pPr>
      <w:r>
        <w:rPr>
          <w:rFonts w:hint="eastAsia"/>
        </w:rPr>
        <w:t>模块化测试方法</w:t>
      </w:r>
      <w:bookmarkEnd w:id="49"/>
    </w:p>
    <w:p w14:paraId="4556969D">
      <w:pPr>
        <w:pStyle w:val="46"/>
        <w:spacing w:before="156" w:after="156"/>
        <w:outlineLvl w:val="1"/>
        <w:rPr>
          <w:rFonts w:hAnsi="黑体" w:cs="黑体"/>
          <w:bCs/>
          <w:szCs w:val="22"/>
        </w:rPr>
      </w:pPr>
      <w:r>
        <w:rPr>
          <w:rFonts w:hint="eastAsia" w:hAnsi="黑体" w:cs="黑体"/>
          <w:bCs/>
          <w:szCs w:val="22"/>
          <w:lang w:val="en-US" w:eastAsia="zh-CN"/>
        </w:rPr>
        <w:t>产品整体</w:t>
      </w:r>
      <w:r>
        <w:rPr>
          <w:rFonts w:hint="eastAsia" w:hAnsi="黑体" w:cs="黑体"/>
          <w:bCs/>
          <w:szCs w:val="22"/>
        </w:rPr>
        <w:t>相关特性测试</w:t>
      </w:r>
    </w:p>
    <w:p w14:paraId="5707ADD3">
      <w:pPr>
        <w:pStyle w:val="172"/>
        <w:ind w:left="0"/>
        <w:jc w:val="left"/>
        <w:outlineLvl w:val="2"/>
        <w:rPr>
          <w:rFonts w:ascii="黑体" w:hAnsi="黑体" w:eastAsia="黑体" w:cs="黑体"/>
        </w:rPr>
      </w:pPr>
      <w:r>
        <w:rPr>
          <w:rFonts w:hint="eastAsia" w:ascii="黑体" w:hAnsi="黑体" w:eastAsia="黑体" w:cs="黑体"/>
        </w:rPr>
        <w:t>机柜及通道检查与试验</w:t>
      </w:r>
    </w:p>
    <w:p w14:paraId="1050FD7B">
      <w:pPr>
        <w:pStyle w:val="177"/>
        <w:numPr>
          <w:ilvl w:val="255"/>
          <w:numId w:val="0"/>
        </w:numPr>
        <w:tabs>
          <w:tab w:val="left" w:pos="805"/>
        </w:tabs>
        <w:spacing w:line="320" w:lineRule="exact"/>
        <w:ind w:left="820" w:leftChars="200" w:hanging="400" w:hangingChars="200"/>
        <w:jc w:val="left"/>
        <w:outlineLvl w:val="9"/>
        <w:rPr>
          <w:rFonts w:hint="eastAsia"/>
        </w:rPr>
      </w:pPr>
      <w:r>
        <w:rPr>
          <w:rFonts w:hint="eastAsia"/>
        </w:rPr>
        <w:t>试验设备</w:t>
      </w:r>
    </w:p>
    <w:p w14:paraId="439DC197">
      <w:pPr>
        <w:pStyle w:val="177"/>
        <w:numPr>
          <w:ilvl w:val="255"/>
          <w:numId w:val="0"/>
        </w:numPr>
        <w:tabs>
          <w:tab w:val="left" w:pos="805"/>
        </w:tabs>
        <w:spacing w:line="320" w:lineRule="exact"/>
        <w:ind w:left="820" w:leftChars="200" w:hanging="400" w:hangingChars="200"/>
        <w:jc w:val="left"/>
        <w:outlineLvl w:val="9"/>
        <w:rPr>
          <w:rFonts w:hint="eastAsia"/>
        </w:rPr>
      </w:pPr>
      <w:r>
        <w:rPr>
          <w:rFonts w:hint="eastAsia"/>
        </w:rPr>
        <w:t>试验设备如下：</w:t>
      </w:r>
    </w:p>
    <w:p w14:paraId="399FED01">
      <w:pPr>
        <w:pStyle w:val="177"/>
        <w:numPr>
          <w:ilvl w:val="0"/>
          <w:numId w:val="27"/>
        </w:numPr>
        <w:tabs>
          <w:tab w:val="left" w:pos="805"/>
        </w:tabs>
        <w:spacing w:line="320" w:lineRule="exact"/>
        <w:ind w:left="820" w:leftChars="200" w:hanging="400" w:hangingChars="200"/>
        <w:jc w:val="left"/>
        <w:outlineLvl w:val="9"/>
        <w:rPr>
          <w:rFonts w:hint="eastAsia" w:eastAsia="宋体"/>
          <w:lang w:eastAsia="zh-CN"/>
        </w:rPr>
      </w:pPr>
      <w:r>
        <w:rPr>
          <w:rFonts w:hint="eastAsia"/>
          <w:lang w:val="en-US" w:eastAsia="zh-CN"/>
        </w:rPr>
        <w:t xml:space="preserve"> </w:t>
      </w:r>
      <w:r>
        <w:rPr>
          <w:rFonts w:hint="eastAsia"/>
        </w:rPr>
        <w:t>卷尺：Ⅱ级</w:t>
      </w:r>
      <w:r>
        <w:rPr>
          <w:rFonts w:hint="eastAsia"/>
          <w:lang w:eastAsia="zh-CN"/>
        </w:rPr>
        <w:t>；</w:t>
      </w:r>
    </w:p>
    <w:p w14:paraId="6D78DF99">
      <w:pPr>
        <w:pStyle w:val="177"/>
        <w:numPr>
          <w:ilvl w:val="255"/>
          <w:numId w:val="0"/>
        </w:numPr>
        <w:tabs>
          <w:tab w:val="left" w:pos="805"/>
        </w:tabs>
        <w:spacing w:line="320" w:lineRule="exact"/>
        <w:ind w:left="820" w:leftChars="200" w:hanging="400" w:hangingChars="200"/>
        <w:jc w:val="left"/>
        <w:outlineLvl w:val="9"/>
        <w:rPr>
          <w:rFonts w:hint="eastAsia" w:eastAsia="宋体"/>
          <w:lang w:eastAsia="zh-CN"/>
        </w:rPr>
      </w:pPr>
      <w:r>
        <w:rPr>
          <w:rFonts w:hint="eastAsia"/>
          <w:lang w:val="en-US" w:eastAsia="zh-CN"/>
        </w:rPr>
        <w:t xml:space="preserve">b)  </w:t>
      </w:r>
      <w:r>
        <w:rPr>
          <w:rFonts w:hint="eastAsia"/>
        </w:rPr>
        <w:t>透光率仪：≤2%</w:t>
      </w:r>
      <w:r>
        <w:rPr>
          <w:rFonts w:hint="eastAsia"/>
          <w:lang w:eastAsia="zh-CN"/>
        </w:rPr>
        <w:t>；</w:t>
      </w:r>
    </w:p>
    <w:p w14:paraId="59C34628">
      <w:pPr>
        <w:pStyle w:val="177"/>
        <w:numPr>
          <w:ilvl w:val="255"/>
          <w:numId w:val="0"/>
        </w:numPr>
        <w:tabs>
          <w:tab w:val="left" w:pos="805"/>
        </w:tabs>
        <w:spacing w:line="320" w:lineRule="exact"/>
        <w:ind w:left="820" w:leftChars="200" w:hanging="400" w:hangingChars="200"/>
        <w:jc w:val="left"/>
        <w:outlineLvl w:val="9"/>
        <w:rPr>
          <w:rFonts w:hint="eastAsia"/>
        </w:rPr>
      </w:pPr>
      <w:r>
        <w:rPr>
          <w:rFonts w:hint="eastAsia"/>
          <w:lang w:val="en-US" w:eastAsia="zh-CN"/>
        </w:rPr>
        <w:t xml:space="preserve">c)  </w:t>
      </w:r>
      <w:r>
        <w:rPr>
          <w:rFonts w:hint="eastAsia"/>
        </w:rPr>
        <w:t>其他可用于此项目的试验设备。</w:t>
      </w:r>
    </w:p>
    <w:p w14:paraId="176EC5F6">
      <w:pPr>
        <w:pStyle w:val="177"/>
        <w:numPr>
          <w:ilvl w:val="255"/>
          <w:numId w:val="0"/>
        </w:numPr>
        <w:tabs>
          <w:tab w:val="left" w:pos="805"/>
        </w:tabs>
        <w:spacing w:line="240" w:lineRule="auto"/>
        <w:ind w:firstLine="400" w:firstLineChars="200"/>
        <w:jc w:val="left"/>
        <w:outlineLvl w:val="9"/>
      </w:pPr>
      <w:r>
        <w:rPr>
          <w:rFonts w:hint="eastAsia"/>
        </w:rPr>
        <w:t>机柜及通道检查与试验方法如下：</w:t>
      </w:r>
    </w:p>
    <w:p w14:paraId="58E3DDA9">
      <w:pPr>
        <w:pStyle w:val="25"/>
        <w:autoSpaceDE/>
        <w:autoSpaceDN/>
        <w:spacing w:line="320" w:lineRule="exact"/>
        <w:ind w:left="820" w:leftChars="200" w:hanging="400" w:hangingChars="200"/>
        <w:jc w:val="left"/>
        <w:rPr>
          <w:rFonts w:asciiTheme="minorEastAsia" w:hAnsiTheme="minorEastAsia" w:eastAsiaTheme="minorEastAsia"/>
          <w:sz w:val="20"/>
        </w:rPr>
      </w:pPr>
      <w:r>
        <w:rPr>
          <w:rFonts w:hint="eastAsia" w:asciiTheme="minorEastAsia" w:hAnsiTheme="minorEastAsia" w:eastAsiaTheme="minorEastAsia"/>
          <w:sz w:val="20"/>
        </w:rPr>
        <w:t>（1）</w:t>
      </w:r>
      <w:r>
        <w:rPr>
          <w:rFonts w:asciiTheme="minorEastAsia" w:hAnsiTheme="minorEastAsia" w:eastAsiaTheme="minorEastAsia"/>
          <w:sz w:val="20"/>
        </w:rPr>
        <w:t>4.1.1</w:t>
      </w:r>
      <w:r>
        <w:rPr>
          <w:rFonts w:hint="eastAsia" w:asciiTheme="minorEastAsia" w:hAnsiTheme="minorEastAsia" w:eastAsiaTheme="minorEastAsia"/>
          <w:sz w:val="20"/>
        </w:rPr>
        <w:t>中b、c、</w:t>
      </w:r>
      <w:r>
        <w:rPr>
          <w:rFonts w:asciiTheme="minorEastAsia" w:hAnsiTheme="minorEastAsia" w:eastAsiaTheme="minorEastAsia"/>
          <w:sz w:val="20"/>
        </w:rPr>
        <w:t>d</w:t>
      </w:r>
      <w:r>
        <w:rPr>
          <w:rFonts w:hint="eastAsia" w:asciiTheme="minorEastAsia" w:hAnsiTheme="minorEastAsia" w:eastAsiaTheme="minorEastAsia"/>
          <w:sz w:val="20"/>
        </w:rPr>
        <w:t>、</w:t>
      </w:r>
      <w:r>
        <w:rPr>
          <w:rFonts w:asciiTheme="minorEastAsia" w:hAnsiTheme="minorEastAsia" w:eastAsiaTheme="minorEastAsia"/>
          <w:sz w:val="20"/>
        </w:rPr>
        <w:t>e</w:t>
      </w:r>
      <w:r>
        <w:rPr>
          <w:rFonts w:hint="eastAsia" w:asciiTheme="minorEastAsia" w:hAnsiTheme="minorEastAsia" w:eastAsiaTheme="minorEastAsia"/>
          <w:sz w:val="20"/>
        </w:rPr>
        <w:t>、</w:t>
      </w:r>
      <w:r>
        <w:rPr>
          <w:rFonts w:asciiTheme="minorEastAsia" w:hAnsiTheme="minorEastAsia" w:eastAsiaTheme="minorEastAsia"/>
          <w:sz w:val="20"/>
        </w:rPr>
        <w:t>g</w:t>
      </w:r>
      <w:r>
        <w:rPr>
          <w:rFonts w:hint="eastAsia" w:asciiTheme="minorEastAsia" w:hAnsiTheme="minorEastAsia" w:eastAsiaTheme="minorEastAsia"/>
          <w:sz w:val="20"/>
        </w:rPr>
        <w:t>、</w:t>
      </w:r>
      <w:r>
        <w:rPr>
          <w:rFonts w:hint="eastAsia" w:asciiTheme="minorEastAsia" w:hAnsiTheme="minorEastAsia" w:eastAsiaTheme="minorEastAsia"/>
          <w:sz w:val="20"/>
          <w:lang w:val="en-US" w:eastAsia="zh-CN"/>
        </w:rPr>
        <w:t>h</w:t>
      </w:r>
      <w:r>
        <w:rPr>
          <w:rFonts w:hint="eastAsia" w:asciiTheme="minorEastAsia" w:hAnsiTheme="minorEastAsia" w:eastAsiaTheme="minorEastAsia"/>
          <w:sz w:val="20"/>
        </w:rPr>
        <w:t>等项目参照第4章节中技术要求，</w:t>
      </w:r>
      <w:bookmarkStart w:id="50" w:name="_Hlk172574690"/>
      <w:r>
        <w:rPr>
          <w:rFonts w:hint="eastAsia" w:asciiTheme="minorEastAsia" w:hAnsiTheme="minorEastAsia" w:eastAsiaTheme="minorEastAsia"/>
          <w:sz w:val="20"/>
        </w:rPr>
        <w:t>用通用量具（或目测）和通用仪表</w:t>
      </w:r>
      <w:bookmarkEnd w:id="50"/>
      <w:r>
        <w:rPr>
          <w:rFonts w:hint="eastAsia" w:asciiTheme="minorEastAsia" w:hAnsiTheme="minorEastAsia" w:eastAsiaTheme="minorEastAsia"/>
          <w:sz w:val="20"/>
        </w:rPr>
        <w:t>对通道宽度、组成部件等进行测试。</w:t>
      </w:r>
    </w:p>
    <w:p w14:paraId="47DB649F">
      <w:pPr>
        <w:pStyle w:val="25"/>
        <w:autoSpaceDE/>
        <w:autoSpaceDN/>
        <w:spacing w:line="320" w:lineRule="exact"/>
        <w:ind w:left="820" w:leftChars="200" w:hanging="400" w:hangingChars="200"/>
        <w:jc w:val="left"/>
        <w:rPr>
          <w:rFonts w:hint="eastAsia" w:eastAsia="宋体" w:asciiTheme="minorEastAsia" w:hAnsiTheme="minorEastAsia"/>
          <w:sz w:val="20"/>
          <w:lang w:val="en-US" w:eastAsia="zh-CN"/>
        </w:rPr>
      </w:pPr>
      <w:r>
        <w:rPr>
          <w:rFonts w:hint="eastAsia" w:asciiTheme="minorEastAsia" w:hAnsiTheme="minorEastAsia" w:eastAsiaTheme="minorEastAsia"/>
          <w:sz w:val="20"/>
        </w:rPr>
        <w:t>（2）</w:t>
      </w:r>
      <w:r>
        <w:rPr>
          <w:rFonts w:hint="eastAsia"/>
          <w:lang w:val="en-US" w:eastAsia="zh-CN"/>
        </w:rPr>
        <w:t>产家将产品天窗透光率等参数以文件形式提供</w:t>
      </w:r>
      <w:r>
        <w:rPr>
          <w:rFonts w:hint="eastAsia"/>
          <w:lang w:eastAsia="zh-CN"/>
        </w:rPr>
        <w:t>。</w:t>
      </w:r>
    </w:p>
    <w:p w14:paraId="73296A05">
      <w:pPr>
        <w:pStyle w:val="25"/>
        <w:autoSpaceDE/>
        <w:autoSpaceDN/>
        <w:spacing w:line="320" w:lineRule="exact"/>
        <w:ind w:left="820" w:leftChars="200" w:hanging="400" w:hangingChars="200"/>
        <w:jc w:val="left"/>
        <w:rPr>
          <w:rFonts w:hint="eastAsia" w:asciiTheme="minorEastAsia" w:hAnsiTheme="minorEastAsia" w:eastAsiaTheme="minorEastAsia"/>
          <w:sz w:val="20"/>
          <w:lang w:eastAsia="zh-CN"/>
        </w:rPr>
      </w:pPr>
      <w:r>
        <w:rPr>
          <w:rFonts w:hint="eastAsia" w:asciiTheme="minorEastAsia" w:hAnsiTheme="minorEastAsia" w:eastAsiaTheme="minorEastAsia"/>
          <w:sz w:val="20"/>
        </w:rPr>
        <w:t>（</w:t>
      </w:r>
      <w:r>
        <w:rPr>
          <w:rFonts w:asciiTheme="minorEastAsia" w:hAnsiTheme="minorEastAsia" w:eastAsiaTheme="minorEastAsia"/>
          <w:sz w:val="20"/>
        </w:rPr>
        <w:t>3</w:t>
      </w:r>
      <w:r>
        <w:rPr>
          <w:rFonts w:hint="eastAsia" w:asciiTheme="minorEastAsia" w:hAnsiTheme="minorEastAsia" w:eastAsiaTheme="minorEastAsia"/>
          <w:sz w:val="20"/>
        </w:rPr>
        <w:t>）透光面积比率测试</w:t>
      </w:r>
      <w:r>
        <w:rPr>
          <w:rFonts w:hint="eastAsia" w:asciiTheme="minorEastAsia" w:hAnsiTheme="minorEastAsia" w:eastAsiaTheme="minorEastAsia"/>
          <w:sz w:val="20"/>
          <w:lang w:val="en-US" w:eastAsia="zh-CN"/>
        </w:rPr>
        <w:t>符合下列要求</w:t>
      </w:r>
      <w:r>
        <w:rPr>
          <w:rFonts w:hint="eastAsia" w:asciiTheme="minorEastAsia" w:hAnsiTheme="minorEastAsia" w:eastAsiaTheme="minorEastAsia"/>
          <w:sz w:val="20"/>
          <w:lang w:eastAsia="zh-CN"/>
        </w:rPr>
        <w:t>。</w:t>
      </w:r>
    </w:p>
    <w:p w14:paraId="41F98AAC">
      <w:pPr>
        <w:pStyle w:val="25"/>
        <w:autoSpaceDE/>
        <w:autoSpaceDN/>
        <w:spacing w:line="320" w:lineRule="exact"/>
        <w:ind w:left="820" w:leftChars="200" w:hanging="400" w:hangingChars="200"/>
        <w:jc w:val="left"/>
        <w:rPr>
          <w:rFonts w:asciiTheme="minorEastAsia" w:hAnsiTheme="minorEastAsia" w:eastAsiaTheme="minorEastAsia"/>
          <w:sz w:val="20"/>
        </w:rPr>
      </w:pPr>
      <w:r>
        <w:rPr>
          <w:rFonts w:hint="eastAsia" w:asciiTheme="minorEastAsia" w:hAnsiTheme="minorEastAsia" w:eastAsiaTheme="minorEastAsia"/>
          <w:sz w:val="20"/>
        </w:rPr>
        <w:t>a</w:t>
      </w:r>
      <w:r>
        <w:rPr>
          <w:rFonts w:asciiTheme="minorEastAsia" w:hAnsiTheme="minorEastAsia" w:eastAsiaTheme="minorEastAsia"/>
          <w:sz w:val="20"/>
        </w:rPr>
        <w:t xml:space="preserve">) </w:t>
      </w:r>
      <w:r>
        <w:rPr>
          <w:rFonts w:hint="eastAsia" w:asciiTheme="minorEastAsia" w:hAnsiTheme="minorEastAsia" w:eastAsiaTheme="minorEastAsia"/>
          <w:sz w:val="20"/>
        </w:rPr>
        <w:t xml:space="preserve"> 使用测量工具，例如卷尺、激光测距仪等，对构件的透光部分进行实际测量，计算其有效透光面积；</w:t>
      </w:r>
    </w:p>
    <w:p w14:paraId="5D268138">
      <w:pPr>
        <w:pStyle w:val="25"/>
        <w:autoSpaceDE/>
        <w:autoSpaceDN/>
        <w:spacing w:line="320" w:lineRule="exact"/>
        <w:ind w:left="820" w:leftChars="200" w:hanging="400" w:hangingChars="200"/>
        <w:jc w:val="left"/>
        <w:rPr>
          <w:rFonts w:asciiTheme="minorEastAsia" w:hAnsiTheme="minorEastAsia" w:eastAsiaTheme="minorEastAsia"/>
          <w:sz w:val="20"/>
        </w:rPr>
      </w:pPr>
      <w:r>
        <w:rPr>
          <w:rFonts w:hint="eastAsia" w:asciiTheme="minorEastAsia" w:hAnsiTheme="minorEastAsia" w:eastAsiaTheme="minorEastAsia"/>
          <w:sz w:val="20"/>
        </w:rPr>
        <w:t>b</w:t>
      </w:r>
      <w:r>
        <w:rPr>
          <w:rFonts w:asciiTheme="minorEastAsia" w:hAnsiTheme="minorEastAsia" w:eastAsiaTheme="minorEastAsia"/>
          <w:sz w:val="20"/>
        </w:rPr>
        <w:t>)</w:t>
      </w:r>
      <w:r>
        <w:rPr>
          <w:rFonts w:hint="eastAsia" w:asciiTheme="minorEastAsia" w:hAnsiTheme="minorEastAsia" w:eastAsiaTheme="minorEastAsia"/>
          <w:sz w:val="20"/>
        </w:rPr>
        <w:t xml:space="preserve">  使用测量工具，例如卷尺、激光测距仪测量天窗构建的实际面积；</w:t>
      </w:r>
    </w:p>
    <w:p w14:paraId="5BAD779E">
      <w:pPr>
        <w:pStyle w:val="25"/>
        <w:autoSpaceDE/>
        <w:autoSpaceDN/>
        <w:spacing w:line="320" w:lineRule="exact"/>
        <w:ind w:left="820" w:leftChars="200" w:hanging="400" w:hangingChars="200"/>
        <w:jc w:val="left"/>
        <w:rPr>
          <w:rFonts w:ascii="Times New Roman"/>
        </w:rPr>
      </w:pPr>
      <w:r>
        <w:rPr>
          <w:rFonts w:hint="eastAsia" w:asciiTheme="minorEastAsia" w:hAnsiTheme="minorEastAsia" w:eastAsiaTheme="minorEastAsia"/>
          <w:sz w:val="20"/>
        </w:rPr>
        <w:t>c</w:t>
      </w:r>
      <w:r>
        <w:rPr>
          <w:rFonts w:asciiTheme="minorEastAsia" w:hAnsiTheme="minorEastAsia" w:eastAsiaTheme="minorEastAsia"/>
          <w:sz w:val="20"/>
        </w:rPr>
        <w:t xml:space="preserve">) </w:t>
      </w:r>
      <w:r>
        <w:rPr>
          <w:rFonts w:hint="eastAsia" w:asciiTheme="minorEastAsia" w:hAnsiTheme="minorEastAsia" w:eastAsiaTheme="minorEastAsia"/>
          <w:sz w:val="20"/>
        </w:rPr>
        <w:t xml:space="preserve"> 透光面积比率=有效透光面积/天窗构建的实际面积*100%。</w:t>
      </w:r>
    </w:p>
    <w:p w14:paraId="701E3B00">
      <w:pPr>
        <w:pStyle w:val="172"/>
        <w:ind w:left="0"/>
        <w:jc w:val="left"/>
        <w:outlineLvl w:val="2"/>
        <w:rPr>
          <w:rFonts w:ascii="黑体" w:hAnsi="黑体" w:eastAsia="黑体" w:cs="黑体"/>
        </w:rPr>
      </w:pPr>
      <w:r>
        <w:rPr>
          <w:rFonts w:hint="eastAsia" w:ascii="黑体" w:hAnsi="黑体" w:eastAsia="黑体" w:cs="黑体"/>
        </w:rPr>
        <w:t>供配电系统检查与试验</w:t>
      </w:r>
    </w:p>
    <w:p w14:paraId="626231B6">
      <w:pPr>
        <w:pStyle w:val="177"/>
        <w:numPr>
          <w:ilvl w:val="255"/>
          <w:numId w:val="0"/>
        </w:numPr>
        <w:tabs>
          <w:tab w:val="left" w:pos="805"/>
        </w:tabs>
        <w:spacing w:line="240" w:lineRule="auto"/>
        <w:ind w:firstLine="400" w:firstLineChars="200"/>
        <w:jc w:val="left"/>
        <w:outlineLvl w:val="9"/>
        <w:rPr>
          <w:rFonts w:hint="eastAsia"/>
        </w:rPr>
      </w:pPr>
      <w:r>
        <w:rPr>
          <w:rFonts w:hint="eastAsia"/>
        </w:rPr>
        <w:t>试验设备如下：</w:t>
      </w:r>
    </w:p>
    <w:p w14:paraId="0DC945B6">
      <w:pPr>
        <w:pStyle w:val="177"/>
        <w:numPr>
          <w:ilvl w:val="0"/>
          <w:numId w:val="28"/>
        </w:numPr>
        <w:tabs>
          <w:tab w:val="left" w:pos="805"/>
        </w:tabs>
        <w:spacing w:line="320" w:lineRule="exact"/>
        <w:ind w:left="820" w:leftChars="200" w:hanging="400" w:hangingChars="200"/>
        <w:jc w:val="left"/>
        <w:outlineLvl w:val="9"/>
        <w:rPr>
          <w:rFonts w:hint="eastAsia" w:eastAsia="宋体"/>
          <w:lang w:eastAsia="zh-CN"/>
        </w:rPr>
      </w:pPr>
      <w:r>
        <w:rPr>
          <w:rFonts w:hint="eastAsia"/>
          <w:lang w:val="en-US" w:eastAsia="zh-CN"/>
        </w:rPr>
        <w:t xml:space="preserve"> </w:t>
      </w:r>
      <w:r>
        <w:rPr>
          <w:rFonts w:hint="eastAsia"/>
        </w:rPr>
        <w:t>电能质量分析仪：1级</w:t>
      </w:r>
      <w:r>
        <w:rPr>
          <w:rFonts w:hint="eastAsia"/>
          <w:lang w:eastAsia="zh-CN"/>
        </w:rPr>
        <w:t>；</w:t>
      </w:r>
    </w:p>
    <w:p w14:paraId="6F562712">
      <w:pPr>
        <w:pStyle w:val="177"/>
        <w:numPr>
          <w:ilvl w:val="0"/>
          <w:numId w:val="28"/>
        </w:numPr>
        <w:tabs>
          <w:tab w:val="left" w:pos="805"/>
        </w:tabs>
        <w:spacing w:line="320" w:lineRule="exact"/>
        <w:ind w:left="820" w:leftChars="200" w:hanging="400" w:hangingChars="200"/>
        <w:jc w:val="left"/>
        <w:outlineLvl w:val="9"/>
        <w:rPr>
          <w:rFonts w:hint="eastAsia" w:eastAsia="宋体"/>
          <w:lang w:eastAsia="zh-CN"/>
        </w:rPr>
      </w:pPr>
      <w:r>
        <w:rPr>
          <w:rFonts w:hint="eastAsia"/>
          <w:lang w:val="en-US" w:eastAsia="zh-CN"/>
        </w:rPr>
        <w:t xml:space="preserve"> </w:t>
      </w:r>
      <w:r>
        <w:rPr>
          <w:rFonts w:hint="eastAsia"/>
        </w:rPr>
        <w:t>电力谐波分析仪：2.5级</w:t>
      </w:r>
      <w:r>
        <w:rPr>
          <w:rFonts w:hint="eastAsia"/>
          <w:lang w:eastAsia="zh-CN"/>
        </w:rPr>
        <w:t>；</w:t>
      </w:r>
    </w:p>
    <w:p w14:paraId="185D959D">
      <w:pPr>
        <w:pStyle w:val="177"/>
        <w:numPr>
          <w:ilvl w:val="0"/>
          <w:numId w:val="28"/>
        </w:numPr>
        <w:tabs>
          <w:tab w:val="left" w:pos="805"/>
        </w:tabs>
        <w:spacing w:line="320" w:lineRule="exact"/>
        <w:ind w:left="820" w:leftChars="200" w:hanging="400" w:hangingChars="200"/>
        <w:jc w:val="left"/>
        <w:outlineLvl w:val="9"/>
        <w:rPr>
          <w:rFonts w:hint="eastAsia" w:eastAsia="宋体"/>
          <w:lang w:eastAsia="zh-CN"/>
        </w:rPr>
      </w:pPr>
      <w:r>
        <w:rPr>
          <w:rFonts w:hint="eastAsia"/>
          <w:lang w:val="en-US" w:eastAsia="zh-CN"/>
        </w:rPr>
        <w:t xml:space="preserve"> </w:t>
      </w:r>
      <w:r>
        <w:rPr>
          <w:rFonts w:hint="eastAsia"/>
        </w:rPr>
        <w:t>卷尺：2级</w:t>
      </w:r>
      <w:r>
        <w:rPr>
          <w:rFonts w:hint="eastAsia"/>
          <w:lang w:eastAsia="zh-CN"/>
        </w:rPr>
        <w:t>；</w:t>
      </w:r>
    </w:p>
    <w:p w14:paraId="25FF125A">
      <w:pPr>
        <w:pStyle w:val="177"/>
        <w:numPr>
          <w:ilvl w:val="0"/>
          <w:numId w:val="28"/>
        </w:numPr>
        <w:tabs>
          <w:tab w:val="left" w:pos="805"/>
        </w:tabs>
        <w:spacing w:line="320" w:lineRule="exact"/>
        <w:ind w:left="820" w:leftChars="200" w:hanging="400" w:hangingChars="200"/>
        <w:jc w:val="left"/>
        <w:outlineLvl w:val="9"/>
        <w:rPr>
          <w:rFonts w:hint="eastAsia"/>
        </w:rPr>
      </w:pPr>
      <w:r>
        <w:rPr>
          <w:rFonts w:hint="eastAsia"/>
          <w:lang w:val="en-US" w:eastAsia="zh-CN"/>
        </w:rPr>
        <w:t xml:space="preserve"> </w:t>
      </w:r>
      <w:r>
        <w:rPr>
          <w:rFonts w:hint="eastAsia"/>
        </w:rPr>
        <w:t>其他可用于此项目的试验设备。</w:t>
      </w:r>
    </w:p>
    <w:p w14:paraId="37364244">
      <w:pPr>
        <w:pStyle w:val="177"/>
        <w:numPr>
          <w:ilvl w:val="255"/>
          <w:numId w:val="0"/>
        </w:numPr>
        <w:tabs>
          <w:tab w:val="left" w:pos="805"/>
        </w:tabs>
        <w:spacing w:line="240" w:lineRule="auto"/>
        <w:ind w:firstLine="400" w:firstLineChars="200"/>
        <w:jc w:val="left"/>
        <w:outlineLvl w:val="9"/>
        <w:rPr>
          <w:rFonts w:ascii="黑体" w:hAnsi="黑体" w:eastAsia="黑体" w:cs="黑体"/>
        </w:rPr>
      </w:pPr>
      <w:r>
        <w:rPr>
          <w:rFonts w:hint="eastAsia"/>
        </w:rPr>
        <w:t>供配电系统检查与试验方法如下：</w:t>
      </w:r>
    </w:p>
    <w:p w14:paraId="44FE15A7">
      <w:pPr>
        <w:pStyle w:val="25"/>
        <w:numPr>
          <w:ilvl w:val="-1"/>
          <w:numId w:val="0"/>
        </w:numPr>
        <w:autoSpaceDE/>
        <w:autoSpaceDN/>
        <w:spacing w:line="320" w:lineRule="exact"/>
        <w:ind w:left="420" w:leftChars="0" w:firstLine="0" w:firstLineChars="0"/>
        <w:jc w:val="left"/>
        <w:rPr>
          <w:rFonts w:hint="eastAsia" w:asciiTheme="minorEastAsia" w:hAnsiTheme="minorEastAsia" w:eastAsiaTheme="minorEastAsia"/>
          <w:sz w:val="20"/>
          <w:szCs w:val="18"/>
          <w:lang w:eastAsia="zh-CN"/>
        </w:rPr>
      </w:pPr>
      <w:r>
        <w:rPr>
          <w:rFonts w:hint="eastAsia" w:asciiTheme="minorEastAsia" w:hAnsiTheme="minorEastAsia" w:eastAsiaTheme="minorEastAsia"/>
          <w:sz w:val="20"/>
          <w:szCs w:val="18"/>
          <w:lang w:eastAsia="zh-CN"/>
        </w:rPr>
        <w:t>（</w:t>
      </w:r>
      <w:r>
        <w:rPr>
          <w:rFonts w:hint="eastAsia" w:asciiTheme="minorEastAsia" w:hAnsiTheme="minorEastAsia" w:eastAsiaTheme="minorEastAsia"/>
          <w:sz w:val="20"/>
          <w:szCs w:val="18"/>
          <w:lang w:val="en-US" w:eastAsia="zh-CN"/>
        </w:rPr>
        <w:t>1</w:t>
      </w:r>
      <w:r>
        <w:rPr>
          <w:rFonts w:hint="eastAsia" w:asciiTheme="minorEastAsia" w:hAnsiTheme="minorEastAsia" w:eastAsiaTheme="minorEastAsia"/>
          <w:sz w:val="20"/>
          <w:szCs w:val="18"/>
          <w:lang w:eastAsia="zh-CN"/>
        </w:rPr>
        <w:t>）</w:t>
      </w:r>
      <w:r>
        <w:rPr>
          <w:rFonts w:hint="eastAsia" w:asciiTheme="minorEastAsia" w:hAnsiTheme="minorEastAsia" w:eastAsiaTheme="minorEastAsia"/>
          <w:sz w:val="20"/>
          <w:szCs w:val="18"/>
        </w:rPr>
        <w:t>电源质量测试：利用万用表、功率分析仪或电力谐波分析仪测试电压偏移、频率偏移、电压波形畸变率等参数</w:t>
      </w:r>
      <w:r>
        <w:rPr>
          <w:rFonts w:hint="eastAsia" w:asciiTheme="minorEastAsia" w:hAnsiTheme="minorEastAsia" w:eastAsiaTheme="minorEastAsia"/>
          <w:sz w:val="20"/>
          <w:szCs w:val="18"/>
          <w:lang w:eastAsia="zh-CN"/>
        </w:rPr>
        <w:t>。</w:t>
      </w:r>
    </w:p>
    <w:p w14:paraId="383656CD">
      <w:pPr>
        <w:pStyle w:val="25"/>
        <w:numPr>
          <w:ilvl w:val="-1"/>
          <w:numId w:val="0"/>
        </w:numPr>
        <w:autoSpaceDE/>
        <w:autoSpaceDN/>
        <w:spacing w:line="320" w:lineRule="exact"/>
        <w:ind w:left="420" w:leftChars="0" w:firstLine="0" w:firstLineChars="0"/>
        <w:jc w:val="left"/>
        <w:rPr>
          <w:rFonts w:hint="eastAsia" w:asciiTheme="minorEastAsia" w:hAnsiTheme="minorEastAsia" w:eastAsiaTheme="minorEastAsia"/>
          <w:sz w:val="20"/>
          <w:szCs w:val="18"/>
          <w:lang w:eastAsia="zh-CN"/>
        </w:rPr>
      </w:pPr>
      <w:r>
        <w:rPr>
          <w:rFonts w:hint="eastAsia" w:asciiTheme="minorEastAsia" w:hAnsiTheme="minorEastAsia" w:eastAsiaTheme="minorEastAsia"/>
          <w:sz w:val="20"/>
          <w:szCs w:val="18"/>
          <w:lang w:eastAsia="zh-CN"/>
        </w:rPr>
        <w:t>（</w:t>
      </w:r>
      <w:r>
        <w:rPr>
          <w:rFonts w:hint="eastAsia" w:asciiTheme="minorEastAsia" w:hAnsiTheme="minorEastAsia" w:eastAsiaTheme="minorEastAsia"/>
          <w:sz w:val="20"/>
          <w:szCs w:val="18"/>
          <w:lang w:val="en-US" w:eastAsia="zh-CN"/>
        </w:rPr>
        <w:t>2</w:t>
      </w:r>
      <w:r>
        <w:rPr>
          <w:rFonts w:hint="eastAsia" w:asciiTheme="minorEastAsia" w:hAnsiTheme="minorEastAsia" w:eastAsiaTheme="minorEastAsia"/>
          <w:sz w:val="20"/>
          <w:szCs w:val="18"/>
          <w:lang w:eastAsia="zh-CN"/>
        </w:rPr>
        <w:t>）</w:t>
      </w:r>
      <w:r>
        <w:rPr>
          <w:rFonts w:hint="eastAsia" w:asciiTheme="minorEastAsia" w:hAnsiTheme="minorEastAsia" w:eastAsiaTheme="minorEastAsia"/>
          <w:sz w:val="20"/>
          <w:szCs w:val="18"/>
        </w:rPr>
        <w:t>4</w:t>
      </w:r>
      <w:r>
        <w:rPr>
          <w:rFonts w:asciiTheme="minorEastAsia" w:hAnsiTheme="minorEastAsia" w:eastAsiaTheme="minorEastAsia"/>
          <w:sz w:val="20"/>
          <w:szCs w:val="18"/>
        </w:rPr>
        <w:t>.1.2</w:t>
      </w:r>
      <w:r>
        <w:rPr>
          <w:rFonts w:hint="eastAsia" w:asciiTheme="minorEastAsia" w:hAnsiTheme="minorEastAsia" w:eastAsiaTheme="minorEastAsia"/>
          <w:sz w:val="20"/>
          <w:szCs w:val="18"/>
        </w:rPr>
        <w:t>中b、c、d、e、g、f、h、i、j、k等项目采用现场测试和逻辑验证法进行检测</w:t>
      </w:r>
      <w:r>
        <w:rPr>
          <w:rFonts w:hint="eastAsia" w:asciiTheme="minorEastAsia" w:hAnsiTheme="minorEastAsia" w:eastAsiaTheme="minorEastAsia"/>
          <w:sz w:val="20"/>
          <w:szCs w:val="18"/>
          <w:lang w:eastAsia="zh-CN"/>
        </w:rPr>
        <w:t>。</w:t>
      </w:r>
    </w:p>
    <w:p w14:paraId="03AC5BC9">
      <w:pPr>
        <w:pStyle w:val="25"/>
        <w:numPr>
          <w:ilvl w:val="-1"/>
          <w:numId w:val="0"/>
        </w:numPr>
        <w:autoSpaceDE/>
        <w:autoSpaceDN/>
        <w:spacing w:line="320" w:lineRule="exact"/>
        <w:ind w:left="420" w:leftChars="0" w:firstLine="0" w:firstLineChars="0"/>
        <w:jc w:val="left"/>
        <w:rPr>
          <w:rFonts w:hint="eastAsia" w:asciiTheme="minorEastAsia" w:hAnsiTheme="minorEastAsia" w:eastAsiaTheme="minorEastAsia"/>
          <w:sz w:val="20"/>
          <w:szCs w:val="18"/>
          <w:lang w:eastAsia="zh-CN"/>
        </w:rPr>
      </w:pPr>
      <w:r>
        <w:rPr>
          <w:rFonts w:hint="eastAsia" w:asciiTheme="minorEastAsia" w:hAnsiTheme="minorEastAsia" w:eastAsiaTheme="minorEastAsia"/>
          <w:sz w:val="20"/>
          <w:szCs w:val="18"/>
          <w:lang w:eastAsia="zh-CN"/>
        </w:rPr>
        <w:t>（</w:t>
      </w:r>
      <w:r>
        <w:rPr>
          <w:rFonts w:hint="eastAsia" w:asciiTheme="minorEastAsia" w:hAnsiTheme="minorEastAsia" w:eastAsiaTheme="minorEastAsia"/>
          <w:sz w:val="20"/>
          <w:szCs w:val="18"/>
          <w:lang w:val="en-US" w:eastAsia="zh-CN"/>
        </w:rPr>
        <w:t>3</w:t>
      </w:r>
      <w:r>
        <w:rPr>
          <w:rFonts w:hint="eastAsia" w:asciiTheme="minorEastAsia" w:hAnsiTheme="minorEastAsia" w:eastAsiaTheme="minorEastAsia"/>
          <w:sz w:val="20"/>
          <w:szCs w:val="18"/>
          <w:lang w:eastAsia="zh-CN"/>
        </w:rPr>
        <w:t>）</w:t>
      </w:r>
      <w:r>
        <w:rPr>
          <w:rFonts w:hint="eastAsia" w:asciiTheme="minorEastAsia" w:hAnsiTheme="minorEastAsia" w:eastAsiaTheme="minorEastAsia"/>
          <w:sz w:val="20"/>
          <w:szCs w:val="18"/>
        </w:rPr>
        <w:t>连续制冷测试</w:t>
      </w:r>
      <w:r>
        <w:rPr>
          <w:rFonts w:hint="eastAsia" w:asciiTheme="minorEastAsia" w:hAnsiTheme="minorEastAsia" w:eastAsiaTheme="minorEastAsia"/>
          <w:sz w:val="20"/>
          <w:szCs w:val="18"/>
          <w:lang w:eastAsia="zh-CN"/>
        </w:rPr>
        <w:t>。</w:t>
      </w:r>
    </w:p>
    <w:p w14:paraId="3F3475D6">
      <w:pPr>
        <w:pStyle w:val="25"/>
        <w:numPr>
          <w:ilvl w:val="0"/>
          <w:numId w:val="29"/>
        </w:numPr>
        <w:autoSpaceDE/>
        <w:autoSpaceDN/>
        <w:spacing w:line="320" w:lineRule="exact"/>
        <w:ind w:left="420" w:leftChars="0" w:firstLine="0" w:firstLineChars="0"/>
        <w:jc w:val="left"/>
        <w:rPr>
          <w:rFonts w:asciiTheme="minorEastAsia" w:hAnsiTheme="minorEastAsia" w:eastAsiaTheme="minorEastAsia"/>
          <w:sz w:val="20"/>
          <w:szCs w:val="18"/>
        </w:rPr>
      </w:pPr>
      <w:r>
        <w:rPr>
          <w:rFonts w:hint="eastAsia" w:asciiTheme="minorEastAsia" w:hAnsiTheme="minorEastAsia" w:eastAsiaTheme="minorEastAsia"/>
          <w:sz w:val="20"/>
          <w:szCs w:val="18"/>
          <w:lang w:val="en-US" w:eastAsia="zh-CN"/>
        </w:rPr>
        <w:t xml:space="preserve"> </w:t>
      </w:r>
      <w:r>
        <w:rPr>
          <w:rFonts w:hint="eastAsia" w:asciiTheme="minorEastAsia" w:hAnsiTheme="minorEastAsia" w:eastAsiaTheme="minorEastAsia"/>
          <w:sz w:val="20"/>
          <w:szCs w:val="18"/>
        </w:rPr>
        <w:t>在系统中布置与标称容量一致的假负载，并将假负载开至最大连续运行3</w:t>
      </w:r>
      <w:r>
        <w:rPr>
          <w:rFonts w:asciiTheme="minorEastAsia" w:hAnsiTheme="minorEastAsia" w:eastAsiaTheme="minorEastAsia"/>
          <w:sz w:val="20"/>
          <w:szCs w:val="18"/>
        </w:rPr>
        <w:t>0</w:t>
      </w:r>
      <w:r>
        <w:rPr>
          <w:rFonts w:hint="eastAsia" w:asciiTheme="minorEastAsia" w:hAnsiTheme="minorEastAsia" w:eastAsiaTheme="minorEastAsia"/>
          <w:sz w:val="20"/>
          <w:szCs w:val="18"/>
        </w:rPr>
        <w:t>分钟；</w:t>
      </w:r>
    </w:p>
    <w:p w14:paraId="21C67487">
      <w:pPr>
        <w:pStyle w:val="25"/>
        <w:numPr>
          <w:ilvl w:val="0"/>
          <w:numId w:val="29"/>
        </w:numPr>
        <w:autoSpaceDE/>
        <w:autoSpaceDN/>
        <w:spacing w:line="320" w:lineRule="exact"/>
        <w:ind w:left="420" w:leftChars="0" w:firstLine="0" w:firstLineChars="0"/>
        <w:jc w:val="left"/>
        <w:rPr>
          <w:rFonts w:asciiTheme="minorEastAsia" w:hAnsiTheme="minorEastAsia" w:eastAsiaTheme="minorEastAsia"/>
          <w:sz w:val="20"/>
          <w:szCs w:val="18"/>
        </w:rPr>
      </w:pPr>
      <w:r>
        <w:rPr>
          <w:rFonts w:hint="eastAsia" w:asciiTheme="minorEastAsia" w:hAnsiTheme="minorEastAsia" w:eastAsiaTheme="minorEastAsia"/>
          <w:sz w:val="20"/>
          <w:szCs w:val="18"/>
          <w:lang w:val="en-US" w:eastAsia="zh-CN"/>
        </w:rPr>
        <w:t xml:space="preserve"> </w:t>
      </w:r>
      <w:r>
        <w:rPr>
          <w:rFonts w:hint="eastAsia" w:asciiTheme="minorEastAsia" w:hAnsiTheme="minorEastAsia" w:eastAsiaTheme="minorEastAsia"/>
          <w:sz w:val="20"/>
          <w:szCs w:val="18"/>
        </w:rPr>
        <w:t>模拟空调系统市电掉电场景，并测试电池可带载制冷设备，带载时间根据配置电池情况而定</w:t>
      </w:r>
      <w:r>
        <w:rPr>
          <w:rFonts w:hint="eastAsia" w:asciiTheme="minorEastAsia" w:hAnsiTheme="minorEastAsia" w:eastAsiaTheme="minorEastAsia"/>
          <w:sz w:val="20"/>
          <w:szCs w:val="18"/>
          <w:lang w:eastAsia="zh-CN"/>
        </w:rPr>
        <w:t>。</w:t>
      </w:r>
    </w:p>
    <w:p w14:paraId="76D37F2D">
      <w:pPr>
        <w:pStyle w:val="25"/>
        <w:autoSpaceDE/>
        <w:autoSpaceDN/>
        <w:spacing w:line="320" w:lineRule="exact"/>
        <w:ind w:left="820" w:leftChars="200" w:hanging="400" w:hangingChars="200"/>
        <w:jc w:val="left"/>
        <w:rPr>
          <w:rFonts w:hint="eastAsia" w:asciiTheme="minorEastAsia" w:hAnsiTheme="minorEastAsia" w:eastAsiaTheme="minorEastAsia"/>
          <w:sz w:val="20"/>
          <w:szCs w:val="18"/>
          <w:lang w:eastAsia="zh-CN"/>
        </w:rPr>
      </w:pPr>
      <w:r>
        <w:rPr>
          <w:rFonts w:hint="eastAsia" w:asciiTheme="minorEastAsia" w:hAnsiTheme="minorEastAsia" w:eastAsiaTheme="minorEastAsia"/>
          <w:sz w:val="20"/>
          <w:szCs w:val="18"/>
        </w:rPr>
        <w:t>（</w:t>
      </w:r>
      <w:r>
        <w:rPr>
          <w:rFonts w:hint="eastAsia" w:asciiTheme="minorEastAsia" w:hAnsiTheme="minorEastAsia" w:eastAsiaTheme="minorEastAsia"/>
          <w:sz w:val="20"/>
          <w:szCs w:val="18"/>
          <w:lang w:val="en-US" w:eastAsia="zh-CN"/>
        </w:rPr>
        <w:t>4</w:t>
      </w:r>
      <w:r>
        <w:rPr>
          <w:rFonts w:hint="eastAsia" w:asciiTheme="minorEastAsia" w:hAnsiTheme="minorEastAsia" w:eastAsiaTheme="minorEastAsia"/>
          <w:sz w:val="20"/>
          <w:szCs w:val="18"/>
        </w:rPr>
        <w:t>）铜排温度检测</w:t>
      </w:r>
      <w:r>
        <w:rPr>
          <w:rFonts w:hint="eastAsia" w:asciiTheme="minorEastAsia" w:hAnsiTheme="minorEastAsia" w:eastAsiaTheme="minorEastAsia"/>
          <w:sz w:val="20"/>
          <w:szCs w:val="18"/>
          <w:lang w:eastAsia="zh-CN"/>
        </w:rPr>
        <w:t>。</w:t>
      </w:r>
    </w:p>
    <w:p w14:paraId="5256551C">
      <w:pPr>
        <w:spacing w:line="320" w:lineRule="exact"/>
        <w:ind w:left="820" w:leftChars="200" w:hanging="400" w:hangingChars="200"/>
        <w:jc w:val="left"/>
        <w:rPr>
          <w:rFonts w:hint="eastAsia" w:asciiTheme="minorEastAsia" w:hAnsiTheme="minorEastAsia" w:eastAsiaTheme="minorEastAsia"/>
          <w:sz w:val="20"/>
          <w:szCs w:val="22"/>
          <w:lang w:eastAsia="zh-CN"/>
        </w:rPr>
      </w:pPr>
      <w:r>
        <w:rPr>
          <w:rFonts w:asciiTheme="minorEastAsia" w:hAnsiTheme="minorEastAsia" w:eastAsiaTheme="minorEastAsia"/>
          <w:sz w:val="20"/>
          <w:szCs w:val="22"/>
        </w:rPr>
        <w:t xml:space="preserve">a) </w:t>
      </w:r>
      <w:r>
        <w:rPr>
          <w:rFonts w:hint="eastAsia" w:asciiTheme="minorEastAsia" w:hAnsiTheme="minorEastAsia" w:eastAsiaTheme="minorEastAsia"/>
          <w:sz w:val="20"/>
          <w:szCs w:val="22"/>
          <w:lang w:val="en-US" w:eastAsia="zh-CN"/>
        </w:rPr>
        <w:t xml:space="preserve"> </w:t>
      </w:r>
      <w:r>
        <w:rPr>
          <w:rFonts w:hint="eastAsia" w:asciiTheme="minorEastAsia" w:hAnsiTheme="minorEastAsia" w:eastAsiaTheme="minorEastAsia"/>
          <w:sz w:val="20"/>
          <w:szCs w:val="22"/>
        </w:rPr>
        <w:t>布点位置</w:t>
      </w:r>
      <w:r>
        <w:rPr>
          <w:rFonts w:hint="eastAsia" w:asciiTheme="minorEastAsia" w:hAnsiTheme="minorEastAsia" w:eastAsiaTheme="minorEastAsia"/>
          <w:sz w:val="20"/>
          <w:szCs w:val="22"/>
          <w:lang w:eastAsia="zh-CN"/>
        </w:rPr>
        <w:t>：</w:t>
      </w:r>
    </w:p>
    <w:p w14:paraId="3DEE7534">
      <w:pPr>
        <w:spacing w:line="320" w:lineRule="exact"/>
        <w:ind w:left="820" w:leftChars="200" w:hanging="400" w:hangingChars="200"/>
        <w:jc w:val="left"/>
        <w:rPr>
          <w:rFonts w:asciiTheme="minorEastAsia" w:hAnsiTheme="minorEastAsia" w:eastAsiaTheme="minorEastAsia"/>
          <w:sz w:val="20"/>
          <w:szCs w:val="22"/>
        </w:rPr>
      </w:pPr>
      <w:r>
        <w:rPr>
          <w:rFonts w:asciiTheme="minorEastAsia" w:hAnsiTheme="minorEastAsia" w:eastAsiaTheme="minorEastAsia"/>
          <w:sz w:val="20"/>
          <w:szCs w:val="22"/>
        </w:rPr>
        <w:t xml:space="preserve">1) </w:t>
      </w:r>
      <w:r>
        <w:rPr>
          <w:rFonts w:hint="eastAsia" w:asciiTheme="minorEastAsia" w:hAnsiTheme="minorEastAsia" w:eastAsiaTheme="minorEastAsia"/>
          <w:sz w:val="20"/>
          <w:szCs w:val="22"/>
          <w:lang w:val="en-US" w:eastAsia="zh-CN"/>
        </w:rPr>
        <w:t xml:space="preserve"> </w:t>
      </w:r>
      <w:r>
        <w:rPr>
          <w:rFonts w:hint="eastAsia" w:asciiTheme="minorEastAsia" w:hAnsiTheme="minorEastAsia" w:eastAsiaTheme="minorEastAsia"/>
          <w:sz w:val="20"/>
          <w:szCs w:val="22"/>
        </w:rPr>
        <w:t>配电柜开关端头：开关输入端头与铜排搭接处、开关输出端头与铜排搭接处；</w:t>
      </w:r>
    </w:p>
    <w:p w14:paraId="2B21A7CD">
      <w:pPr>
        <w:spacing w:line="320" w:lineRule="exact"/>
        <w:ind w:left="820" w:leftChars="200" w:hanging="400" w:hangingChars="200"/>
        <w:jc w:val="left"/>
        <w:rPr>
          <w:rFonts w:asciiTheme="minorEastAsia" w:hAnsiTheme="minorEastAsia" w:eastAsiaTheme="minorEastAsia"/>
          <w:sz w:val="20"/>
          <w:szCs w:val="22"/>
        </w:rPr>
      </w:pPr>
      <w:r>
        <w:rPr>
          <w:rFonts w:asciiTheme="minorEastAsia" w:hAnsiTheme="minorEastAsia" w:eastAsiaTheme="minorEastAsia"/>
          <w:sz w:val="20"/>
          <w:szCs w:val="22"/>
        </w:rPr>
        <w:t xml:space="preserve">2) </w:t>
      </w:r>
      <w:r>
        <w:rPr>
          <w:rFonts w:hint="eastAsia" w:asciiTheme="minorEastAsia" w:hAnsiTheme="minorEastAsia" w:eastAsiaTheme="minorEastAsia"/>
          <w:sz w:val="20"/>
          <w:szCs w:val="22"/>
          <w:lang w:val="en-US" w:eastAsia="zh-CN"/>
        </w:rPr>
        <w:t xml:space="preserve"> </w:t>
      </w:r>
      <w:r>
        <w:rPr>
          <w:rFonts w:hint="eastAsia" w:asciiTheme="minorEastAsia" w:hAnsiTheme="minorEastAsia" w:eastAsiaTheme="minorEastAsia"/>
          <w:sz w:val="20"/>
          <w:szCs w:val="22"/>
        </w:rPr>
        <w:t>配电柜柜内铜排搭接面：配电柜内部铜排搭接面处；</w:t>
      </w:r>
    </w:p>
    <w:p w14:paraId="77ADBC6E">
      <w:pPr>
        <w:spacing w:line="320" w:lineRule="exact"/>
        <w:ind w:left="820" w:leftChars="200" w:hanging="400" w:hangingChars="200"/>
        <w:jc w:val="left"/>
        <w:rPr>
          <w:rFonts w:asciiTheme="minorEastAsia" w:hAnsiTheme="minorEastAsia" w:eastAsiaTheme="minorEastAsia"/>
          <w:sz w:val="20"/>
          <w:szCs w:val="22"/>
        </w:rPr>
      </w:pPr>
      <w:r>
        <w:rPr>
          <w:rFonts w:asciiTheme="minorEastAsia" w:hAnsiTheme="minorEastAsia" w:eastAsiaTheme="minorEastAsia"/>
          <w:sz w:val="20"/>
          <w:szCs w:val="22"/>
        </w:rPr>
        <w:t xml:space="preserve">3) </w:t>
      </w:r>
      <w:r>
        <w:rPr>
          <w:rFonts w:hint="eastAsia" w:asciiTheme="minorEastAsia" w:hAnsiTheme="minorEastAsia" w:eastAsiaTheme="minorEastAsia"/>
          <w:sz w:val="20"/>
          <w:szCs w:val="22"/>
          <w:lang w:val="en-US" w:eastAsia="zh-CN"/>
        </w:rPr>
        <w:t xml:space="preserve"> </w:t>
      </w:r>
      <w:r>
        <w:rPr>
          <w:rFonts w:hint="eastAsia" w:asciiTheme="minorEastAsia" w:hAnsiTheme="minorEastAsia" w:eastAsiaTheme="minorEastAsia"/>
          <w:sz w:val="20"/>
          <w:szCs w:val="22"/>
        </w:rPr>
        <w:t>柜顶铜排搭接面：铜排搭接处需覆盖不同截面积的铜排搭接面。</w:t>
      </w:r>
    </w:p>
    <w:p w14:paraId="71C4BD82">
      <w:pPr>
        <w:spacing w:line="320" w:lineRule="exact"/>
        <w:ind w:left="820" w:leftChars="200" w:hanging="400" w:hangingChars="200"/>
        <w:jc w:val="left"/>
        <w:rPr>
          <w:rFonts w:hint="eastAsia" w:asciiTheme="minorEastAsia" w:hAnsiTheme="minorEastAsia" w:eastAsiaTheme="minorEastAsia"/>
          <w:sz w:val="20"/>
          <w:szCs w:val="22"/>
          <w:lang w:val="en-US" w:eastAsia="zh-CN"/>
        </w:rPr>
      </w:pPr>
      <w:r>
        <w:rPr>
          <w:rFonts w:hint="eastAsia" w:asciiTheme="minorEastAsia" w:hAnsiTheme="minorEastAsia" w:eastAsiaTheme="minorEastAsia"/>
          <w:sz w:val="20"/>
          <w:szCs w:val="22"/>
        </w:rPr>
        <w:t>b）铜排温升测试：使用热成像仪或温枪等设备对铜排连接处的</w:t>
      </w:r>
      <w:r>
        <w:rPr>
          <w:rFonts w:hint="eastAsia" w:ascii="微软雅黑" w:hAnsi="微软雅黑" w:eastAsia="微软雅黑" w:cs="微软雅黑"/>
          <w:sz w:val="20"/>
          <w:szCs w:val="22"/>
        </w:rPr>
        <w:t>∆</w:t>
      </w:r>
      <w:r>
        <w:rPr>
          <w:rFonts w:hint="eastAsia" w:asciiTheme="minorEastAsia" w:hAnsiTheme="minorEastAsia" w:eastAsiaTheme="minorEastAsia"/>
          <w:sz w:val="20"/>
          <w:szCs w:val="22"/>
        </w:rPr>
        <w:t>T进行监测</w:t>
      </w:r>
      <w:r>
        <w:rPr>
          <w:rFonts w:hint="eastAsia" w:asciiTheme="minorEastAsia" w:hAnsiTheme="minorEastAsia" w:eastAsiaTheme="minorEastAsia"/>
          <w:sz w:val="20"/>
          <w:szCs w:val="22"/>
          <w:lang w:eastAsia="zh-CN"/>
        </w:rPr>
        <w:t>，</w:t>
      </w:r>
      <w:r>
        <w:rPr>
          <w:rFonts w:hint="eastAsia" w:asciiTheme="minorEastAsia" w:hAnsiTheme="minorEastAsia" w:eastAsiaTheme="minorEastAsia"/>
          <w:sz w:val="20"/>
          <w:szCs w:val="22"/>
          <w:lang w:val="en-US" w:eastAsia="zh-CN"/>
        </w:rPr>
        <w:t>具体测试部件见表3；</w:t>
      </w:r>
    </w:p>
    <w:p w14:paraId="4CFF5ADE">
      <w:pPr>
        <w:pStyle w:val="183"/>
        <w:jc w:val="center"/>
        <w:rPr>
          <w:rFonts w:hint="default" w:asciiTheme="minorEastAsia" w:hAnsiTheme="minorEastAsia" w:eastAsiaTheme="minorEastAsia"/>
          <w:sz w:val="20"/>
          <w:szCs w:val="22"/>
          <w:lang w:val="en-US" w:eastAsia="zh-CN"/>
        </w:rPr>
      </w:pPr>
      <w:r>
        <w:rPr>
          <w:rFonts w:hint="default" w:ascii="宋体" w:hAnsi="宋体" w:eastAsia="宋体" w:cs="宋体"/>
          <w:color w:val="000000"/>
        </w:rPr>
        <w:t>表</w:t>
      </w:r>
      <w:r>
        <w:rPr>
          <w:rFonts w:hint="eastAsia" w:cs="宋体"/>
          <w:color w:val="000000"/>
          <w:lang w:val="en-US" w:eastAsia="zh-CN"/>
        </w:rPr>
        <w:t>3</w:t>
      </w:r>
      <w:r>
        <w:rPr>
          <w:rFonts w:hint="default" w:ascii="宋体" w:hAnsi="宋体" w:eastAsia="宋体" w:cs="宋体"/>
          <w:color w:val="000000"/>
        </w:rPr>
        <w:t xml:space="preserve">  各电器元件和部件的温升要求</w:t>
      </w:r>
    </w:p>
    <w:tbl>
      <w:tblPr>
        <w:tblStyle w:val="36"/>
        <w:tblW w:w="440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10"/>
        <w:gridCol w:w="1340"/>
        <w:gridCol w:w="1657"/>
      </w:tblGrid>
      <w:tr w14:paraId="161A8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2750" w:type="dxa"/>
            <w:gridSpan w:val="2"/>
            <w:vAlign w:val="center"/>
          </w:tcPr>
          <w:p w14:paraId="66C9D55E">
            <w:pPr>
              <w:pStyle w:val="185"/>
              <w:spacing w:line="240" w:lineRule="auto"/>
              <w:ind w:firstLine="0"/>
              <w:jc w:val="center"/>
              <w:rPr>
                <w:rFonts w:hint="eastAsia"/>
                <w:color w:val="000000"/>
                <w:sz w:val="17"/>
                <w:szCs w:val="17"/>
              </w:rPr>
            </w:pPr>
            <w:r>
              <w:rPr>
                <w:rFonts w:hint="eastAsia"/>
                <w:color w:val="000000"/>
                <w:sz w:val="17"/>
                <w:szCs w:val="17"/>
              </w:rPr>
              <w:t>部件名称</w:t>
            </w:r>
          </w:p>
        </w:tc>
        <w:tc>
          <w:tcPr>
            <w:tcW w:w="1657" w:type="dxa"/>
            <w:vAlign w:val="center"/>
          </w:tcPr>
          <w:p w14:paraId="680B5721">
            <w:pPr>
              <w:pStyle w:val="185"/>
              <w:spacing w:line="240" w:lineRule="auto"/>
              <w:ind w:firstLine="0"/>
              <w:jc w:val="center"/>
              <w:rPr>
                <w:rFonts w:hint="eastAsia"/>
                <w:color w:val="000000"/>
                <w:sz w:val="17"/>
                <w:szCs w:val="17"/>
              </w:rPr>
            </w:pPr>
            <w:r>
              <w:rPr>
                <w:rFonts w:hint="eastAsia"/>
                <w:color w:val="000000"/>
                <w:sz w:val="17"/>
                <w:szCs w:val="17"/>
              </w:rPr>
              <w:t>温升极限值（K）</w:t>
            </w:r>
          </w:p>
        </w:tc>
      </w:tr>
      <w:tr w14:paraId="14CC34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2750" w:type="dxa"/>
            <w:gridSpan w:val="2"/>
            <w:vAlign w:val="center"/>
          </w:tcPr>
          <w:p w14:paraId="11D2D78E">
            <w:pPr>
              <w:pStyle w:val="185"/>
              <w:spacing w:line="240" w:lineRule="auto"/>
              <w:ind w:firstLine="0"/>
              <w:jc w:val="center"/>
              <w:rPr>
                <w:rFonts w:hint="eastAsia"/>
                <w:color w:val="000000"/>
                <w:sz w:val="17"/>
                <w:szCs w:val="17"/>
              </w:rPr>
            </w:pPr>
            <w:r>
              <w:rPr>
                <w:rFonts w:hint="eastAsia"/>
                <w:color w:val="000000"/>
                <w:sz w:val="17"/>
                <w:szCs w:val="17"/>
              </w:rPr>
              <w:t>裸铜</w:t>
            </w:r>
          </w:p>
        </w:tc>
        <w:tc>
          <w:tcPr>
            <w:tcW w:w="1657" w:type="dxa"/>
            <w:vAlign w:val="center"/>
          </w:tcPr>
          <w:p w14:paraId="60A4292B">
            <w:pPr>
              <w:pStyle w:val="185"/>
              <w:spacing w:line="240" w:lineRule="auto"/>
              <w:ind w:firstLine="0"/>
              <w:jc w:val="center"/>
              <w:rPr>
                <w:rFonts w:hint="eastAsia"/>
                <w:color w:val="000000"/>
                <w:sz w:val="17"/>
                <w:szCs w:val="17"/>
              </w:rPr>
            </w:pPr>
            <w:r>
              <w:rPr>
                <w:rFonts w:hint="eastAsia"/>
                <w:color w:val="000000"/>
                <w:sz w:val="17"/>
                <w:szCs w:val="17"/>
              </w:rPr>
              <w:t>60</w:t>
            </w:r>
          </w:p>
        </w:tc>
      </w:tr>
      <w:tr w14:paraId="6F6148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 w:hRule="atLeast"/>
          <w:jc w:val="center"/>
        </w:trPr>
        <w:tc>
          <w:tcPr>
            <w:tcW w:w="2750" w:type="dxa"/>
            <w:gridSpan w:val="2"/>
            <w:vAlign w:val="center"/>
          </w:tcPr>
          <w:p w14:paraId="7907298D">
            <w:pPr>
              <w:pStyle w:val="185"/>
              <w:spacing w:line="240" w:lineRule="auto"/>
              <w:ind w:firstLine="0"/>
              <w:jc w:val="center"/>
              <w:rPr>
                <w:rFonts w:hint="eastAsia"/>
                <w:color w:val="000000"/>
                <w:sz w:val="17"/>
                <w:szCs w:val="17"/>
              </w:rPr>
            </w:pPr>
            <w:r>
              <w:rPr>
                <w:rFonts w:hint="eastAsia"/>
                <w:color w:val="000000"/>
                <w:sz w:val="17"/>
                <w:szCs w:val="17"/>
              </w:rPr>
              <w:t>裸黄铜</w:t>
            </w:r>
          </w:p>
        </w:tc>
        <w:tc>
          <w:tcPr>
            <w:tcW w:w="1657" w:type="dxa"/>
            <w:vAlign w:val="center"/>
          </w:tcPr>
          <w:p w14:paraId="22D20D9F">
            <w:pPr>
              <w:pStyle w:val="185"/>
              <w:spacing w:line="240" w:lineRule="auto"/>
              <w:ind w:firstLine="0"/>
              <w:jc w:val="center"/>
              <w:rPr>
                <w:rFonts w:hint="eastAsia"/>
                <w:color w:val="000000"/>
                <w:sz w:val="17"/>
                <w:szCs w:val="17"/>
              </w:rPr>
            </w:pPr>
            <w:r>
              <w:rPr>
                <w:rFonts w:hint="eastAsia"/>
                <w:color w:val="000000"/>
                <w:sz w:val="17"/>
                <w:szCs w:val="17"/>
              </w:rPr>
              <w:t>65</w:t>
            </w:r>
          </w:p>
        </w:tc>
      </w:tr>
      <w:tr w14:paraId="4A243C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2750" w:type="dxa"/>
            <w:gridSpan w:val="2"/>
            <w:vAlign w:val="center"/>
          </w:tcPr>
          <w:p w14:paraId="0237A6D6">
            <w:pPr>
              <w:pStyle w:val="185"/>
              <w:spacing w:line="240" w:lineRule="auto"/>
              <w:ind w:firstLine="0"/>
              <w:jc w:val="center"/>
              <w:rPr>
                <w:rFonts w:hint="eastAsia"/>
                <w:color w:val="000000"/>
                <w:sz w:val="17"/>
                <w:szCs w:val="17"/>
              </w:rPr>
            </w:pPr>
            <w:r>
              <w:rPr>
                <w:rFonts w:hint="eastAsia"/>
                <w:color w:val="000000"/>
                <w:sz w:val="17"/>
                <w:szCs w:val="17"/>
              </w:rPr>
              <w:t>铜（黄铜）镀锡</w:t>
            </w:r>
          </w:p>
        </w:tc>
        <w:tc>
          <w:tcPr>
            <w:tcW w:w="1657" w:type="dxa"/>
            <w:vAlign w:val="center"/>
          </w:tcPr>
          <w:p w14:paraId="2C08013D">
            <w:pPr>
              <w:pStyle w:val="185"/>
              <w:spacing w:line="240" w:lineRule="auto"/>
              <w:ind w:firstLine="0"/>
              <w:jc w:val="center"/>
              <w:rPr>
                <w:rFonts w:hint="eastAsia"/>
                <w:color w:val="000000"/>
                <w:sz w:val="17"/>
                <w:szCs w:val="17"/>
              </w:rPr>
            </w:pPr>
            <w:r>
              <w:rPr>
                <w:rFonts w:hint="eastAsia"/>
                <w:color w:val="000000"/>
                <w:sz w:val="17"/>
                <w:szCs w:val="17"/>
              </w:rPr>
              <w:t>65</w:t>
            </w:r>
          </w:p>
        </w:tc>
      </w:tr>
      <w:tr w14:paraId="1D4E9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2750" w:type="dxa"/>
            <w:gridSpan w:val="2"/>
            <w:vAlign w:val="center"/>
          </w:tcPr>
          <w:p w14:paraId="6B20CD16">
            <w:pPr>
              <w:pStyle w:val="185"/>
              <w:spacing w:line="240" w:lineRule="auto"/>
              <w:ind w:firstLine="0"/>
              <w:jc w:val="center"/>
              <w:rPr>
                <w:rFonts w:hint="eastAsia"/>
                <w:color w:val="000000"/>
                <w:sz w:val="17"/>
                <w:szCs w:val="17"/>
              </w:rPr>
            </w:pPr>
            <w:r>
              <w:rPr>
                <w:rFonts w:hint="eastAsia"/>
                <w:color w:val="000000"/>
                <w:sz w:val="17"/>
                <w:szCs w:val="17"/>
              </w:rPr>
              <w:t>铜（黄铜）镀银或镀镍</w:t>
            </w:r>
          </w:p>
        </w:tc>
        <w:tc>
          <w:tcPr>
            <w:tcW w:w="1657" w:type="dxa"/>
            <w:vAlign w:val="center"/>
          </w:tcPr>
          <w:p w14:paraId="6468A353">
            <w:pPr>
              <w:pStyle w:val="185"/>
              <w:spacing w:line="240" w:lineRule="auto"/>
              <w:ind w:firstLine="0"/>
              <w:jc w:val="center"/>
              <w:rPr>
                <w:rFonts w:hint="eastAsia"/>
                <w:color w:val="000000"/>
                <w:sz w:val="17"/>
                <w:szCs w:val="17"/>
              </w:rPr>
            </w:pPr>
            <w:r>
              <w:rPr>
                <w:rFonts w:hint="eastAsia"/>
                <w:color w:val="000000"/>
                <w:sz w:val="17"/>
                <w:szCs w:val="17"/>
              </w:rPr>
              <w:t>70</w:t>
            </w:r>
          </w:p>
        </w:tc>
      </w:tr>
      <w:tr w14:paraId="7FC478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2750" w:type="dxa"/>
            <w:gridSpan w:val="2"/>
            <w:vAlign w:val="center"/>
          </w:tcPr>
          <w:p w14:paraId="6BAB346C">
            <w:pPr>
              <w:pStyle w:val="185"/>
              <w:spacing w:line="240" w:lineRule="auto"/>
              <w:ind w:firstLine="0"/>
              <w:jc w:val="center"/>
              <w:rPr>
                <w:rFonts w:hint="eastAsia"/>
                <w:color w:val="000000"/>
                <w:sz w:val="17"/>
                <w:szCs w:val="17"/>
              </w:rPr>
            </w:pPr>
            <w:r>
              <w:rPr>
                <w:rFonts w:hint="eastAsia"/>
                <w:color w:val="000000"/>
                <w:sz w:val="17"/>
                <w:szCs w:val="17"/>
              </w:rPr>
              <w:t>与外部连接的接线端子</w:t>
            </w:r>
          </w:p>
        </w:tc>
        <w:tc>
          <w:tcPr>
            <w:tcW w:w="1657" w:type="dxa"/>
            <w:vAlign w:val="center"/>
          </w:tcPr>
          <w:p w14:paraId="2206F3D2">
            <w:pPr>
              <w:pStyle w:val="185"/>
              <w:spacing w:line="240" w:lineRule="auto"/>
              <w:ind w:firstLine="0"/>
              <w:jc w:val="center"/>
              <w:rPr>
                <w:rFonts w:hint="eastAsia"/>
                <w:color w:val="000000"/>
                <w:sz w:val="17"/>
                <w:szCs w:val="17"/>
              </w:rPr>
            </w:pPr>
            <w:r>
              <w:rPr>
                <w:rFonts w:hint="eastAsia"/>
                <w:color w:val="000000"/>
                <w:sz w:val="17"/>
                <w:szCs w:val="17"/>
              </w:rPr>
              <w:t>80</w:t>
            </w:r>
          </w:p>
        </w:tc>
      </w:tr>
      <w:tr w14:paraId="645DC0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410" w:type="dxa"/>
            <w:vMerge w:val="restart"/>
            <w:vAlign w:val="center"/>
          </w:tcPr>
          <w:p w14:paraId="2F3CD1D3">
            <w:pPr>
              <w:pStyle w:val="185"/>
              <w:spacing w:line="240" w:lineRule="auto"/>
              <w:ind w:firstLine="0"/>
              <w:jc w:val="center"/>
              <w:rPr>
                <w:rFonts w:hint="eastAsia"/>
                <w:color w:val="000000"/>
                <w:sz w:val="17"/>
                <w:szCs w:val="17"/>
              </w:rPr>
            </w:pPr>
            <w:r>
              <w:rPr>
                <w:rFonts w:hint="eastAsia"/>
                <w:color w:val="000000"/>
                <w:sz w:val="17"/>
                <w:szCs w:val="17"/>
              </w:rPr>
              <w:t>人力操作部件</w:t>
            </w:r>
          </w:p>
        </w:tc>
        <w:tc>
          <w:tcPr>
            <w:tcW w:w="1339" w:type="dxa"/>
            <w:vAlign w:val="center"/>
          </w:tcPr>
          <w:p w14:paraId="4B4A511C">
            <w:pPr>
              <w:pStyle w:val="185"/>
              <w:spacing w:line="240" w:lineRule="auto"/>
              <w:ind w:firstLine="0"/>
              <w:jc w:val="center"/>
              <w:rPr>
                <w:rFonts w:hint="eastAsia"/>
                <w:color w:val="000000"/>
                <w:sz w:val="17"/>
                <w:szCs w:val="17"/>
              </w:rPr>
            </w:pPr>
            <w:r>
              <w:rPr>
                <w:rFonts w:hint="eastAsia"/>
                <w:color w:val="000000"/>
                <w:sz w:val="17"/>
                <w:szCs w:val="17"/>
              </w:rPr>
              <w:t>金属零件</w:t>
            </w:r>
          </w:p>
        </w:tc>
        <w:tc>
          <w:tcPr>
            <w:tcW w:w="1657" w:type="dxa"/>
            <w:vAlign w:val="center"/>
          </w:tcPr>
          <w:p w14:paraId="7D16879E">
            <w:pPr>
              <w:pStyle w:val="185"/>
              <w:spacing w:line="240" w:lineRule="auto"/>
              <w:ind w:firstLine="0"/>
              <w:jc w:val="center"/>
              <w:rPr>
                <w:rFonts w:hint="eastAsia"/>
                <w:color w:val="000000"/>
                <w:sz w:val="17"/>
                <w:szCs w:val="17"/>
              </w:rPr>
            </w:pPr>
            <w:r>
              <w:rPr>
                <w:rFonts w:hint="eastAsia"/>
                <w:color w:val="000000"/>
                <w:sz w:val="17"/>
                <w:szCs w:val="17"/>
              </w:rPr>
              <w:t>25</w:t>
            </w:r>
          </w:p>
        </w:tc>
      </w:tr>
      <w:tr w14:paraId="584377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 w:hRule="atLeast"/>
          <w:jc w:val="center"/>
        </w:trPr>
        <w:tc>
          <w:tcPr>
            <w:tcW w:w="1410" w:type="dxa"/>
            <w:vMerge w:val="continue"/>
            <w:vAlign w:val="center"/>
          </w:tcPr>
          <w:p w14:paraId="7BB06FFB">
            <w:pPr>
              <w:pStyle w:val="185"/>
              <w:spacing w:line="240" w:lineRule="auto"/>
              <w:ind w:firstLine="0"/>
              <w:jc w:val="center"/>
              <w:rPr>
                <w:rFonts w:hint="eastAsia"/>
                <w:color w:val="000000"/>
                <w:sz w:val="17"/>
                <w:szCs w:val="17"/>
              </w:rPr>
            </w:pPr>
          </w:p>
        </w:tc>
        <w:tc>
          <w:tcPr>
            <w:tcW w:w="1339" w:type="dxa"/>
            <w:vAlign w:val="center"/>
          </w:tcPr>
          <w:p w14:paraId="3AC4E812">
            <w:pPr>
              <w:pStyle w:val="185"/>
              <w:spacing w:line="240" w:lineRule="auto"/>
              <w:ind w:firstLine="0"/>
              <w:jc w:val="center"/>
              <w:rPr>
                <w:rFonts w:hint="eastAsia"/>
                <w:color w:val="000000"/>
                <w:sz w:val="17"/>
                <w:szCs w:val="17"/>
              </w:rPr>
            </w:pPr>
            <w:r>
              <w:rPr>
                <w:rFonts w:hint="eastAsia"/>
                <w:color w:val="000000"/>
                <w:sz w:val="17"/>
                <w:szCs w:val="17"/>
              </w:rPr>
              <w:t>非金属零件</w:t>
            </w:r>
          </w:p>
        </w:tc>
        <w:tc>
          <w:tcPr>
            <w:tcW w:w="1657" w:type="dxa"/>
            <w:vAlign w:val="center"/>
          </w:tcPr>
          <w:p w14:paraId="2F07C5FE">
            <w:pPr>
              <w:pStyle w:val="185"/>
              <w:spacing w:line="240" w:lineRule="auto"/>
              <w:ind w:firstLine="0"/>
              <w:jc w:val="center"/>
              <w:rPr>
                <w:rFonts w:hint="eastAsia"/>
                <w:color w:val="000000"/>
                <w:sz w:val="17"/>
                <w:szCs w:val="17"/>
              </w:rPr>
            </w:pPr>
            <w:r>
              <w:rPr>
                <w:rFonts w:hint="eastAsia"/>
                <w:color w:val="000000"/>
                <w:sz w:val="17"/>
                <w:szCs w:val="17"/>
              </w:rPr>
              <w:t>35</w:t>
            </w:r>
          </w:p>
        </w:tc>
      </w:tr>
      <w:tr w14:paraId="55CEA0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410" w:type="dxa"/>
            <w:vMerge w:val="restart"/>
            <w:vAlign w:val="center"/>
          </w:tcPr>
          <w:p w14:paraId="2F557F07">
            <w:pPr>
              <w:pStyle w:val="185"/>
              <w:spacing w:line="240" w:lineRule="auto"/>
              <w:ind w:firstLine="0"/>
              <w:jc w:val="center"/>
              <w:rPr>
                <w:rFonts w:hint="eastAsia"/>
                <w:color w:val="000000"/>
                <w:sz w:val="17"/>
                <w:szCs w:val="17"/>
              </w:rPr>
            </w:pPr>
            <w:r>
              <w:rPr>
                <w:rFonts w:hint="eastAsia"/>
                <w:color w:val="000000"/>
                <w:sz w:val="17"/>
                <w:szCs w:val="17"/>
              </w:rPr>
              <w:t>可触及但不能握住的部件</w:t>
            </w:r>
          </w:p>
        </w:tc>
        <w:tc>
          <w:tcPr>
            <w:tcW w:w="1339" w:type="dxa"/>
            <w:vAlign w:val="center"/>
          </w:tcPr>
          <w:p w14:paraId="7DF7028F">
            <w:pPr>
              <w:pStyle w:val="185"/>
              <w:spacing w:line="240" w:lineRule="auto"/>
              <w:ind w:firstLine="0"/>
              <w:jc w:val="center"/>
              <w:rPr>
                <w:rFonts w:hint="eastAsia"/>
                <w:color w:val="000000"/>
                <w:sz w:val="17"/>
                <w:szCs w:val="17"/>
              </w:rPr>
            </w:pPr>
            <w:r>
              <w:rPr>
                <w:rFonts w:hint="eastAsia"/>
                <w:color w:val="000000"/>
                <w:sz w:val="17"/>
                <w:szCs w:val="17"/>
              </w:rPr>
              <w:t>金属零件</w:t>
            </w:r>
          </w:p>
        </w:tc>
        <w:tc>
          <w:tcPr>
            <w:tcW w:w="1657" w:type="dxa"/>
            <w:vAlign w:val="center"/>
          </w:tcPr>
          <w:p w14:paraId="082A320C">
            <w:pPr>
              <w:pStyle w:val="185"/>
              <w:spacing w:line="240" w:lineRule="auto"/>
              <w:ind w:firstLine="0"/>
              <w:jc w:val="center"/>
              <w:rPr>
                <w:rFonts w:hint="eastAsia"/>
                <w:color w:val="000000"/>
                <w:sz w:val="17"/>
                <w:szCs w:val="17"/>
              </w:rPr>
            </w:pPr>
            <w:r>
              <w:rPr>
                <w:rFonts w:hint="eastAsia"/>
                <w:color w:val="000000"/>
                <w:sz w:val="17"/>
                <w:szCs w:val="17"/>
              </w:rPr>
              <w:t>40</w:t>
            </w:r>
          </w:p>
        </w:tc>
      </w:tr>
      <w:tr w14:paraId="6EBFFC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 w:hRule="atLeast"/>
          <w:jc w:val="center"/>
        </w:trPr>
        <w:tc>
          <w:tcPr>
            <w:tcW w:w="1410" w:type="dxa"/>
            <w:vMerge w:val="continue"/>
            <w:vAlign w:val="center"/>
          </w:tcPr>
          <w:p w14:paraId="72FD57EE">
            <w:pPr>
              <w:pStyle w:val="185"/>
              <w:spacing w:line="240" w:lineRule="auto"/>
              <w:ind w:firstLine="0"/>
              <w:jc w:val="center"/>
              <w:rPr>
                <w:rFonts w:hint="eastAsia"/>
                <w:color w:val="000000"/>
                <w:sz w:val="17"/>
                <w:szCs w:val="17"/>
              </w:rPr>
            </w:pPr>
          </w:p>
        </w:tc>
        <w:tc>
          <w:tcPr>
            <w:tcW w:w="1339" w:type="dxa"/>
            <w:vAlign w:val="center"/>
          </w:tcPr>
          <w:p w14:paraId="7C234104">
            <w:pPr>
              <w:pStyle w:val="185"/>
              <w:spacing w:line="240" w:lineRule="auto"/>
              <w:ind w:firstLine="0"/>
              <w:jc w:val="center"/>
              <w:rPr>
                <w:rFonts w:hint="eastAsia"/>
                <w:color w:val="000000"/>
                <w:sz w:val="17"/>
                <w:szCs w:val="17"/>
              </w:rPr>
            </w:pPr>
            <w:r>
              <w:rPr>
                <w:rFonts w:hint="eastAsia"/>
                <w:color w:val="000000"/>
                <w:sz w:val="17"/>
                <w:szCs w:val="17"/>
              </w:rPr>
              <w:t>非金属零件</w:t>
            </w:r>
          </w:p>
        </w:tc>
        <w:tc>
          <w:tcPr>
            <w:tcW w:w="1657" w:type="dxa"/>
            <w:vAlign w:val="center"/>
          </w:tcPr>
          <w:p w14:paraId="6F822485">
            <w:pPr>
              <w:pStyle w:val="185"/>
              <w:spacing w:line="240" w:lineRule="auto"/>
              <w:ind w:firstLine="0"/>
              <w:jc w:val="center"/>
              <w:rPr>
                <w:rFonts w:hint="eastAsia"/>
                <w:color w:val="000000"/>
                <w:sz w:val="17"/>
                <w:szCs w:val="17"/>
              </w:rPr>
            </w:pPr>
            <w:r>
              <w:rPr>
                <w:rFonts w:hint="eastAsia"/>
                <w:color w:val="000000"/>
                <w:sz w:val="17"/>
                <w:szCs w:val="17"/>
              </w:rPr>
              <w:t>50</w:t>
            </w:r>
          </w:p>
        </w:tc>
      </w:tr>
      <w:tr w14:paraId="0EC440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410" w:type="dxa"/>
            <w:vMerge w:val="restart"/>
            <w:vAlign w:val="center"/>
          </w:tcPr>
          <w:p w14:paraId="5636452F">
            <w:pPr>
              <w:pStyle w:val="185"/>
              <w:spacing w:line="240" w:lineRule="auto"/>
              <w:ind w:firstLine="0"/>
              <w:jc w:val="center"/>
              <w:rPr>
                <w:rFonts w:hint="eastAsia"/>
                <w:color w:val="000000"/>
                <w:sz w:val="17"/>
                <w:szCs w:val="17"/>
              </w:rPr>
            </w:pPr>
            <w:r>
              <w:rPr>
                <w:rFonts w:hint="eastAsia"/>
                <w:color w:val="000000"/>
                <w:sz w:val="17"/>
                <w:szCs w:val="17"/>
              </w:rPr>
              <w:t>正常操作时无需触及的部件</w:t>
            </w:r>
          </w:p>
        </w:tc>
        <w:tc>
          <w:tcPr>
            <w:tcW w:w="1339" w:type="dxa"/>
            <w:vAlign w:val="center"/>
          </w:tcPr>
          <w:p w14:paraId="7B0905A5">
            <w:pPr>
              <w:pStyle w:val="185"/>
              <w:spacing w:line="240" w:lineRule="auto"/>
              <w:ind w:firstLine="0"/>
              <w:jc w:val="center"/>
              <w:rPr>
                <w:rFonts w:hint="eastAsia"/>
                <w:color w:val="000000"/>
                <w:sz w:val="17"/>
                <w:szCs w:val="17"/>
              </w:rPr>
            </w:pPr>
            <w:r>
              <w:rPr>
                <w:rFonts w:hint="eastAsia"/>
                <w:color w:val="000000"/>
                <w:sz w:val="17"/>
                <w:szCs w:val="17"/>
              </w:rPr>
              <w:t>金属零件</w:t>
            </w:r>
          </w:p>
        </w:tc>
        <w:tc>
          <w:tcPr>
            <w:tcW w:w="1657" w:type="dxa"/>
            <w:vAlign w:val="center"/>
          </w:tcPr>
          <w:p w14:paraId="242A8886">
            <w:pPr>
              <w:pStyle w:val="185"/>
              <w:spacing w:line="240" w:lineRule="auto"/>
              <w:ind w:firstLine="0"/>
              <w:jc w:val="center"/>
              <w:rPr>
                <w:rFonts w:hint="eastAsia"/>
                <w:color w:val="000000"/>
                <w:sz w:val="17"/>
                <w:szCs w:val="17"/>
              </w:rPr>
            </w:pPr>
            <w:r>
              <w:rPr>
                <w:rFonts w:hint="eastAsia"/>
                <w:color w:val="000000"/>
                <w:sz w:val="17"/>
                <w:szCs w:val="17"/>
              </w:rPr>
              <w:t>50</w:t>
            </w:r>
          </w:p>
        </w:tc>
      </w:tr>
      <w:tr w14:paraId="2918CC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 w:hRule="atLeast"/>
          <w:jc w:val="center"/>
        </w:trPr>
        <w:tc>
          <w:tcPr>
            <w:tcW w:w="1410" w:type="dxa"/>
            <w:vMerge w:val="continue"/>
            <w:vAlign w:val="center"/>
          </w:tcPr>
          <w:p w14:paraId="19F0A3C1">
            <w:pPr>
              <w:pStyle w:val="185"/>
              <w:spacing w:line="240" w:lineRule="auto"/>
              <w:ind w:firstLine="0"/>
              <w:jc w:val="center"/>
              <w:rPr>
                <w:rFonts w:hint="eastAsia"/>
                <w:color w:val="000000"/>
                <w:sz w:val="17"/>
                <w:szCs w:val="17"/>
              </w:rPr>
            </w:pPr>
          </w:p>
        </w:tc>
        <w:tc>
          <w:tcPr>
            <w:tcW w:w="1339" w:type="dxa"/>
            <w:vAlign w:val="center"/>
          </w:tcPr>
          <w:p w14:paraId="3FC6E43A">
            <w:pPr>
              <w:pStyle w:val="185"/>
              <w:spacing w:line="240" w:lineRule="auto"/>
              <w:ind w:firstLine="0"/>
              <w:jc w:val="center"/>
              <w:rPr>
                <w:rFonts w:hint="eastAsia"/>
                <w:color w:val="000000"/>
                <w:sz w:val="17"/>
                <w:szCs w:val="17"/>
              </w:rPr>
            </w:pPr>
            <w:r>
              <w:rPr>
                <w:rFonts w:hint="eastAsia"/>
                <w:color w:val="000000"/>
                <w:sz w:val="17"/>
                <w:szCs w:val="17"/>
              </w:rPr>
              <w:t>非金属零件</w:t>
            </w:r>
          </w:p>
        </w:tc>
        <w:tc>
          <w:tcPr>
            <w:tcW w:w="1657" w:type="dxa"/>
            <w:vAlign w:val="center"/>
          </w:tcPr>
          <w:p w14:paraId="4C2E58FD">
            <w:pPr>
              <w:pStyle w:val="185"/>
              <w:spacing w:line="240" w:lineRule="auto"/>
              <w:ind w:firstLine="0"/>
              <w:jc w:val="center"/>
              <w:rPr>
                <w:rFonts w:hint="eastAsia"/>
                <w:color w:val="000000"/>
                <w:sz w:val="17"/>
                <w:szCs w:val="17"/>
              </w:rPr>
            </w:pPr>
            <w:r>
              <w:rPr>
                <w:rFonts w:hint="eastAsia"/>
                <w:color w:val="000000"/>
                <w:sz w:val="17"/>
                <w:szCs w:val="17"/>
              </w:rPr>
              <w:t>60</w:t>
            </w:r>
          </w:p>
        </w:tc>
      </w:tr>
    </w:tbl>
    <w:p w14:paraId="5E40AE19">
      <w:pPr>
        <w:ind w:left="0" w:firstLine="0" w:firstLineChars="0"/>
        <w:rPr>
          <w:rFonts w:asciiTheme="minorEastAsia" w:hAnsiTheme="minorEastAsia" w:eastAsiaTheme="minorEastAsia"/>
          <w:sz w:val="20"/>
          <w:szCs w:val="22"/>
        </w:rPr>
      </w:pPr>
    </w:p>
    <w:p w14:paraId="57886514">
      <w:pPr>
        <w:keepNext w:val="0"/>
        <w:keepLines w:val="0"/>
        <w:pageBreakBefore w:val="0"/>
        <w:widowControl w:val="0"/>
        <w:kinsoku/>
        <w:wordWrap/>
        <w:overflowPunct/>
        <w:topLinePunct w:val="0"/>
        <w:autoSpaceDE/>
        <w:autoSpaceDN/>
        <w:bidi w:val="0"/>
        <w:adjustRightInd/>
        <w:snapToGrid/>
        <w:spacing w:line="320" w:lineRule="exact"/>
        <w:ind w:left="820" w:leftChars="200" w:hanging="400" w:hangingChars="200"/>
        <w:jc w:val="left"/>
        <w:textAlignment w:val="auto"/>
        <w:rPr>
          <w:rFonts w:asciiTheme="minorEastAsia" w:hAnsiTheme="minorEastAsia" w:eastAsiaTheme="minorEastAsia"/>
          <w:sz w:val="20"/>
          <w:szCs w:val="22"/>
        </w:rPr>
      </w:pPr>
      <w:r>
        <w:rPr>
          <w:rFonts w:hint="eastAsia" w:asciiTheme="minorEastAsia" w:hAnsiTheme="minorEastAsia" w:eastAsiaTheme="minorEastAsia"/>
          <w:sz w:val="20"/>
          <w:szCs w:val="22"/>
        </w:rPr>
        <w:t>c）测试工况见表</w:t>
      </w:r>
      <w:r>
        <w:rPr>
          <w:rFonts w:hint="eastAsia" w:asciiTheme="minorEastAsia" w:hAnsiTheme="minorEastAsia" w:eastAsiaTheme="minorEastAsia"/>
          <w:sz w:val="20"/>
          <w:szCs w:val="22"/>
          <w:lang w:val="en-US" w:eastAsia="zh-CN"/>
        </w:rPr>
        <w:t>4</w:t>
      </w:r>
      <w:r>
        <w:rPr>
          <w:rFonts w:hint="eastAsia" w:asciiTheme="minorEastAsia" w:hAnsiTheme="minorEastAsia" w:eastAsiaTheme="minorEastAsia"/>
          <w:sz w:val="20"/>
          <w:szCs w:val="22"/>
        </w:rPr>
        <w:t>。</w:t>
      </w:r>
    </w:p>
    <w:p w14:paraId="1FC5FB36">
      <w:pPr>
        <w:pStyle w:val="183"/>
        <w:jc w:val="center"/>
        <w:rPr>
          <w:rFonts w:hint="default" w:ascii="宋体" w:hAnsi="宋体" w:eastAsia="宋体" w:cs="宋体"/>
          <w:color w:val="000000"/>
          <w:lang w:val="en-US" w:eastAsia="zh-CN"/>
        </w:rPr>
      </w:pPr>
      <w:r>
        <w:rPr>
          <w:rFonts w:hint="default" w:ascii="宋体" w:hAnsi="宋体" w:eastAsia="宋体" w:cs="宋体"/>
          <w:color w:val="000000"/>
        </w:rPr>
        <w:t>表</w:t>
      </w:r>
      <w:r>
        <w:rPr>
          <w:rFonts w:hint="eastAsia" w:cs="宋体"/>
          <w:color w:val="000000"/>
          <w:lang w:val="en-US" w:eastAsia="zh-CN"/>
        </w:rPr>
        <w:t>4</w:t>
      </w:r>
      <w:r>
        <w:rPr>
          <w:rFonts w:hint="default" w:ascii="宋体" w:hAnsi="宋体" w:eastAsia="宋体" w:cs="宋体"/>
          <w:color w:val="000000"/>
        </w:rPr>
        <w:t xml:space="preserve">  </w:t>
      </w:r>
      <w:r>
        <w:rPr>
          <w:rFonts w:hint="eastAsia" w:cs="宋体"/>
          <w:color w:val="000000"/>
          <w:lang w:val="en-US" w:eastAsia="zh-CN"/>
        </w:rPr>
        <w:t>测试工况要求</w:t>
      </w:r>
    </w:p>
    <w:tbl>
      <w:tblPr>
        <w:tblStyle w:val="35"/>
        <w:tblW w:w="37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810"/>
        <w:gridCol w:w="5033"/>
      </w:tblGrid>
      <w:tr w14:paraId="7D2F8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00" w:type="pct"/>
            <w:shd w:val="clear" w:color="auto" w:fill="auto"/>
            <w:vAlign w:val="center"/>
          </w:tcPr>
          <w:p w14:paraId="27E312AC">
            <w:pPr>
              <w:pStyle w:val="185"/>
              <w:spacing w:line="240" w:lineRule="auto"/>
              <w:ind w:firstLine="0"/>
              <w:jc w:val="center"/>
              <w:rPr>
                <w:rFonts w:hint="eastAsia"/>
                <w:color w:val="000000"/>
                <w:sz w:val="17"/>
                <w:szCs w:val="17"/>
              </w:rPr>
            </w:pPr>
            <w:r>
              <w:rPr>
                <w:rFonts w:hint="eastAsia"/>
                <w:color w:val="000000"/>
                <w:sz w:val="17"/>
                <w:szCs w:val="17"/>
              </w:rPr>
              <w:t>工作模式</w:t>
            </w:r>
          </w:p>
        </w:tc>
        <w:tc>
          <w:tcPr>
            <w:tcW w:w="568" w:type="pct"/>
            <w:shd w:val="clear" w:color="auto" w:fill="auto"/>
            <w:vAlign w:val="center"/>
          </w:tcPr>
          <w:p w14:paraId="6A419AC3">
            <w:pPr>
              <w:pStyle w:val="185"/>
              <w:spacing w:line="240" w:lineRule="auto"/>
              <w:ind w:firstLine="0"/>
              <w:jc w:val="center"/>
              <w:rPr>
                <w:rFonts w:hint="eastAsia"/>
                <w:color w:val="000000"/>
                <w:sz w:val="17"/>
                <w:szCs w:val="17"/>
              </w:rPr>
            </w:pPr>
            <w:r>
              <w:rPr>
                <w:rFonts w:hint="eastAsia"/>
                <w:color w:val="000000"/>
                <w:sz w:val="17"/>
                <w:szCs w:val="17"/>
              </w:rPr>
              <w:t>序号</w:t>
            </w:r>
          </w:p>
        </w:tc>
        <w:tc>
          <w:tcPr>
            <w:tcW w:w="3531" w:type="pct"/>
            <w:shd w:val="clear" w:color="auto" w:fill="auto"/>
            <w:vAlign w:val="center"/>
          </w:tcPr>
          <w:p w14:paraId="583473BC">
            <w:pPr>
              <w:pStyle w:val="185"/>
              <w:spacing w:line="240" w:lineRule="auto"/>
              <w:ind w:firstLine="0"/>
              <w:jc w:val="center"/>
              <w:rPr>
                <w:rFonts w:hint="eastAsia"/>
                <w:color w:val="000000"/>
                <w:sz w:val="17"/>
                <w:szCs w:val="17"/>
              </w:rPr>
            </w:pPr>
            <w:r>
              <w:rPr>
                <w:rFonts w:hint="eastAsia"/>
                <w:color w:val="000000"/>
                <w:sz w:val="17"/>
                <w:szCs w:val="17"/>
              </w:rPr>
              <w:t>测试工况描述</w:t>
            </w:r>
          </w:p>
        </w:tc>
      </w:tr>
      <w:tr w14:paraId="2BBA5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0" w:type="pct"/>
            <w:shd w:val="clear" w:color="auto" w:fill="auto"/>
            <w:vAlign w:val="center"/>
          </w:tcPr>
          <w:p w14:paraId="2574B551">
            <w:pPr>
              <w:pStyle w:val="185"/>
              <w:spacing w:line="240" w:lineRule="auto"/>
              <w:ind w:firstLine="0"/>
              <w:jc w:val="center"/>
              <w:rPr>
                <w:rFonts w:hint="eastAsia"/>
                <w:color w:val="000000"/>
                <w:sz w:val="17"/>
                <w:szCs w:val="17"/>
              </w:rPr>
            </w:pPr>
            <w:r>
              <w:rPr>
                <w:rFonts w:hint="eastAsia"/>
                <w:color w:val="000000"/>
                <w:sz w:val="17"/>
                <w:szCs w:val="17"/>
              </w:rPr>
              <w:t>UPS逆变模式</w:t>
            </w:r>
          </w:p>
        </w:tc>
        <w:tc>
          <w:tcPr>
            <w:tcW w:w="568" w:type="pct"/>
            <w:shd w:val="clear" w:color="auto" w:fill="auto"/>
            <w:vAlign w:val="center"/>
          </w:tcPr>
          <w:p w14:paraId="6A186D2C">
            <w:pPr>
              <w:pStyle w:val="185"/>
              <w:spacing w:line="240" w:lineRule="auto"/>
              <w:ind w:firstLine="0"/>
              <w:jc w:val="center"/>
              <w:rPr>
                <w:rFonts w:hint="eastAsia"/>
                <w:color w:val="000000"/>
                <w:sz w:val="17"/>
                <w:szCs w:val="17"/>
              </w:rPr>
            </w:pPr>
            <w:r>
              <w:rPr>
                <w:rFonts w:hint="eastAsia"/>
                <w:color w:val="000000"/>
                <w:sz w:val="17"/>
                <w:szCs w:val="17"/>
              </w:rPr>
              <w:t>工况1</w:t>
            </w:r>
          </w:p>
        </w:tc>
        <w:tc>
          <w:tcPr>
            <w:tcW w:w="3531" w:type="pct"/>
            <w:shd w:val="clear" w:color="auto" w:fill="auto"/>
            <w:vAlign w:val="center"/>
          </w:tcPr>
          <w:p w14:paraId="028D856A">
            <w:pPr>
              <w:pStyle w:val="185"/>
              <w:spacing w:line="240" w:lineRule="auto"/>
              <w:ind w:firstLine="0"/>
              <w:jc w:val="center"/>
              <w:rPr>
                <w:rFonts w:hint="eastAsia"/>
                <w:color w:val="000000"/>
                <w:sz w:val="17"/>
                <w:szCs w:val="17"/>
              </w:rPr>
            </w:pPr>
            <w:r>
              <w:rPr>
                <w:rFonts w:hint="eastAsia"/>
                <w:color w:val="000000"/>
                <w:sz w:val="17"/>
                <w:szCs w:val="17"/>
              </w:rPr>
              <w:t>主路逆变模式：额定输入电流，最高输入额定电压、100%负载，额定最高输出电压</w:t>
            </w:r>
          </w:p>
        </w:tc>
      </w:tr>
      <w:tr w14:paraId="41B16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0" w:type="pct"/>
            <w:shd w:val="clear" w:color="auto" w:fill="auto"/>
            <w:vAlign w:val="center"/>
          </w:tcPr>
          <w:p w14:paraId="6E1C300B">
            <w:pPr>
              <w:pStyle w:val="185"/>
              <w:spacing w:line="240" w:lineRule="auto"/>
              <w:ind w:firstLine="0"/>
              <w:jc w:val="center"/>
              <w:rPr>
                <w:rFonts w:hint="eastAsia"/>
                <w:color w:val="000000"/>
                <w:sz w:val="17"/>
                <w:szCs w:val="17"/>
              </w:rPr>
            </w:pPr>
            <w:r>
              <w:rPr>
                <w:rFonts w:hint="eastAsia"/>
                <w:color w:val="000000"/>
                <w:sz w:val="17"/>
                <w:szCs w:val="17"/>
              </w:rPr>
              <w:t>UPS逆变模式</w:t>
            </w:r>
          </w:p>
        </w:tc>
        <w:tc>
          <w:tcPr>
            <w:tcW w:w="568" w:type="pct"/>
            <w:shd w:val="clear" w:color="auto" w:fill="auto"/>
            <w:vAlign w:val="center"/>
          </w:tcPr>
          <w:p w14:paraId="2A27306D">
            <w:pPr>
              <w:pStyle w:val="185"/>
              <w:spacing w:line="240" w:lineRule="auto"/>
              <w:ind w:firstLine="0"/>
              <w:jc w:val="center"/>
              <w:rPr>
                <w:rFonts w:hint="eastAsia"/>
                <w:color w:val="000000"/>
                <w:sz w:val="17"/>
                <w:szCs w:val="17"/>
              </w:rPr>
            </w:pPr>
            <w:r>
              <w:rPr>
                <w:rFonts w:hint="eastAsia"/>
                <w:color w:val="000000"/>
                <w:sz w:val="17"/>
                <w:szCs w:val="17"/>
              </w:rPr>
              <w:t>工况2</w:t>
            </w:r>
          </w:p>
        </w:tc>
        <w:tc>
          <w:tcPr>
            <w:tcW w:w="3531" w:type="pct"/>
            <w:shd w:val="clear" w:color="auto" w:fill="auto"/>
            <w:vAlign w:val="center"/>
          </w:tcPr>
          <w:p w14:paraId="11F0BB98">
            <w:pPr>
              <w:pStyle w:val="185"/>
              <w:spacing w:line="240" w:lineRule="auto"/>
              <w:ind w:firstLine="0"/>
              <w:jc w:val="center"/>
              <w:rPr>
                <w:rFonts w:hint="eastAsia"/>
                <w:color w:val="000000"/>
                <w:sz w:val="17"/>
                <w:szCs w:val="17"/>
              </w:rPr>
            </w:pPr>
            <w:r>
              <w:rPr>
                <w:rFonts w:hint="eastAsia"/>
                <w:color w:val="000000"/>
                <w:sz w:val="17"/>
                <w:szCs w:val="17"/>
              </w:rPr>
              <w:t>主路逆变模式：额定输入电流，最高输入额定电压、100%负载，额定最低输出电压</w:t>
            </w:r>
          </w:p>
        </w:tc>
      </w:tr>
    </w:tbl>
    <w:p w14:paraId="6D03BC73">
      <w:pPr>
        <w:pStyle w:val="172"/>
        <w:ind w:left="0"/>
        <w:jc w:val="left"/>
        <w:outlineLvl w:val="2"/>
        <w:rPr>
          <w:rFonts w:ascii="黑体" w:hAnsi="黑体" w:eastAsia="黑体" w:cs="黑体"/>
        </w:rPr>
      </w:pPr>
      <w:r>
        <w:rPr>
          <w:rFonts w:hint="eastAsia" w:ascii="黑体" w:hAnsi="黑体" w:eastAsia="黑体" w:cs="黑体"/>
        </w:rPr>
        <w:t>制冷系统检查与试验</w:t>
      </w:r>
    </w:p>
    <w:p w14:paraId="6B161BFE">
      <w:pPr>
        <w:pStyle w:val="172"/>
        <w:keepNext w:val="0"/>
        <w:keepLines w:val="0"/>
        <w:pageBreakBefore w:val="0"/>
        <w:widowControl/>
        <w:numPr>
          <w:numId w:val="0"/>
        </w:numPr>
        <w:kinsoku/>
        <w:wordWrap/>
        <w:overflowPunct/>
        <w:topLinePunct w:val="0"/>
        <w:bidi w:val="0"/>
        <w:adjustRightInd/>
        <w:snapToGrid/>
        <w:spacing w:line="320" w:lineRule="exact"/>
        <w:ind w:left="820" w:leftChars="200" w:hanging="400" w:hangingChars="200"/>
        <w:jc w:val="left"/>
        <w:textAlignment w:val="auto"/>
        <w:rPr>
          <w:rFonts w:hint="eastAsia" w:cs="Times New Roman" w:asciiTheme="minorEastAsia" w:hAnsiTheme="minorEastAsia" w:eastAsiaTheme="minorEastAsia"/>
          <w:color w:val="252B3A"/>
          <w:kern w:val="0"/>
          <w:sz w:val="20"/>
          <w:szCs w:val="20"/>
          <w:lang w:val="en-US" w:eastAsia="zh-CN" w:bidi="ar-SA"/>
        </w:rPr>
      </w:pPr>
      <w:r>
        <w:rPr>
          <w:rFonts w:hint="eastAsia" w:cs="Times New Roman" w:asciiTheme="minorEastAsia" w:hAnsiTheme="minorEastAsia" w:eastAsiaTheme="minorEastAsia"/>
          <w:color w:val="252B3A"/>
          <w:kern w:val="0"/>
          <w:sz w:val="20"/>
          <w:szCs w:val="20"/>
          <w:lang w:val="en-US" w:eastAsia="zh-CN" w:bidi="ar-SA"/>
        </w:rPr>
        <w:t>试验设备如下：</w:t>
      </w:r>
    </w:p>
    <w:p w14:paraId="7CF3196D">
      <w:pPr>
        <w:pStyle w:val="172"/>
        <w:keepNext w:val="0"/>
        <w:keepLines w:val="0"/>
        <w:pageBreakBefore w:val="0"/>
        <w:widowControl/>
        <w:numPr>
          <w:ilvl w:val="0"/>
          <w:numId w:val="30"/>
        </w:numPr>
        <w:kinsoku/>
        <w:wordWrap/>
        <w:overflowPunct/>
        <w:topLinePunct w:val="0"/>
        <w:bidi w:val="0"/>
        <w:adjustRightInd/>
        <w:snapToGrid/>
        <w:spacing w:line="320" w:lineRule="exact"/>
        <w:ind w:left="820" w:leftChars="200" w:hanging="400" w:hangingChars="200"/>
        <w:jc w:val="left"/>
        <w:textAlignment w:val="auto"/>
        <w:rPr>
          <w:rFonts w:hint="eastAsia" w:cs="Times New Roman" w:asciiTheme="minorEastAsia" w:hAnsiTheme="minorEastAsia" w:eastAsiaTheme="minorEastAsia"/>
          <w:color w:val="252B3A"/>
          <w:kern w:val="0"/>
          <w:sz w:val="20"/>
          <w:szCs w:val="20"/>
          <w:lang w:val="en-US" w:eastAsia="zh-CN" w:bidi="ar-SA"/>
        </w:rPr>
      </w:pPr>
      <w:r>
        <w:rPr>
          <w:rFonts w:hint="eastAsia" w:cs="Times New Roman" w:asciiTheme="minorEastAsia" w:hAnsiTheme="minorEastAsia" w:eastAsiaTheme="minorEastAsia"/>
          <w:color w:val="252B3A"/>
          <w:kern w:val="0"/>
          <w:sz w:val="20"/>
          <w:szCs w:val="20"/>
          <w:lang w:val="en-US" w:eastAsia="zh-CN" w:bidi="ar-SA"/>
        </w:rPr>
        <w:t xml:space="preserve"> 风压仪：1%；</w:t>
      </w:r>
    </w:p>
    <w:p w14:paraId="7CE57B7D">
      <w:pPr>
        <w:pStyle w:val="172"/>
        <w:keepNext w:val="0"/>
        <w:keepLines w:val="0"/>
        <w:pageBreakBefore w:val="0"/>
        <w:widowControl/>
        <w:numPr>
          <w:ilvl w:val="0"/>
          <w:numId w:val="30"/>
        </w:numPr>
        <w:kinsoku/>
        <w:wordWrap/>
        <w:overflowPunct/>
        <w:topLinePunct w:val="0"/>
        <w:bidi w:val="0"/>
        <w:adjustRightInd/>
        <w:snapToGrid/>
        <w:spacing w:line="320" w:lineRule="exact"/>
        <w:ind w:left="820" w:leftChars="200" w:hanging="400" w:hangingChars="200"/>
        <w:jc w:val="left"/>
        <w:textAlignment w:val="auto"/>
        <w:rPr>
          <w:rFonts w:hint="eastAsia" w:cs="Times New Roman" w:asciiTheme="minorEastAsia" w:hAnsiTheme="minorEastAsia" w:eastAsiaTheme="minorEastAsia"/>
          <w:color w:val="252B3A"/>
          <w:kern w:val="0"/>
          <w:sz w:val="20"/>
          <w:szCs w:val="20"/>
          <w:lang w:val="en-US" w:eastAsia="zh-CN" w:bidi="ar-SA"/>
        </w:rPr>
      </w:pPr>
      <w:r>
        <w:rPr>
          <w:rFonts w:hint="eastAsia" w:cs="Times New Roman" w:asciiTheme="minorEastAsia" w:hAnsiTheme="minorEastAsia" w:eastAsiaTheme="minorEastAsia"/>
          <w:color w:val="252B3A"/>
          <w:kern w:val="0"/>
          <w:sz w:val="20"/>
          <w:szCs w:val="20"/>
          <w:lang w:val="en-US" w:eastAsia="zh-CN" w:bidi="ar-SA"/>
        </w:rPr>
        <w:t xml:space="preserve"> 其他可用于此项目的试验设备。</w:t>
      </w:r>
    </w:p>
    <w:p w14:paraId="3E7BE61F">
      <w:pPr>
        <w:pStyle w:val="172"/>
        <w:keepNext w:val="0"/>
        <w:keepLines w:val="0"/>
        <w:pageBreakBefore w:val="0"/>
        <w:widowControl/>
        <w:numPr>
          <w:numId w:val="0"/>
        </w:numPr>
        <w:kinsoku/>
        <w:wordWrap/>
        <w:overflowPunct/>
        <w:topLinePunct w:val="0"/>
        <w:bidi w:val="0"/>
        <w:adjustRightInd/>
        <w:snapToGrid/>
        <w:spacing w:line="320" w:lineRule="exact"/>
        <w:ind w:left="820" w:leftChars="200" w:hanging="400" w:hangingChars="200"/>
        <w:jc w:val="left"/>
        <w:textAlignment w:val="auto"/>
        <w:rPr>
          <w:rFonts w:hint="default" w:cs="Times New Roman" w:asciiTheme="minorEastAsia" w:hAnsiTheme="minorEastAsia" w:eastAsiaTheme="minorEastAsia"/>
          <w:color w:val="252B3A"/>
          <w:kern w:val="0"/>
          <w:sz w:val="20"/>
          <w:szCs w:val="20"/>
          <w:lang w:val="en-US" w:eastAsia="zh-CN" w:bidi="ar-SA"/>
        </w:rPr>
      </w:pPr>
      <w:r>
        <w:rPr>
          <w:rFonts w:hint="eastAsia" w:cs="Times New Roman" w:asciiTheme="minorEastAsia" w:hAnsiTheme="minorEastAsia" w:eastAsiaTheme="minorEastAsia"/>
          <w:color w:val="252B3A"/>
          <w:kern w:val="0"/>
          <w:sz w:val="20"/>
          <w:szCs w:val="20"/>
          <w:lang w:val="en-US" w:eastAsia="zh-CN" w:bidi="ar-SA"/>
        </w:rPr>
        <w:t>压差检测步骤：</w:t>
      </w:r>
    </w:p>
    <w:p w14:paraId="06CCE47C">
      <w:pPr>
        <w:pStyle w:val="25"/>
        <w:keepNext w:val="0"/>
        <w:keepLines w:val="0"/>
        <w:pageBreakBefore w:val="0"/>
        <w:widowControl/>
        <w:numPr>
          <w:numId w:val="0"/>
        </w:numPr>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sz w:val="20"/>
        </w:rPr>
      </w:pPr>
      <w:r>
        <w:rPr>
          <w:rFonts w:hint="eastAsia" w:asciiTheme="minorEastAsia" w:hAnsiTheme="minorEastAsia" w:eastAsiaTheme="minorEastAsia"/>
          <w:color w:val="252B3A"/>
          <w:sz w:val="20"/>
          <w:lang w:val="en-US" w:eastAsia="zh-CN"/>
        </w:rPr>
        <w:t xml:space="preserve">a)  </w:t>
      </w:r>
      <w:r>
        <w:rPr>
          <w:rFonts w:asciiTheme="minorEastAsia" w:hAnsiTheme="minorEastAsia" w:eastAsiaTheme="minorEastAsia"/>
          <w:color w:val="252B3A"/>
          <w:sz w:val="20"/>
        </w:rPr>
        <w:t>在搭建好的模块机房内，关闭好所有门窗；</w:t>
      </w:r>
    </w:p>
    <w:p w14:paraId="60231195">
      <w:pPr>
        <w:pStyle w:val="25"/>
        <w:keepNext w:val="0"/>
        <w:keepLines w:val="0"/>
        <w:pageBreakBefore w:val="0"/>
        <w:widowControl/>
        <w:numPr>
          <w:numId w:val="0"/>
        </w:numPr>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sz w:val="20"/>
        </w:rPr>
      </w:pPr>
      <w:r>
        <w:rPr>
          <w:rFonts w:hint="eastAsia" w:asciiTheme="minorEastAsia" w:hAnsiTheme="minorEastAsia" w:eastAsiaTheme="minorEastAsia"/>
          <w:color w:val="252B3A"/>
          <w:sz w:val="20"/>
          <w:lang w:val="en-US" w:eastAsia="zh-CN"/>
        </w:rPr>
        <w:t xml:space="preserve">b)  </w:t>
      </w:r>
      <w:r>
        <w:rPr>
          <w:rFonts w:asciiTheme="minorEastAsia" w:hAnsiTheme="minorEastAsia" w:eastAsiaTheme="minorEastAsia"/>
          <w:color w:val="252B3A"/>
          <w:sz w:val="20"/>
        </w:rPr>
        <w:t>机房开启全部空调（n+1）和全部热负载（满载，均匀布置）</w:t>
      </w:r>
      <w:r>
        <w:rPr>
          <w:rFonts w:hint="eastAsia" w:asciiTheme="minorEastAsia" w:hAnsiTheme="minorEastAsia" w:eastAsiaTheme="minorEastAsia"/>
          <w:color w:val="252B3A"/>
          <w:sz w:val="20"/>
        </w:rPr>
        <w:t>；</w:t>
      </w:r>
    </w:p>
    <w:p w14:paraId="7378539D">
      <w:pPr>
        <w:pStyle w:val="25"/>
        <w:keepNext w:val="0"/>
        <w:keepLines w:val="0"/>
        <w:pageBreakBefore w:val="0"/>
        <w:widowControl/>
        <w:numPr>
          <w:numId w:val="0"/>
        </w:numPr>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sz w:val="20"/>
        </w:rPr>
      </w:pPr>
      <w:r>
        <w:rPr>
          <w:rFonts w:hint="eastAsia" w:asciiTheme="minorEastAsia" w:hAnsiTheme="minorEastAsia" w:eastAsiaTheme="minorEastAsia"/>
          <w:color w:val="252B3A"/>
          <w:sz w:val="20"/>
          <w:lang w:val="en-US" w:eastAsia="zh-CN"/>
        </w:rPr>
        <w:t xml:space="preserve">c)  </w:t>
      </w:r>
      <w:r>
        <w:rPr>
          <w:rFonts w:asciiTheme="minorEastAsia" w:hAnsiTheme="minorEastAsia" w:eastAsiaTheme="minorEastAsia"/>
          <w:color w:val="252B3A"/>
          <w:sz w:val="20"/>
        </w:rPr>
        <w:t>用风压仪测试模块内外空气压力</w:t>
      </w:r>
      <w:r>
        <w:rPr>
          <w:rFonts w:hint="eastAsia" w:asciiTheme="minorEastAsia" w:hAnsiTheme="minorEastAsia" w:eastAsiaTheme="minorEastAsia"/>
          <w:color w:val="252B3A"/>
          <w:sz w:val="20"/>
        </w:rPr>
        <w:t>；</w:t>
      </w:r>
    </w:p>
    <w:p w14:paraId="04CD7F40">
      <w:pPr>
        <w:pStyle w:val="25"/>
        <w:keepNext w:val="0"/>
        <w:keepLines w:val="0"/>
        <w:pageBreakBefore w:val="0"/>
        <w:widowControl/>
        <w:numPr>
          <w:numId w:val="0"/>
        </w:numPr>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sz w:val="20"/>
        </w:rPr>
      </w:pPr>
      <w:r>
        <w:rPr>
          <w:rFonts w:hint="eastAsia" w:asciiTheme="minorEastAsia" w:hAnsiTheme="minorEastAsia" w:eastAsiaTheme="minorEastAsia"/>
          <w:color w:val="252B3A"/>
          <w:sz w:val="20"/>
          <w:lang w:val="en-US" w:eastAsia="zh-CN"/>
        </w:rPr>
        <w:t xml:space="preserve">d)  </w:t>
      </w:r>
      <w:r>
        <w:rPr>
          <w:rFonts w:asciiTheme="minorEastAsia" w:hAnsiTheme="minorEastAsia" w:eastAsiaTheme="minorEastAsia"/>
          <w:color w:val="252B3A"/>
          <w:sz w:val="20"/>
        </w:rPr>
        <w:t>测点时，模块外测点与模块内测点一一对应进行测试；</w:t>
      </w:r>
    </w:p>
    <w:p w14:paraId="64883237">
      <w:pPr>
        <w:pStyle w:val="25"/>
        <w:keepNext w:val="0"/>
        <w:keepLines w:val="0"/>
        <w:pageBreakBefore w:val="0"/>
        <w:widowControl/>
        <w:numPr>
          <w:numId w:val="0"/>
        </w:numPr>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sz w:val="20"/>
        </w:rPr>
      </w:pPr>
      <w:r>
        <w:rPr>
          <w:rFonts w:hint="eastAsia" w:asciiTheme="minorEastAsia" w:hAnsiTheme="minorEastAsia" w:eastAsiaTheme="minorEastAsia"/>
          <w:color w:val="252B3A"/>
          <w:sz w:val="20"/>
          <w:lang w:val="en-US" w:eastAsia="zh-CN"/>
        </w:rPr>
        <w:t xml:space="preserve">e)  </w:t>
      </w:r>
      <w:r>
        <w:rPr>
          <w:rFonts w:asciiTheme="minorEastAsia" w:hAnsiTheme="minorEastAsia" w:eastAsiaTheme="minorEastAsia"/>
          <w:color w:val="252B3A"/>
          <w:sz w:val="20"/>
        </w:rPr>
        <w:t>测点定义，模块内测点的竖直方向位置：通道内长度方向选取中间竖直面净高0.5m 和净高1.5m 两个高度；模块内测点的水平方向：测点从距离端门0.3m开始，每隔0.6m为一个测点，空调处竖直面处不进行测试（即避开空调进出风口）；模块外测试点位置的竖直方向位置：机柜深度方向正中心竖直平面净高0.5m 和净高1.5m 两个高度分别测试，水平方向距离机柜门中心正前方0.8m处的竖直平面，空调前竖直面处不进行测试（即避开空调进出风口）；</w:t>
      </w:r>
    </w:p>
    <w:p w14:paraId="1FD5AB6F">
      <w:pPr>
        <w:pStyle w:val="25"/>
        <w:keepNext w:val="0"/>
        <w:keepLines w:val="0"/>
        <w:pageBreakBefore w:val="0"/>
        <w:widowControl/>
        <w:numPr>
          <w:numId w:val="0"/>
        </w:numPr>
        <w:kinsoku/>
        <w:wordWrap/>
        <w:overflowPunct/>
        <w:topLinePunct w:val="0"/>
        <w:autoSpaceDE w:val="0"/>
        <w:autoSpaceDN w:val="0"/>
        <w:bidi w:val="0"/>
        <w:adjustRightInd/>
        <w:snapToGrid/>
        <w:spacing w:line="320" w:lineRule="exact"/>
        <w:ind w:left="820" w:leftChars="200" w:hanging="400" w:hangingChars="200"/>
        <w:jc w:val="left"/>
        <w:textAlignment w:val="auto"/>
        <w:rPr>
          <w:rFonts w:hint="eastAsia" w:asciiTheme="minorEastAsia" w:hAnsiTheme="minorEastAsia" w:eastAsiaTheme="minorEastAsia"/>
          <w:sz w:val="20"/>
          <w:lang w:val="en-US" w:eastAsia="zh-CN"/>
        </w:rPr>
      </w:pPr>
      <w:r>
        <w:rPr>
          <w:rFonts w:hint="eastAsia" w:asciiTheme="minorEastAsia" w:hAnsiTheme="minorEastAsia" w:eastAsiaTheme="minorEastAsia"/>
          <w:color w:val="252B3A"/>
          <w:sz w:val="20"/>
          <w:lang w:val="en-US" w:eastAsia="zh-CN"/>
        </w:rPr>
        <w:t xml:space="preserve">f)  </w:t>
      </w:r>
      <w:r>
        <w:rPr>
          <w:rFonts w:asciiTheme="minorEastAsia" w:hAnsiTheme="minorEastAsia" w:eastAsiaTheme="minorEastAsia"/>
          <w:color w:val="252B3A"/>
          <w:sz w:val="20"/>
        </w:rPr>
        <w:t>对一个模块从头到尾连续测试三遍，计算出每一遍测试的每两点的压差，然后计算出平均值Pn</w:t>
      </w:r>
      <w:r>
        <w:rPr>
          <w:rFonts w:hint="eastAsia" w:asciiTheme="minorEastAsia" w:hAnsiTheme="minorEastAsia" w:eastAsiaTheme="minorEastAsia"/>
          <w:color w:val="252B3A"/>
          <w:sz w:val="20"/>
          <w:lang w:eastAsia="zh-CN"/>
        </w:rPr>
        <w:t>，</w:t>
      </w:r>
      <w:r>
        <w:rPr>
          <w:rFonts w:asciiTheme="minorEastAsia" w:hAnsiTheme="minorEastAsia" w:eastAsiaTheme="minorEastAsia"/>
          <w:color w:val="252B3A"/>
          <w:sz w:val="20"/>
        </w:rPr>
        <w:t>计算出三遍所有点的压差平均值P</w:t>
      </w:r>
      <w:r>
        <w:rPr>
          <w:rFonts w:hint="eastAsia" w:asciiTheme="minorEastAsia" w:hAnsiTheme="minorEastAsia" w:eastAsiaTheme="minorEastAsia"/>
          <w:color w:val="252B3A"/>
          <w:sz w:val="20"/>
          <w:lang w:eastAsia="zh-CN"/>
        </w:rPr>
        <w:t>；</w:t>
      </w:r>
    </w:p>
    <w:p w14:paraId="792113F5">
      <w:pPr>
        <w:pStyle w:val="172"/>
        <w:keepNext w:val="0"/>
        <w:keepLines w:val="0"/>
        <w:pageBreakBefore w:val="0"/>
        <w:widowControl/>
        <w:numPr>
          <w:numId w:val="0"/>
        </w:numPr>
        <w:kinsoku/>
        <w:wordWrap/>
        <w:overflowPunct/>
        <w:topLinePunct w:val="0"/>
        <w:bidi w:val="0"/>
        <w:adjustRightInd/>
        <w:snapToGrid/>
        <w:spacing w:line="320" w:lineRule="exact"/>
        <w:ind w:left="820" w:leftChars="200" w:hanging="400" w:hangingChars="200"/>
        <w:jc w:val="left"/>
        <w:textAlignment w:val="auto"/>
        <w:rPr>
          <w:rFonts w:ascii="Times New Roman"/>
        </w:rPr>
      </w:pPr>
      <w:r>
        <w:rPr>
          <w:rFonts w:hint="eastAsia" w:cs="Times New Roman" w:asciiTheme="minorEastAsia" w:hAnsiTheme="minorEastAsia" w:eastAsiaTheme="minorEastAsia"/>
          <w:color w:val="252B3A"/>
          <w:kern w:val="0"/>
          <w:sz w:val="20"/>
          <w:szCs w:val="20"/>
          <w:lang w:val="en-US" w:eastAsia="zh-CN" w:bidi="ar-SA"/>
        </w:rPr>
        <w:t>g)  利用4.1.3中b、c、d、e、f、g、h、i、j等用通用量具（或目测）和通用仪表对坡度、管路等进行测试。</w:t>
      </w:r>
    </w:p>
    <w:p w14:paraId="6C54E249">
      <w:pPr>
        <w:pStyle w:val="172"/>
        <w:ind w:left="0"/>
        <w:jc w:val="left"/>
        <w:outlineLvl w:val="2"/>
        <w:rPr>
          <w:rFonts w:ascii="黑体" w:hAnsi="黑体" w:eastAsia="黑体" w:cs="黑体"/>
        </w:rPr>
      </w:pPr>
      <w:r>
        <w:rPr>
          <w:rFonts w:hint="eastAsia" w:ascii="黑体" w:hAnsi="黑体" w:eastAsia="黑体" w:cs="黑体"/>
        </w:rPr>
        <w:t>综合监控系统检查与试验</w:t>
      </w:r>
    </w:p>
    <w:p w14:paraId="646FFD4E">
      <w:pPr>
        <w:pStyle w:val="172"/>
        <w:keepNext w:val="0"/>
        <w:keepLines w:val="0"/>
        <w:pageBreakBefore w:val="0"/>
        <w:widowControl/>
        <w:numPr>
          <w:ilvl w:val="255"/>
          <w:numId w:val="0"/>
        </w:numPr>
        <w:kinsoku/>
        <w:wordWrap/>
        <w:overflowPunct/>
        <w:topLinePunct w:val="0"/>
        <w:autoSpaceDE/>
        <w:autoSpaceDN/>
        <w:bidi w:val="0"/>
        <w:adjustRightInd/>
        <w:snapToGrid/>
        <w:ind w:firstLine="400" w:firstLineChars="200"/>
        <w:jc w:val="left"/>
        <w:textAlignment w:val="auto"/>
        <w:outlineLvl w:val="9"/>
        <w:rPr>
          <w:rFonts w:ascii="黑体" w:hAnsi="黑体" w:eastAsia="黑体" w:cs="黑体"/>
        </w:rPr>
      </w:pPr>
      <w:r>
        <w:rPr>
          <w:rFonts w:hint="eastAsia"/>
          <w:sz w:val="20"/>
          <w:szCs w:val="18"/>
        </w:rPr>
        <w:t>动力环境监控</w:t>
      </w:r>
      <w:r>
        <w:rPr>
          <w:rFonts w:hint="eastAsia"/>
          <w:sz w:val="20"/>
          <w:szCs w:val="18"/>
          <w:lang w:val="en-US" w:eastAsia="zh-CN"/>
        </w:rPr>
        <w:t>及安全防范</w:t>
      </w:r>
      <w:r>
        <w:rPr>
          <w:rFonts w:hint="eastAsia"/>
          <w:sz w:val="20"/>
          <w:szCs w:val="18"/>
        </w:rPr>
        <w:t>系统检查试验方法如下：</w:t>
      </w:r>
    </w:p>
    <w:p w14:paraId="57050537">
      <w:pPr>
        <w:pStyle w:val="25"/>
        <w:keepNext w:val="0"/>
        <w:keepLines w:val="0"/>
        <w:pageBreakBefore w:val="0"/>
        <w:widowControl/>
        <w:numPr>
          <w:ilvl w:val="0"/>
          <w:numId w:val="31"/>
        </w:numPr>
        <w:kinsoku/>
        <w:wordWrap/>
        <w:overflowPunct/>
        <w:topLinePunct w:val="0"/>
        <w:autoSpaceDE w:val="0"/>
        <w:autoSpaceDN w:val="0"/>
        <w:bidi w:val="0"/>
        <w:adjustRightInd/>
        <w:snapToGrid/>
        <w:spacing w:line="320" w:lineRule="exact"/>
        <w:ind w:left="820" w:leftChars="200" w:hanging="400" w:hangingChars="200"/>
        <w:jc w:val="left"/>
        <w:textAlignment w:val="auto"/>
        <w:rPr>
          <w:sz w:val="20"/>
          <w:szCs w:val="18"/>
        </w:rPr>
      </w:pPr>
      <w:r>
        <w:rPr>
          <w:rFonts w:hint="eastAsia" w:asciiTheme="minorEastAsia" w:hAnsiTheme="minorEastAsia" w:eastAsiaTheme="minorEastAsia"/>
          <w:sz w:val="20"/>
          <w:szCs w:val="18"/>
        </w:rPr>
        <w:t xml:space="preserve"> </w:t>
      </w:r>
      <w:r>
        <w:rPr>
          <w:rFonts w:hint="eastAsia"/>
          <w:sz w:val="20"/>
          <w:szCs w:val="18"/>
        </w:rPr>
        <w:t>针对</w:t>
      </w:r>
      <w:r>
        <w:rPr>
          <w:sz w:val="20"/>
          <w:szCs w:val="18"/>
        </w:rPr>
        <w:t>4.1.4.1</w:t>
      </w:r>
      <w:r>
        <w:rPr>
          <w:rFonts w:hint="eastAsia"/>
          <w:sz w:val="20"/>
          <w:szCs w:val="18"/>
        </w:rPr>
        <w:t>a、b、c、d、e、f、g、h、i、j、k、l、m、n</w:t>
      </w:r>
      <w:r>
        <w:rPr>
          <w:rFonts w:hint="eastAsia"/>
          <w:sz w:val="20"/>
          <w:szCs w:val="18"/>
          <w:lang w:eastAsia="zh-CN"/>
        </w:rPr>
        <w:t>、</w:t>
      </w:r>
      <w:r>
        <w:rPr>
          <w:rFonts w:hint="eastAsia"/>
          <w:sz w:val="20"/>
          <w:szCs w:val="18"/>
          <w:lang w:val="en-US" w:eastAsia="zh-CN"/>
        </w:rPr>
        <w:t>o</w:t>
      </w:r>
      <w:r>
        <w:rPr>
          <w:rFonts w:hint="eastAsia"/>
          <w:sz w:val="20"/>
          <w:szCs w:val="18"/>
        </w:rPr>
        <w:t>等条目采用</w:t>
      </w:r>
      <w:r>
        <w:rPr>
          <w:rFonts w:hint="eastAsia" w:asciiTheme="minorEastAsia" w:hAnsiTheme="minorEastAsia" w:eastAsiaTheme="minorEastAsia"/>
          <w:sz w:val="20"/>
          <w:szCs w:val="18"/>
        </w:rPr>
        <w:t>现场测试和逻辑验证法进行检测</w:t>
      </w:r>
      <w:r>
        <w:rPr>
          <w:rFonts w:hint="eastAsia"/>
          <w:sz w:val="20"/>
          <w:szCs w:val="18"/>
        </w:rPr>
        <w:t>；</w:t>
      </w:r>
    </w:p>
    <w:p w14:paraId="4E730D77">
      <w:pPr>
        <w:pStyle w:val="25"/>
        <w:keepNext w:val="0"/>
        <w:keepLines w:val="0"/>
        <w:pageBreakBefore w:val="0"/>
        <w:widowControl/>
        <w:numPr>
          <w:ilvl w:val="0"/>
          <w:numId w:val="31"/>
        </w:numPr>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imes New Roman"/>
        </w:rPr>
      </w:pPr>
      <w:r>
        <w:rPr>
          <w:rFonts w:hint="eastAsia" w:asciiTheme="minorEastAsia" w:hAnsiTheme="minorEastAsia" w:eastAsiaTheme="minorEastAsia"/>
          <w:sz w:val="20"/>
          <w:szCs w:val="18"/>
        </w:rPr>
        <w:t xml:space="preserve"> </w:t>
      </w:r>
      <w:r>
        <w:rPr>
          <w:rFonts w:hint="eastAsia"/>
          <w:sz w:val="20"/>
          <w:szCs w:val="18"/>
        </w:rPr>
        <w:t>针对</w:t>
      </w:r>
      <w:r>
        <w:rPr>
          <w:sz w:val="20"/>
          <w:szCs w:val="18"/>
        </w:rPr>
        <w:t>4.1.4.2</w:t>
      </w:r>
      <w:r>
        <w:rPr>
          <w:rFonts w:hint="eastAsia"/>
          <w:sz w:val="20"/>
          <w:szCs w:val="18"/>
        </w:rPr>
        <w:t>a、b、c</w:t>
      </w:r>
      <w:r>
        <w:rPr>
          <w:rFonts w:hint="eastAsia"/>
          <w:sz w:val="20"/>
          <w:szCs w:val="18"/>
          <w:lang w:eastAsia="zh-CN"/>
        </w:rPr>
        <w:t>、</w:t>
      </w:r>
      <w:r>
        <w:rPr>
          <w:rFonts w:hint="eastAsia"/>
          <w:sz w:val="20"/>
          <w:szCs w:val="18"/>
          <w:lang w:val="en-US" w:eastAsia="zh-CN"/>
        </w:rPr>
        <w:t>d、e</w:t>
      </w:r>
      <w:r>
        <w:rPr>
          <w:rFonts w:hint="eastAsia"/>
          <w:sz w:val="20"/>
          <w:szCs w:val="18"/>
        </w:rPr>
        <w:t>等条目采用</w:t>
      </w:r>
      <w:r>
        <w:rPr>
          <w:rFonts w:hint="eastAsia" w:asciiTheme="minorEastAsia" w:hAnsiTheme="minorEastAsia" w:eastAsiaTheme="minorEastAsia"/>
          <w:sz w:val="20"/>
          <w:szCs w:val="18"/>
        </w:rPr>
        <w:t>现场测试和逻辑验证法进行检测。</w:t>
      </w:r>
    </w:p>
    <w:p w14:paraId="6A766572">
      <w:pPr>
        <w:pStyle w:val="172"/>
        <w:ind w:left="0"/>
        <w:jc w:val="left"/>
        <w:outlineLvl w:val="2"/>
        <w:rPr>
          <w:rFonts w:hint="eastAsia"/>
          <w:sz w:val="20"/>
          <w:szCs w:val="18"/>
        </w:rPr>
      </w:pPr>
      <w:r>
        <w:rPr>
          <w:rFonts w:hint="eastAsia" w:ascii="黑体" w:hAnsi="黑体" w:eastAsia="黑体" w:cs="黑体"/>
        </w:rPr>
        <w:t>照明系统检查与试验</w:t>
      </w:r>
    </w:p>
    <w:p w14:paraId="745D4AE2">
      <w:pPr>
        <w:pStyle w:val="25"/>
        <w:ind w:firstLine="400"/>
        <w:jc w:val="left"/>
        <w:rPr>
          <w:rFonts w:hint="eastAsia"/>
          <w:sz w:val="20"/>
          <w:szCs w:val="18"/>
        </w:rPr>
      </w:pPr>
      <w:r>
        <w:rPr>
          <w:rFonts w:hint="eastAsia"/>
          <w:sz w:val="20"/>
          <w:szCs w:val="18"/>
        </w:rPr>
        <w:t>试验设备如下：</w:t>
      </w:r>
    </w:p>
    <w:p w14:paraId="2F4A6373">
      <w:pPr>
        <w:pStyle w:val="25"/>
        <w:numPr>
          <w:ilvl w:val="0"/>
          <w:numId w:val="32"/>
        </w:numPr>
        <w:ind w:firstLine="400"/>
        <w:jc w:val="left"/>
        <w:rPr>
          <w:rFonts w:hint="eastAsia"/>
          <w:sz w:val="20"/>
          <w:szCs w:val="18"/>
        </w:rPr>
      </w:pPr>
      <w:r>
        <w:rPr>
          <w:rFonts w:hint="eastAsia"/>
          <w:sz w:val="20"/>
          <w:szCs w:val="18"/>
          <w:lang w:val="en-US" w:eastAsia="zh-CN"/>
        </w:rPr>
        <w:t xml:space="preserve"> </w:t>
      </w:r>
      <w:r>
        <w:rPr>
          <w:rFonts w:hint="eastAsia"/>
          <w:sz w:val="20"/>
          <w:szCs w:val="18"/>
        </w:rPr>
        <w:t>照度计：± 6 %</w:t>
      </w:r>
      <w:r>
        <w:rPr>
          <w:rFonts w:hint="eastAsia"/>
          <w:sz w:val="20"/>
          <w:szCs w:val="18"/>
          <w:lang w:eastAsia="zh-CN"/>
        </w:rPr>
        <w:t>；</w:t>
      </w:r>
    </w:p>
    <w:p w14:paraId="354384B8">
      <w:pPr>
        <w:pStyle w:val="25"/>
        <w:numPr>
          <w:ilvl w:val="0"/>
          <w:numId w:val="32"/>
        </w:numPr>
        <w:ind w:left="0" w:leftChars="0" w:firstLine="400" w:firstLineChars="200"/>
        <w:jc w:val="left"/>
        <w:rPr>
          <w:rFonts w:hint="eastAsia"/>
          <w:sz w:val="20"/>
          <w:szCs w:val="18"/>
        </w:rPr>
      </w:pPr>
      <w:r>
        <w:rPr>
          <w:rFonts w:hint="eastAsia"/>
          <w:sz w:val="20"/>
          <w:szCs w:val="18"/>
          <w:lang w:val="en-US" w:eastAsia="zh-CN"/>
        </w:rPr>
        <w:t xml:space="preserve"> </w:t>
      </w:r>
      <w:r>
        <w:rPr>
          <w:rFonts w:hint="eastAsia"/>
          <w:sz w:val="20"/>
          <w:szCs w:val="18"/>
        </w:rPr>
        <w:t>万用表：0.5%</w:t>
      </w:r>
      <w:r>
        <w:rPr>
          <w:rFonts w:hint="eastAsia"/>
          <w:sz w:val="20"/>
          <w:szCs w:val="18"/>
          <w:lang w:eastAsia="zh-CN"/>
        </w:rPr>
        <w:t>；</w:t>
      </w:r>
    </w:p>
    <w:p w14:paraId="7024A0BA">
      <w:pPr>
        <w:pStyle w:val="25"/>
        <w:numPr>
          <w:ilvl w:val="0"/>
          <w:numId w:val="32"/>
        </w:numPr>
        <w:ind w:left="0" w:leftChars="0" w:firstLine="400" w:firstLineChars="200"/>
        <w:jc w:val="left"/>
        <w:rPr>
          <w:rFonts w:hint="eastAsia"/>
          <w:sz w:val="20"/>
          <w:szCs w:val="18"/>
        </w:rPr>
      </w:pPr>
      <w:r>
        <w:rPr>
          <w:rFonts w:hint="eastAsia"/>
          <w:sz w:val="20"/>
          <w:szCs w:val="18"/>
          <w:lang w:val="en-US" w:eastAsia="zh-CN"/>
        </w:rPr>
        <w:t xml:space="preserve"> </w:t>
      </w:r>
      <w:r>
        <w:rPr>
          <w:rFonts w:hint="eastAsia"/>
          <w:sz w:val="20"/>
          <w:szCs w:val="18"/>
        </w:rPr>
        <w:t>其他可用于此项目的试验设备。</w:t>
      </w:r>
    </w:p>
    <w:p w14:paraId="4CBE80CF">
      <w:pPr>
        <w:pStyle w:val="25"/>
        <w:ind w:firstLine="400"/>
        <w:jc w:val="left"/>
        <w:rPr>
          <w:sz w:val="20"/>
          <w:szCs w:val="18"/>
        </w:rPr>
      </w:pPr>
      <w:r>
        <w:rPr>
          <w:rFonts w:hint="eastAsia"/>
          <w:sz w:val="20"/>
          <w:szCs w:val="18"/>
        </w:rPr>
        <w:t>照明系统检查与试验方法如下：</w:t>
      </w:r>
    </w:p>
    <w:p w14:paraId="526B711F">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kern w:val="0"/>
          <w:sz w:val="20"/>
          <w:szCs w:val="18"/>
        </w:rPr>
      </w:pPr>
      <w:r>
        <w:rPr>
          <w:rFonts w:hint="eastAsia" w:asciiTheme="minorEastAsia" w:hAnsiTheme="minorEastAsia" w:eastAsiaTheme="minorEastAsia"/>
          <w:kern w:val="0"/>
          <w:sz w:val="20"/>
          <w:szCs w:val="18"/>
        </w:rPr>
        <w:t>a)  测试所使用的照度计，分辨率为1 lx；</w:t>
      </w:r>
    </w:p>
    <w:p w14:paraId="1864E3FD">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kern w:val="0"/>
          <w:sz w:val="20"/>
          <w:szCs w:val="18"/>
        </w:rPr>
      </w:pPr>
      <w:r>
        <w:rPr>
          <w:rFonts w:hint="eastAsia" w:asciiTheme="minorEastAsia" w:hAnsiTheme="minorEastAsia" w:eastAsiaTheme="minorEastAsia"/>
          <w:kern w:val="0"/>
          <w:sz w:val="20"/>
          <w:szCs w:val="18"/>
        </w:rPr>
        <w:t>b)  距地面为0.</w:t>
      </w:r>
      <w:r>
        <w:rPr>
          <w:rFonts w:asciiTheme="minorEastAsia" w:hAnsiTheme="minorEastAsia" w:eastAsiaTheme="minorEastAsia"/>
          <w:kern w:val="0"/>
          <w:sz w:val="20"/>
          <w:szCs w:val="18"/>
        </w:rPr>
        <w:t>75</w:t>
      </w:r>
      <w:r>
        <w:rPr>
          <w:rFonts w:hint="eastAsia" w:asciiTheme="minorEastAsia" w:hAnsiTheme="minorEastAsia" w:eastAsiaTheme="minorEastAsia"/>
          <w:kern w:val="0"/>
          <w:sz w:val="20"/>
          <w:szCs w:val="18"/>
        </w:rPr>
        <w:t>m的水平工作面上进行测试；</w:t>
      </w:r>
    </w:p>
    <w:p w14:paraId="1AB52EC1">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kern w:val="0"/>
          <w:sz w:val="20"/>
          <w:szCs w:val="18"/>
        </w:rPr>
      </w:pPr>
      <w:r>
        <w:rPr>
          <w:rFonts w:hint="eastAsia" w:asciiTheme="minorEastAsia" w:hAnsiTheme="minorEastAsia" w:eastAsiaTheme="minorEastAsia"/>
          <w:kern w:val="0"/>
          <w:sz w:val="20"/>
          <w:szCs w:val="18"/>
        </w:rPr>
        <w:t>c)  在两排设备之间通道内测试时，测点布置在两排设备之间通道内的中心线上；</w:t>
      </w:r>
    </w:p>
    <w:p w14:paraId="0D14D8C0">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kern w:val="0"/>
          <w:sz w:val="20"/>
          <w:szCs w:val="18"/>
        </w:rPr>
      </w:pPr>
      <w:r>
        <w:rPr>
          <w:rFonts w:hint="eastAsia" w:asciiTheme="minorEastAsia" w:hAnsiTheme="minorEastAsia" w:eastAsiaTheme="minorEastAsia"/>
          <w:kern w:val="0"/>
          <w:sz w:val="20"/>
          <w:szCs w:val="18"/>
        </w:rPr>
        <w:t>d)  工作区内按照每2-4米的间距布置测试点，对于较大区域的机房，可以根据其设计对其进行区域划分抽样，抽样</w:t>
      </w:r>
      <w:r>
        <w:rPr>
          <w:rFonts w:hint="eastAsia" w:asciiTheme="minorEastAsia" w:hAnsiTheme="minorEastAsia" w:eastAsiaTheme="minorEastAsia"/>
          <w:kern w:val="0"/>
          <w:sz w:val="20"/>
          <w:szCs w:val="18"/>
          <w:lang w:val="en-US" w:eastAsia="zh-CN"/>
        </w:rPr>
        <w:t>需</w:t>
      </w:r>
      <w:r>
        <w:rPr>
          <w:rFonts w:hint="eastAsia" w:asciiTheme="minorEastAsia" w:hAnsiTheme="minorEastAsia" w:eastAsiaTheme="minorEastAsia"/>
          <w:kern w:val="0"/>
          <w:sz w:val="20"/>
          <w:szCs w:val="18"/>
        </w:rPr>
        <w:t>具有代表性；</w:t>
      </w:r>
    </w:p>
    <w:p w14:paraId="371D9CD4">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kern w:val="0"/>
          <w:sz w:val="20"/>
          <w:szCs w:val="18"/>
        </w:rPr>
      </w:pPr>
      <w:r>
        <w:rPr>
          <w:rFonts w:hint="eastAsia" w:asciiTheme="minorEastAsia" w:hAnsiTheme="minorEastAsia" w:eastAsiaTheme="minorEastAsia"/>
          <w:kern w:val="0"/>
          <w:sz w:val="20"/>
          <w:szCs w:val="18"/>
        </w:rPr>
        <w:t>e)  测试时，感光球的平面尽量水平，且尽量避开机柜等阴影区；</w:t>
      </w:r>
    </w:p>
    <w:p w14:paraId="13694A76">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kern w:val="0"/>
          <w:sz w:val="20"/>
          <w:szCs w:val="18"/>
        </w:rPr>
      </w:pPr>
      <w:r>
        <w:rPr>
          <w:rFonts w:hint="eastAsia" w:asciiTheme="minorEastAsia" w:hAnsiTheme="minorEastAsia" w:eastAsiaTheme="minorEastAsia"/>
          <w:kern w:val="0"/>
          <w:sz w:val="20"/>
          <w:szCs w:val="18"/>
        </w:rPr>
        <w:t>注：照度技术要求允许偏离，使用照度计，按照GB</w:t>
      </w:r>
      <w:r>
        <w:rPr>
          <w:rFonts w:asciiTheme="minorEastAsia" w:hAnsiTheme="minorEastAsia" w:eastAsiaTheme="minorEastAsia"/>
          <w:kern w:val="0"/>
          <w:sz w:val="20"/>
          <w:szCs w:val="18"/>
        </w:rPr>
        <w:t>/</w:t>
      </w:r>
      <w:r>
        <w:rPr>
          <w:rFonts w:hint="eastAsia" w:asciiTheme="minorEastAsia" w:hAnsiTheme="minorEastAsia" w:eastAsiaTheme="minorEastAsia"/>
          <w:kern w:val="0"/>
          <w:sz w:val="20"/>
          <w:szCs w:val="18"/>
        </w:rPr>
        <w:t>T 5700照明测量方法相关要求进行测试。</w:t>
      </w:r>
    </w:p>
    <w:p w14:paraId="2AA902A6">
      <w:pPr>
        <w:pStyle w:val="172"/>
        <w:ind w:left="0"/>
        <w:jc w:val="left"/>
        <w:outlineLvl w:val="2"/>
        <w:rPr>
          <w:rFonts w:ascii="黑体" w:hAnsi="黑体" w:eastAsia="黑体" w:cs="黑体"/>
        </w:rPr>
      </w:pPr>
      <w:r>
        <w:rPr>
          <w:rFonts w:hint="eastAsia" w:ascii="黑体" w:hAnsi="黑体" w:eastAsia="黑体" w:cs="黑体"/>
        </w:rPr>
        <w:t>防雷与接地系统检查与试验</w:t>
      </w:r>
    </w:p>
    <w:p w14:paraId="543C1D50">
      <w:pPr>
        <w:pStyle w:val="25"/>
        <w:ind w:firstLine="400"/>
        <w:jc w:val="left"/>
        <w:rPr>
          <w:rFonts w:ascii="Times New Roman"/>
          <w:sz w:val="20"/>
          <w:szCs w:val="18"/>
        </w:rPr>
      </w:pPr>
      <w:r>
        <w:rPr>
          <w:rFonts w:hint="eastAsia" w:ascii="Times New Roman"/>
          <w:sz w:val="20"/>
          <w:szCs w:val="18"/>
        </w:rPr>
        <w:t>防雷与接地系统检查与试验方法如下：</w:t>
      </w:r>
    </w:p>
    <w:p w14:paraId="3A45BAF9">
      <w:pPr>
        <w:pStyle w:val="25"/>
        <w:keepNext w:val="0"/>
        <w:keepLines w:val="0"/>
        <w:pageBreakBefore w:val="0"/>
        <w:widowControl/>
        <w:numPr>
          <w:ilvl w:val="0"/>
          <w:numId w:val="33"/>
        </w:numPr>
        <w:kinsoku/>
        <w:wordWrap/>
        <w:overflowPunct/>
        <w:topLinePunct w:val="0"/>
        <w:autoSpaceDE w:val="0"/>
        <w:autoSpaceDN w:val="0"/>
        <w:bidi w:val="0"/>
        <w:adjustRightInd/>
        <w:snapToGrid/>
        <w:spacing w:line="320" w:lineRule="exact"/>
        <w:ind w:left="820" w:leftChars="200" w:hanging="400" w:hangingChars="200"/>
        <w:jc w:val="left"/>
        <w:textAlignment w:val="auto"/>
        <w:rPr>
          <w:rFonts w:hint="eastAsia" w:ascii="宋体" w:hAnsi="宋体" w:eastAsia="宋体" w:cs="宋体"/>
          <w:sz w:val="20"/>
          <w:szCs w:val="18"/>
        </w:rPr>
      </w:pPr>
      <w:r>
        <w:rPr>
          <w:rFonts w:hint="eastAsia" w:ascii="宋体" w:hAnsi="宋体" w:eastAsia="宋体" w:cs="宋体"/>
          <w:sz w:val="20"/>
          <w:szCs w:val="18"/>
          <w:lang w:val="en-US" w:eastAsia="zh-CN"/>
        </w:rPr>
        <w:t xml:space="preserve"> </w:t>
      </w:r>
      <w:r>
        <w:rPr>
          <w:rFonts w:hint="eastAsia" w:ascii="宋体" w:hAnsi="宋体" w:eastAsia="宋体" w:cs="宋体"/>
          <w:sz w:val="20"/>
          <w:szCs w:val="18"/>
        </w:rPr>
        <w:t>现场测试和逻辑验证法进行检查系统接地汇总铜排线缆连接符合要求情况；</w:t>
      </w:r>
    </w:p>
    <w:p w14:paraId="0BD05863">
      <w:pPr>
        <w:pStyle w:val="25"/>
        <w:keepNext w:val="0"/>
        <w:keepLines w:val="0"/>
        <w:pageBreakBefore w:val="0"/>
        <w:numPr>
          <w:numId w:val="0"/>
        </w:numPr>
        <w:kinsoku/>
        <w:wordWrap/>
        <w:overflowPunct/>
        <w:topLinePunct w:val="0"/>
        <w:bidi w:val="0"/>
        <w:adjustRightInd/>
        <w:snapToGrid/>
        <w:spacing w:line="320" w:lineRule="exact"/>
        <w:ind w:left="420" w:leftChars="0"/>
        <w:jc w:val="left"/>
        <w:textAlignment w:val="auto"/>
        <w:rPr>
          <w:rFonts w:hint="eastAsia" w:ascii="宋体" w:hAnsi="宋体" w:eastAsia="宋体" w:cs="宋体"/>
          <w:sz w:val="20"/>
          <w:szCs w:val="18"/>
        </w:rPr>
      </w:pPr>
      <w:r>
        <w:rPr>
          <w:rFonts w:hint="eastAsia" w:ascii="宋体" w:hAnsi="宋体" w:eastAsia="宋体" w:cs="宋体"/>
          <w:sz w:val="20"/>
          <w:szCs w:val="18"/>
          <w:lang w:val="en-US" w:eastAsia="zh-CN"/>
        </w:rPr>
        <w:t xml:space="preserve">b)  </w:t>
      </w:r>
      <w:r>
        <w:rPr>
          <w:rFonts w:hint="eastAsia" w:ascii="宋体" w:hAnsi="宋体" w:eastAsia="宋体" w:cs="宋体"/>
          <w:sz w:val="20"/>
          <w:szCs w:val="18"/>
        </w:rPr>
        <w:t>产品内部接地电阻可采用三点测量法或夹钳法测试；</w:t>
      </w:r>
    </w:p>
    <w:p w14:paraId="53DFBF63">
      <w:pPr>
        <w:pStyle w:val="25"/>
        <w:keepNext w:val="0"/>
        <w:keepLines w:val="0"/>
        <w:pageBreakBefore w:val="0"/>
        <w:numPr>
          <w:numId w:val="0"/>
        </w:numPr>
        <w:kinsoku/>
        <w:wordWrap/>
        <w:overflowPunct/>
        <w:topLinePunct w:val="0"/>
        <w:bidi w:val="0"/>
        <w:adjustRightInd/>
        <w:snapToGrid/>
        <w:spacing w:line="320" w:lineRule="exact"/>
        <w:ind w:left="420" w:leftChars="0"/>
        <w:jc w:val="left"/>
        <w:textAlignment w:val="auto"/>
      </w:pPr>
      <w:r>
        <w:rPr>
          <w:rFonts w:hint="eastAsia" w:ascii="宋体" w:hAnsi="宋体" w:eastAsia="宋体" w:cs="宋体"/>
          <w:sz w:val="20"/>
          <w:szCs w:val="18"/>
          <w:lang w:val="en-US" w:eastAsia="zh-CN"/>
        </w:rPr>
        <w:t xml:space="preserve">c)  </w:t>
      </w:r>
      <w:r>
        <w:rPr>
          <w:rFonts w:hint="eastAsia" w:ascii="宋体" w:hAnsi="宋体" w:eastAsia="宋体" w:cs="宋体"/>
          <w:sz w:val="20"/>
          <w:szCs w:val="18"/>
        </w:rPr>
        <w:t>用卡尺等检测等电位</w:t>
      </w:r>
      <w:r>
        <w:rPr>
          <w:rFonts w:hint="eastAsia" w:ascii="Times New Roman"/>
          <w:sz w:val="20"/>
          <w:szCs w:val="18"/>
        </w:rPr>
        <w:t>联结导体的截面积。</w:t>
      </w:r>
    </w:p>
    <w:p w14:paraId="14CECC4A">
      <w:pPr>
        <w:pStyle w:val="46"/>
        <w:spacing w:before="156" w:after="156"/>
        <w:outlineLvl w:val="1"/>
        <w:rPr>
          <w:rFonts w:hAnsi="黑体" w:cs="黑体"/>
          <w:bCs/>
          <w:szCs w:val="22"/>
        </w:rPr>
      </w:pPr>
      <w:r>
        <w:rPr>
          <w:rFonts w:hint="eastAsia" w:hAnsi="黑体" w:cs="黑体"/>
          <w:bCs/>
          <w:szCs w:val="22"/>
          <w:lang w:val="en-US" w:eastAsia="zh-CN"/>
        </w:rPr>
        <w:t>产品</w:t>
      </w:r>
      <w:r>
        <w:rPr>
          <w:rFonts w:hint="eastAsia" w:hAnsi="黑体" w:cs="黑体"/>
          <w:bCs/>
          <w:szCs w:val="22"/>
        </w:rPr>
        <w:t>能效测试</w:t>
      </w:r>
    </w:p>
    <w:p w14:paraId="369326F5">
      <w:pPr>
        <w:pStyle w:val="172"/>
        <w:ind w:left="0"/>
        <w:jc w:val="left"/>
        <w:outlineLvl w:val="2"/>
        <w:rPr>
          <w:rFonts w:ascii="黑体" w:hAnsi="黑体" w:eastAsia="黑体" w:cs="黑体"/>
        </w:rPr>
      </w:pPr>
      <w:r>
        <w:rPr>
          <w:rFonts w:hint="eastAsia" w:ascii="黑体" w:hAnsi="黑体" w:eastAsia="黑体" w:cs="黑体"/>
        </w:rPr>
        <w:t>测量位置</w:t>
      </w:r>
    </w:p>
    <w:p w14:paraId="3EA14078">
      <w:pPr>
        <w:pStyle w:val="25"/>
        <w:ind w:firstLine="400"/>
        <w:rPr>
          <w:rFonts w:hint="eastAsia" w:asciiTheme="minorEastAsia" w:hAnsiTheme="minorEastAsia" w:eastAsiaTheme="minorEastAsia"/>
          <w:sz w:val="20"/>
          <w:szCs w:val="18"/>
        </w:rPr>
      </w:pPr>
      <w:r>
        <w:rPr>
          <w:rFonts w:hint="eastAsia" w:asciiTheme="minorEastAsia" w:hAnsiTheme="minorEastAsia" w:eastAsiaTheme="minorEastAsia"/>
          <w:sz w:val="20"/>
          <w:szCs w:val="18"/>
        </w:rPr>
        <w:t>试验设备</w:t>
      </w:r>
    </w:p>
    <w:p w14:paraId="3687DF4D">
      <w:pPr>
        <w:pStyle w:val="25"/>
        <w:numPr>
          <w:ilvl w:val="0"/>
          <w:numId w:val="34"/>
        </w:numPr>
        <w:ind w:firstLine="400"/>
        <w:rPr>
          <w:rFonts w:hint="eastAsia" w:asciiTheme="minorEastAsia" w:hAnsiTheme="minorEastAsia" w:eastAsiaTheme="minorEastAsia"/>
          <w:sz w:val="20"/>
          <w:szCs w:val="18"/>
          <w:lang w:eastAsia="zh-CN"/>
        </w:rPr>
      </w:pPr>
      <w:r>
        <w:rPr>
          <w:rFonts w:hint="eastAsia" w:asciiTheme="minorEastAsia" w:hAnsiTheme="minorEastAsia" w:eastAsiaTheme="minorEastAsia"/>
          <w:sz w:val="20"/>
          <w:szCs w:val="18"/>
          <w:lang w:val="en-US" w:eastAsia="zh-CN"/>
        </w:rPr>
        <w:t xml:space="preserve"> </w:t>
      </w:r>
      <w:r>
        <w:rPr>
          <w:rFonts w:hint="eastAsia" w:asciiTheme="minorEastAsia" w:hAnsiTheme="minorEastAsia" w:eastAsiaTheme="minorEastAsia"/>
          <w:sz w:val="20"/>
          <w:szCs w:val="18"/>
        </w:rPr>
        <w:t>功率表：精度为0.5级</w:t>
      </w:r>
      <w:r>
        <w:rPr>
          <w:rFonts w:hint="eastAsia" w:asciiTheme="minorEastAsia" w:hAnsiTheme="minorEastAsia" w:eastAsiaTheme="minorEastAsia"/>
          <w:sz w:val="20"/>
          <w:szCs w:val="18"/>
          <w:lang w:eastAsia="zh-CN"/>
        </w:rPr>
        <w:t>；</w:t>
      </w:r>
    </w:p>
    <w:p w14:paraId="0BE13048">
      <w:pPr>
        <w:pStyle w:val="25"/>
        <w:numPr>
          <w:ilvl w:val="0"/>
          <w:numId w:val="34"/>
        </w:numPr>
        <w:ind w:left="0" w:leftChars="0" w:firstLine="400" w:firstLineChars="200"/>
        <w:rPr>
          <w:rFonts w:hint="eastAsia" w:asciiTheme="minorEastAsia" w:hAnsiTheme="minorEastAsia" w:eastAsiaTheme="minorEastAsia"/>
          <w:sz w:val="20"/>
          <w:szCs w:val="18"/>
          <w:lang w:eastAsia="zh-CN"/>
        </w:rPr>
      </w:pPr>
      <w:r>
        <w:rPr>
          <w:rFonts w:hint="eastAsia" w:asciiTheme="minorEastAsia" w:hAnsiTheme="minorEastAsia" w:eastAsiaTheme="minorEastAsia"/>
          <w:sz w:val="20"/>
          <w:szCs w:val="18"/>
          <w:lang w:val="en-US" w:eastAsia="zh-CN"/>
        </w:rPr>
        <w:t xml:space="preserve"> </w:t>
      </w:r>
      <w:r>
        <w:rPr>
          <w:rFonts w:hint="eastAsia" w:asciiTheme="minorEastAsia" w:hAnsiTheme="minorEastAsia" w:eastAsiaTheme="minorEastAsia"/>
          <w:sz w:val="20"/>
          <w:szCs w:val="18"/>
        </w:rPr>
        <w:t>电能计量仪表</w:t>
      </w:r>
      <w:r>
        <w:rPr>
          <w:rFonts w:hint="eastAsia" w:asciiTheme="minorEastAsia" w:hAnsiTheme="minorEastAsia" w:eastAsiaTheme="minorEastAsia"/>
          <w:sz w:val="20"/>
          <w:szCs w:val="18"/>
          <w:lang w:eastAsia="zh-CN"/>
        </w:rPr>
        <w:t>：</w:t>
      </w:r>
      <w:r>
        <w:rPr>
          <w:rFonts w:hint="eastAsia" w:asciiTheme="minorEastAsia" w:hAnsiTheme="minorEastAsia" w:eastAsiaTheme="minorEastAsia"/>
          <w:sz w:val="20"/>
          <w:szCs w:val="18"/>
        </w:rPr>
        <w:t>精度为1级</w:t>
      </w:r>
      <w:r>
        <w:rPr>
          <w:rFonts w:hint="eastAsia" w:asciiTheme="minorEastAsia" w:hAnsiTheme="minorEastAsia" w:eastAsiaTheme="minorEastAsia"/>
          <w:sz w:val="20"/>
          <w:szCs w:val="18"/>
          <w:lang w:eastAsia="zh-CN"/>
        </w:rPr>
        <w:t>；</w:t>
      </w:r>
    </w:p>
    <w:p w14:paraId="149FA00B">
      <w:pPr>
        <w:pStyle w:val="25"/>
        <w:numPr>
          <w:ilvl w:val="0"/>
          <w:numId w:val="34"/>
        </w:numPr>
        <w:ind w:left="0" w:leftChars="0" w:firstLine="400" w:firstLineChars="200"/>
        <w:rPr>
          <w:rFonts w:hint="eastAsia" w:asciiTheme="minorEastAsia" w:hAnsiTheme="minorEastAsia" w:eastAsiaTheme="minorEastAsia"/>
          <w:sz w:val="20"/>
          <w:szCs w:val="18"/>
          <w:lang w:eastAsia="zh-CN"/>
        </w:rPr>
      </w:pPr>
      <w:r>
        <w:rPr>
          <w:rFonts w:hint="eastAsia" w:asciiTheme="minorEastAsia" w:hAnsiTheme="minorEastAsia" w:eastAsiaTheme="minorEastAsia"/>
          <w:sz w:val="20"/>
          <w:szCs w:val="18"/>
          <w:lang w:val="en-US" w:eastAsia="zh-CN"/>
        </w:rPr>
        <w:t xml:space="preserve"> </w:t>
      </w:r>
      <w:r>
        <w:rPr>
          <w:rFonts w:hint="eastAsia" w:asciiTheme="minorEastAsia" w:hAnsiTheme="minorEastAsia" w:eastAsiaTheme="minorEastAsia"/>
          <w:sz w:val="20"/>
          <w:szCs w:val="18"/>
        </w:rPr>
        <w:t>温度测量仪表</w:t>
      </w:r>
      <w:r>
        <w:rPr>
          <w:rFonts w:hint="eastAsia" w:asciiTheme="minorEastAsia" w:hAnsiTheme="minorEastAsia" w:eastAsiaTheme="minorEastAsia"/>
          <w:sz w:val="20"/>
          <w:szCs w:val="18"/>
          <w:lang w:eastAsia="zh-CN"/>
        </w:rPr>
        <w:t>：</w:t>
      </w:r>
      <w:r>
        <w:rPr>
          <w:rFonts w:hint="eastAsia" w:asciiTheme="minorEastAsia" w:hAnsiTheme="minorEastAsia" w:eastAsiaTheme="minorEastAsia"/>
          <w:sz w:val="20"/>
          <w:szCs w:val="18"/>
        </w:rPr>
        <w:t>准确度为±0.5℃</w:t>
      </w:r>
      <w:r>
        <w:rPr>
          <w:rFonts w:hint="eastAsia" w:asciiTheme="minorEastAsia" w:hAnsiTheme="minorEastAsia" w:eastAsiaTheme="minorEastAsia"/>
          <w:sz w:val="20"/>
          <w:szCs w:val="18"/>
          <w:lang w:eastAsia="zh-CN"/>
        </w:rPr>
        <w:t>；</w:t>
      </w:r>
    </w:p>
    <w:p w14:paraId="7465BE13">
      <w:pPr>
        <w:pStyle w:val="25"/>
        <w:numPr>
          <w:ilvl w:val="0"/>
          <w:numId w:val="34"/>
        </w:numPr>
        <w:ind w:left="0" w:leftChars="0" w:firstLine="400" w:firstLineChars="200"/>
        <w:rPr>
          <w:rFonts w:hint="eastAsia" w:asciiTheme="minorEastAsia" w:hAnsiTheme="minorEastAsia" w:eastAsiaTheme="minorEastAsia"/>
          <w:sz w:val="20"/>
          <w:szCs w:val="18"/>
          <w:lang w:val="en-US" w:eastAsia="zh-CN"/>
        </w:rPr>
      </w:pPr>
      <w:r>
        <w:rPr>
          <w:rFonts w:hint="eastAsia" w:asciiTheme="minorEastAsia" w:hAnsiTheme="minorEastAsia" w:eastAsiaTheme="minorEastAsia"/>
          <w:sz w:val="20"/>
          <w:szCs w:val="18"/>
          <w:lang w:val="en-US" w:eastAsia="zh-CN"/>
        </w:rPr>
        <w:t xml:space="preserve"> </w:t>
      </w:r>
      <w:r>
        <w:rPr>
          <w:rFonts w:hint="eastAsia" w:asciiTheme="minorEastAsia" w:hAnsiTheme="minorEastAsia" w:eastAsiaTheme="minorEastAsia"/>
          <w:sz w:val="20"/>
          <w:szCs w:val="18"/>
        </w:rPr>
        <w:t>相对湿度测量仪表</w:t>
      </w:r>
      <w:r>
        <w:rPr>
          <w:rFonts w:hint="eastAsia" w:asciiTheme="minorEastAsia" w:hAnsiTheme="minorEastAsia" w:eastAsiaTheme="minorEastAsia"/>
          <w:sz w:val="20"/>
          <w:szCs w:val="18"/>
          <w:lang w:eastAsia="zh-CN"/>
        </w:rPr>
        <w:t>：</w:t>
      </w:r>
      <w:r>
        <w:rPr>
          <w:rFonts w:hint="eastAsia" w:asciiTheme="minorEastAsia" w:hAnsiTheme="minorEastAsia" w:eastAsiaTheme="minorEastAsia"/>
          <w:sz w:val="20"/>
          <w:szCs w:val="18"/>
        </w:rPr>
        <w:t>准确度为±5%</w:t>
      </w:r>
      <w:r>
        <w:rPr>
          <w:rFonts w:hint="eastAsia" w:asciiTheme="minorEastAsia" w:hAnsiTheme="minorEastAsia" w:eastAsiaTheme="minorEastAsia"/>
          <w:sz w:val="20"/>
          <w:szCs w:val="18"/>
          <w:lang w:eastAsia="zh-CN"/>
        </w:rPr>
        <w:t>。</w:t>
      </w:r>
    </w:p>
    <w:p w14:paraId="775B808B">
      <w:pPr>
        <w:pStyle w:val="25"/>
        <w:ind w:firstLine="400"/>
        <w:rPr>
          <w:rFonts w:asciiTheme="minorEastAsia" w:hAnsiTheme="minorEastAsia" w:eastAsiaTheme="minorEastAsia"/>
          <w:sz w:val="20"/>
          <w:szCs w:val="18"/>
        </w:rPr>
      </w:pPr>
      <w:r>
        <w:rPr>
          <w:rFonts w:hint="eastAsia" w:asciiTheme="minorEastAsia" w:hAnsiTheme="minorEastAsia" w:eastAsiaTheme="minorEastAsia"/>
          <w:sz w:val="20"/>
          <w:szCs w:val="18"/>
        </w:rPr>
        <w:t>模块化数据中心耗电量功率计测量位置要求如下：</w:t>
      </w:r>
    </w:p>
    <w:p w14:paraId="63FDEACC">
      <w:pPr>
        <w:pStyle w:val="25"/>
        <w:keepNext w:val="0"/>
        <w:keepLines w:val="0"/>
        <w:pageBreakBefore w:val="0"/>
        <w:widowControl/>
        <w:numPr>
          <w:ilvl w:val="0"/>
          <w:numId w:val="35"/>
        </w:numPr>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sz w:val="20"/>
          <w:szCs w:val="18"/>
        </w:rPr>
      </w:pPr>
      <w:r>
        <w:rPr>
          <w:rFonts w:hint="eastAsia" w:asciiTheme="minorEastAsia" w:hAnsiTheme="minorEastAsia" w:eastAsiaTheme="minorEastAsia"/>
          <w:sz w:val="20"/>
          <w:szCs w:val="18"/>
          <w:lang w:val="en-US" w:eastAsia="zh-CN"/>
        </w:rPr>
        <w:t xml:space="preserve"> </w:t>
      </w:r>
      <w:r>
        <w:rPr>
          <w:rFonts w:asciiTheme="minorEastAsia" w:hAnsiTheme="minorEastAsia" w:eastAsiaTheme="minorEastAsia"/>
          <w:sz w:val="20"/>
          <w:szCs w:val="18"/>
        </w:rPr>
        <w:tab/>
      </w:r>
      <w:r>
        <w:rPr>
          <w:rFonts w:hint="eastAsia" w:asciiTheme="minorEastAsia" w:hAnsiTheme="minorEastAsia" w:eastAsiaTheme="minorEastAsia"/>
          <w:sz w:val="20"/>
          <w:szCs w:val="18"/>
        </w:rPr>
        <w:t>总耗电量的测量点取电能输入配电装置之前，即能测量图1中的测量点</w:t>
      </w:r>
      <w:r>
        <w:rPr>
          <w:rFonts w:asciiTheme="minorEastAsia" w:hAnsiTheme="minorEastAsia" w:eastAsiaTheme="minorEastAsia"/>
          <w:sz w:val="20"/>
          <w:szCs w:val="18"/>
        </w:rPr>
        <w:t>A</w:t>
      </w:r>
      <w:r>
        <w:rPr>
          <w:rFonts w:hint="eastAsia" w:asciiTheme="minorEastAsia" w:hAnsiTheme="minorEastAsia" w:eastAsiaTheme="minorEastAsia"/>
          <w:sz w:val="20"/>
          <w:szCs w:val="18"/>
        </w:rPr>
        <w:t>和测量点</w:t>
      </w:r>
      <w:r>
        <w:rPr>
          <w:rFonts w:asciiTheme="minorEastAsia" w:hAnsiTheme="minorEastAsia" w:eastAsiaTheme="minorEastAsia"/>
          <w:sz w:val="20"/>
          <w:szCs w:val="18"/>
        </w:rPr>
        <w:t>B</w:t>
      </w:r>
      <w:r>
        <w:rPr>
          <w:rFonts w:hint="eastAsia" w:asciiTheme="minorEastAsia" w:hAnsiTheme="minorEastAsia" w:eastAsiaTheme="minorEastAsia"/>
          <w:sz w:val="20"/>
          <w:szCs w:val="18"/>
        </w:rPr>
        <w:t>电能消耗之和；</w:t>
      </w:r>
    </w:p>
    <w:p w14:paraId="5B05BA0B">
      <w:pPr>
        <w:pStyle w:val="25"/>
        <w:keepNext w:val="0"/>
        <w:keepLines w:val="0"/>
        <w:pageBreakBefore w:val="0"/>
        <w:widowControl/>
        <w:numPr>
          <w:ilvl w:val="0"/>
          <w:numId w:val="35"/>
        </w:numPr>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sz w:val="20"/>
          <w:szCs w:val="18"/>
        </w:rPr>
      </w:pPr>
      <w:r>
        <w:rPr>
          <w:rFonts w:hint="eastAsia" w:asciiTheme="minorEastAsia" w:hAnsiTheme="minorEastAsia" w:eastAsiaTheme="minorEastAsia"/>
          <w:sz w:val="20"/>
          <w:szCs w:val="18"/>
          <w:lang w:val="en-US" w:eastAsia="zh-CN"/>
        </w:rPr>
        <w:t xml:space="preserve"> </w:t>
      </w:r>
      <w:r>
        <w:rPr>
          <w:rFonts w:hint="eastAsia" w:asciiTheme="minorEastAsia" w:hAnsiTheme="minorEastAsia" w:eastAsiaTheme="minorEastAsia"/>
          <w:sz w:val="20"/>
          <w:szCs w:val="18"/>
        </w:rPr>
        <w:t>模块化数据中心电子信息设备耗电量的测量位置为不间断电源（如不间断电源系统、高压直流电源系统等）输出端供电回路，即图1中的测量点</w:t>
      </w:r>
      <w:r>
        <w:rPr>
          <w:rFonts w:asciiTheme="minorEastAsia" w:hAnsiTheme="minorEastAsia" w:eastAsiaTheme="minorEastAsia"/>
          <w:sz w:val="20"/>
          <w:szCs w:val="18"/>
        </w:rPr>
        <w:t>C</w:t>
      </w:r>
      <w:r>
        <w:rPr>
          <w:rFonts w:hint="eastAsia" w:asciiTheme="minorEastAsia" w:hAnsiTheme="minorEastAsia" w:eastAsiaTheme="minorEastAsia"/>
          <w:sz w:val="20"/>
          <w:szCs w:val="18"/>
        </w:rPr>
        <w:t>；</w:t>
      </w:r>
    </w:p>
    <w:p w14:paraId="2FD043F1">
      <w:pPr>
        <w:pStyle w:val="25"/>
        <w:keepNext w:val="0"/>
        <w:keepLines w:val="0"/>
        <w:pageBreakBefore w:val="0"/>
        <w:widowControl/>
        <w:numPr>
          <w:ilvl w:val="0"/>
          <w:numId w:val="35"/>
        </w:numPr>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sz w:val="20"/>
          <w:szCs w:val="18"/>
        </w:rPr>
      </w:pPr>
      <w:r>
        <w:rPr>
          <w:rFonts w:hint="eastAsia" w:asciiTheme="minorEastAsia" w:hAnsiTheme="minorEastAsia" w:eastAsiaTheme="minorEastAsia"/>
          <w:sz w:val="20"/>
          <w:szCs w:val="18"/>
          <w:lang w:val="en-US" w:eastAsia="zh-CN"/>
        </w:rPr>
        <w:t xml:space="preserve"> </w:t>
      </w:r>
      <w:r>
        <w:rPr>
          <w:rFonts w:hint="eastAsia" w:asciiTheme="minorEastAsia" w:hAnsiTheme="minorEastAsia" w:eastAsiaTheme="minorEastAsia"/>
          <w:sz w:val="20"/>
          <w:szCs w:val="18"/>
        </w:rPr>
        <w:t>当采用机柜风扇作为辅助降温时，模块化数据中心电子信息设备耗电量的测量位置为电子信息设备负载供电回路，即图1中的测量点</w:t>
      </w:r>
      <w:r>
        <w:rPr>
          <w:rFonts w:asciiTheme="minorEastAsia" w:hAnsiTheme="minorEastAsia" w:eastAsiaTheme="minorEastAsia"/>
          <w:sz w:val="20"/>
          <w:szCs w:val="18"/>
        </w:rPr>
        <w:t>E</w:t>
      </w:r>
      <w:r>
        <w:rPr>
          <w:rFonts w:hint="eastAsia" w:asciiTheme="minorEastAsia" w:hAnsiTheme="minorEastAsia" w:eastAsiaTheme="minorEastAsia"/>
          <w:sz w:val="20"/>
          <w:szCs w:val="18"/>
        </w:rPr>
        <w:t>；</w:t>
      </w:r>
    </w:p>
    <w:p w14:paraId="04BE76C2">
      <w:pPr>
        <w:pStyle w:val="25"/>
        <w:keepNext w:val="0"/>
        <w:keepLines w:val="0"/>
        <w:pageBreakBefore w:val="0"/>
        <w:widowControl/>
        <w:numPr>
          <w:ilvl w:val="0"/>
          <w:numId w:val="35"/>
        </w:numPr>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sz w:val="20"/>
          <w:szCs w:val="18"/>
        </w:rPr>
      </w:pPr>
      <w:r>
        <w:rPr>
          <w:rFonts w:hint="eastAsia" w:asciiTheme="minorEastAsia" w:hAnsiTheme="minorEastAsia" w:eastAsiaTheme="minorEastAsia"/>
          <w:sz w:val="20"/>
          <w:szCs w:val="18"/>
          <w:lang w:val="en-US" w:eastAsia="zh-CN"/>
        </w:rPr>
        <w:t xml:space="preserve"> </w:t>
      </w:r>
      <w:r>
        <w:rPr>
          <w:rFonts w:hint="eastAsia" w:asciiTheme="minorEastAsia" w:hAnsiTheme="minorEastAsia" w:eastAsiaTheme="minorEastAsia"/>
          <w:sz w:val="20"/>
          <w:szCs w:val="18"/>
        </w:rPr>
        <w:t>为模块化数据中心电子信息设备服务的冷却系统、照明系统及监控系统等辅助配套设备做电能计量，其电能测量点设置于配电系统中相应的各个回路</w:t>
      </w:r>
      <w:r>
        <w:rPr>
          <w:rFonts w:hint="eastAsia" w:asciiTheme="minorEastAsia" w:hAnsiTheme="minorEastAsia" w:eastAsiaTheme="minorEastAsia"/>
          <w:sz w:val="20"/>
          <w:szCs w:val="18"/>
          <w:lang w:eastAsia="zh-CN"/>
        </w:rPr>
        <w:t>，</w:t>
      </w:r>
      <w:r>
        <w:rPr>
          <w:rFonts w:hint="eastAsia" w:asciiTheme="minorEastAsia" w:hAnsiTheme="minorEastAsia" w:eastAsiaTheme="minorEastAsia"/>
          <w:sz w:val="20"/>
          <w:szCs w:val="18"/>
        </w:rPr>
        <w:t>汇总表示为测量点</w:t>
      </w:r>
      <w:r>
        <w:rPr>
          <w:rFonts w:asciiTheme="minorEastAsia" w:hAnsiTheme="minorEastAsia" w:eastAsiaTheme="minorEastAsia"/>
          <w:sz w:val="20"/>
          <w:szCs w:val="18"/>
        </w:rPr>
        <w:t>F</w:t>
      </w:r>
      <w:r>
        <w:rPr>
          <w:rFonts w:hint="eastAsia" w:asciiTheme="minorEastAsia" w:hAnsiTheme="minorEastAsia" w:eastAsiaTheme="minorEastAsia"/>
          <w:sz w:val="20"/>
          <w:szCs w:val="18"/>
        </w:rPr>
        <w:t>、</w:t>
      </w:r>
      <w:r>
        <w:rPr>
          <w:rFonts w:asciiTheme="minorEastAsia" w:hAnsiTheme="minorEastAsia" w:eastAsiaTheme="minorEastAsia"/>
          <w:sz w:val="20"/>
          <w:szCs w:val="18"/>
        </w:rPr>
        <w:t>G</w:t>
      </w:r>
      <w:r>
        <w:rPr>
          <w:rFonts w:hint="eastAsia" w:asciiTheme="minorEastAsia" w:hAnsiTheme="minorEastAsia" w:eastAsiaTheme="minorEastAsia"/>
          <w:sz w:val="20"/>
          <w:szCs w:val="18"/>
        </w:rPr>
        <w:t>、</w:t>
      </w:r>
      <w:r>
        <w:rPr>
          <w:rFonts w:asciiTheme="minorEastAsia" w:hAnsiTheme="minorEastAsia" w:eastAsiaTheme="minorEastAsia"/>
          <w:sz w:val="20"/>
          <w:szCs w:val="18"/>
        </w:rPr>
        <w:t>H</w:t>
      </w:r>
      <w:r>
        <w:rPr>
          <w:rFonts w:hint="eastAsia" w:asciiTheme="minorEastAsia" w:hAnsiTheme="minorEastAsia" w:eastAsiaTheme="minorEastAsia"/>
          <w:sz w:val="20"/>
          <w:szCs w:val="18"/>
        </w:rPr>
        <w:t>，可用于分析各部分耗电情况。</w:t>
      </w:r>
    </w:p>
    <w:p w14:paraId="6BC63650">
      <w:pPr>
        <w:pStyle w:val="25"/>
        <w:ind w:left="0" w:leftChars="0" w:firstLine="0" w:firstLineChars="0"/>
        <w:jc w:val="center"/>
      </w:pPr>
      <w:r>
        <w:rPr>
          <w:rFonts w:ascii="Times New Roman"/>
        </w:rPr>
        <w:object>
          <v:shape id="_x0000_i1025" o:spt="75" type="#_x0000_t75" style="height:210.05pt;width:398pt;" o:ole="t" filled="f" o:preferrelative="t" stroked="f" coordsize="21600,21600">
            <v:path/>
            <v:fill on="f" focussize="0,0"/>
            <v:stroke on="f" joinstyle="miter"/>
            <v:imagedata r:id="rId18" o:title=""/>
            <o:lock v:ext="edit" aspectratio="t"/>
            <w10:wrap type="none"/>
            <w10:anchorlock/>
          </v:shape>
          <o:OLEObject Type="Embed" ProgID="Visio.Drawing.15" ShapeID="_x0000_i1025" DrawAspect="Content" ObjectID="_1468075725" r:id="rId17">
            <o:LockedField>false</o:LockedField>
          </o:OLEObject>
        </w:object>
      </w:r>
    </w:p>
    <w:p w14:paraId="27FF6ADC">
      <w:pPr>
        <w:pStyle w:val="183"/>
        <w:jc w:val="center"/>
        <w:rPr>
          <w:rFonts w:hint="default" w:ascii="宋体" w:hAnsi="宋体" w:eastAsia="宋体" w:cs="宋体"/>
          <w:color w:val="000000"/>
        </w:rPr>
      </w:pPr>
      <w:r>
        <w:rPr>
          <w:rFonts w:hint="eastAsia" w:ascii="宋体" w:hAnsi="宋体" w:eastAsia="宋体" w:cs="宋体"/>
          <w:color w:val="000000"/>
        </w:rPr>
        <w:t>图1</w:t>
      </w:r>
      <w:r>
        <w:rPr>
          <w:rFonts w:hint="default" w:ascii="宋体" w:hAnsi="宋体" w:eastAsia="宋体" w:cs="宋体"/>
          <w:color w:val="000000"/>
        </w:rPr>
        <w:t xml:space="preserve"> </w:t>
      </w:r>
      <w:r>
        <w:rPr>
          <w:rFonts w:hint="eastAsia" w:ascii="宋体" w:hAnsi="宋体" w:eastAsia="宋体" w:cs="宋体"/>
          <w:color w:val="000000"/>
        </w:rPr>
        <w:t>模块化数据中心耗电量测量点示意图</w:t>
      </w:r>
    </w:p>
    <w:p w14:paraId="7068015C">
      <w:pPr>
        <w:pStyle w:val="172"/>
        <w:ind w:left="0"/>
        <w:jc w:val="left"/>
        <w:outlineLvl w:val="2"/>
        <w:rPr>
          <w:rFonts w:cs="Times New Roman" w:asciiTheme="minorEastAsia" w:hAnsiTheme="minorEastAsia" w:eastAsiaTheme="minorEastAsia"/>
          <w:color w:val="auto"/>
          <w:sz w:val="20"/>
          <w:szCs w:val="20"/>
        </w:rPr>
      </w:pPr>
      <w:r>
        <w:rPr>
          <w:rFonts w:hint="eastAsia" w:ascii="黑体" w:hAnsi="黑体" w:eastAsia="黑体" w:cs="黑体"/>
        </w:rPr>
        <w:t>测试方法</w:t>
      </w:r>
    </w:p>
    <w:p w14:paraId="14AAD511">
      <w:pPr>
        <w:pStyle w:val="25"/>
        <w:ind w:firstLine="400"/>
        <w:jc w:val="left"/>
        <w:rPr>
          <w:rFonts w:asciiTheme="minorEastAsia" w:hAnsiTheme="minorEastAsia" w:eastAsiaTheme="minorEastAsia"/>
          <w:sz w:val="20"/>
          <w:szCs w:val="18"/>
        </w:rPr>
      </w:pPr>
      <w:r>
        <w:rPr>
          <w:rFonts w:hint="eastAsia" w:asciiTheme="minorEastAsia" w:hAnsiTheme="minorEastAsia" w:eastAsiaTheme="minorEastAsia"/>
          <w:sz w:val="20"/>
          <w:szCs w:val="18"/>
        </w:rPr>
        <w:t>为缩短试验时间，采用等效测试方法进行测量。试验步骤如下：</w:t>
      </w:r>
    </w:p>
    <w:p w14:paraId="136CDE3E">
      <w:pPr>
        <w:pStyle w:val="25"/>
        <w:keepNext w:val="0"/>
        <w:keepLines w:val="0"/>
        <w:pageBreakBefore w:val="0"/>
        <w:widowControl/>
        <w:numPr>
          <w:ilvl w:val="0"/>
          <w:numId w:val="36"/>
        </w:numPr>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sz w:val="20"/>
          <w:szCs w:val="18"/>
        </w:rPr>
      </w:pPr>
      <w:r>
        <w:rPr>
          <w:rFonts w:hint="eastAsia" w:asciiTheme="minorEastAsia" w:hAnsiTheme="minorEastAsia" w:eastAsiaTheme="minorEastAsia"/>
          <w:sz w:val="20"/>
          <w:szCs w:val="18"/>
          <w:lang w:val="en-US" w:eastAsia="zh-CN"/>
        </w:rPr>
        <w:t xml:space="preserve"> </w:t>
      </w:r>
      <w:r>
        <w:rPr>
          <w:rFonts w:hint="eastAsia" w:asciiTheme="minorEastAsia" w:hAnsiTheme="minorEastAsia" w:eastAsiaTheme="minorEastAsia"/>
          <w:sz w:val="20"/>
          <w:szCs w:val="18"/>
        </w:rPr>
        <w:t>试验负载率为</w:t>
      </w:r>
      <w:r>
        <w:rPr>
          <w:rFonts w:asciiTheme="minorEastAsia" w:hAnsiTheme="minorEastAsia" w:eastAsiaTheme="minorEastAsia"/>
          <w:sz w:val="20"/>
          <w:szCs w:val="18"/>
        </w:rPr>
        <w:t>75%</w:t>
      </w:r>
      <w:r>
        <w:rPr>
          <w:rFonts w:hint="eastAsia" w:asciiTheme="minorEastAsia" w:hAnsiTheme="minorEastAsia" w:eastAsiaTheme="minorEastAsia"/>
          <w:sz w:val="20"/>
          <w:szCs w:val="18"/>
        </w:rPr>
        <w:t>；</w:t>
      </w:r>
    </w:p>
    <w:p w14:paraId="6D4CA1D2">
      <w:pPr>
        <w:pStyle w:val="25"/>
        <w:keepNext w:val="0"/>
        <w:keepLines w:val="0"/>
        <w:pageBreakBefore w:val="0"/>
        <w:widowControl/>
        <w:numPr>
          <w:ilvl w:val="0"/>
          <w:numId w:val="36"/>
        </w:numPr>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sz w:val="20"/>
          <w:szCs w:val="18"/>
        </w:rPr>
      </w:pPr>
      <w:r>
        <w:rPr>
          <w:rFonts w:hint="eastAsia" w:asciiTheme="minorEastAsia" w:hAnsiTheme="minorEastAsia" w:eastAsiaTheme="minorEastAsia"/>
          <w:sz w:val="20"/>
          <w:szCs w:val="18"/>
          <w:lang w:val="en-US" w:eastAsia="zh-CN"/>
        </w:rPr>
        <w:t xml:space="preserve"> </w:t>
      </w:r>
      <w:r>
        <w:rPr>
          <w:rFonts w:hint="eastAsia" w:asciiTheme="minorEastAsia" w:hAnsiTheme="minorEastAsia" w:eastAsiaTheme="minorEastAsia"/>
          <w:sz w:val="20"/>
          <w:szCs w:val="18"/>
        </w:rPr>
        <w:t>在模块化数据中心试验负载条件下，选取若干不同时段，每个时段时段选取</w:t>
      </w:r>
      <w:r>
        <w:rPr>
          <w:rFonts w:asciiTheme="minorEastAsia" w:hAnsiTheme="minorEastAsia" w:eastAsiaTheme="minorEastAsia"/>
          <w:sz w:val="20"/>
          <w:szCs w:val="18"/>
        </w:rPr>
        <w:t>1</w:t>
      </w:r>
      <w:r>
        <w:rPr>
          <w:rFonts w:hint="eastAsia" w:asciiTheme="minorEastAsia" w:hAnsiTheme="minorEastAsia" w:eastAsiaTheme="minorEastAsia"/>
          <w:sz w:val="20"/>
          <w:szCs w:val="18"/>
        </w:rPr>
        <w:t>个表</w:t>
      </w:r>
      <w:r>
        <w:rPr>
          <w:rFonts w:hint="eastAsia" w:asciiTheme="minorEastAsia" w:hAnsiTheme="minorEastAsia" w:eastAsiaTheme="minorEastAsia"/>
          <w:sz w:val="20"/>
          <w:szCs w:val="18"/>
          <w:lang w:val="en-US" w:eastAsia="zh-CN"/>
        </w:rPr>
        <w:t>5</w:t>
      </w:r>
      <w:r>
        <w:rPr>
          <w:rFonts w:hint="eastAsia" w:asciiTheme="minorEastAsia" w:hAnsiTheme="minorEastAsia" w:eastAsiaTheme="minorEastAsia"/>
          <w:sz w:val="20"/>
          <w:szCs w:val="18"/>
        </w:rPr>
        <w:t>所规定的</w:t>
      </w:r>
      <w:r>
        <w:rPr>
          <w:rFonts w:asciiTheme="minorEastAsia" w:hAnsiTheme="minorEastAsia" w:eastAsiaTheme="minorEastAsia"/>
          <w:sz w:val="20"/>
          <w:szCs w:val="18"/>
        </w:rPr>
        <w:t>A</w:t>
      </w:r>
      <w:r>
        <w:rPr>
          <w:rFonts w:hint="eastAsia" w:asciiTheme="minorEastAsia" w:hAnsiTheme="minorEastAsia" w:eastAsiaTheme="minorEastAsia"/>
          <w:kern w:val="0"/>
          <w:sz w:val="20"/>
          <w:szCs w:val="20"/>
        </w:rPr>
        <w:t>～</w:t>
      </w:r>
      <w:r>
        <w:rPr>
          <w:rFonts w:asciiTheme="minorEastAsia" w:hAnsiTheme="minorEastAsia" w:eastAsiaTheme="minorEastAsia"/>
          <w:sz w:val="20"/>
          <w:szCs w:val="18"/>
        </w:rPr>
        <w:t>E</w:t>
      </w:r>
      <w:r>
        <w:rPr>
          <w:rFonts w:hint="eastAsia" w:asciiTheme="minorEastAsia" w:hAnsiTheme="minorEastAsia" w:eastAsiaTheme="minorEastAsia"/>
          <w:sz w:val="20"/>
          <w:szCs w:val="18"/>
        </w:rPr>
        <w:t>特性工况点，分别连续测量模块化数据中心总耗电量和电子信息设备耗电量。在制冷和信息系统稳定状态下，连续测量不小于</w:t>
      </w:r>
      <w:r>
        <w:rPr>
          <w:rFonts w:asciiTheme="minorEastAsia" w:hAnsiTheme="minorEastAsia" w:eastAsiaTheme="minorEastAsia"/>
          <w:sz w:val="20"/>
          <w:szCs w:val="18"/>
        </w:rPr>
        <w:t>2</w:t>
      </w:r>
      <w:r>
        <w:rPr>
          <w:rFonts w:hint="eastAsia" w:ascii="MS Gothic" w:hAnsi="MS Gothic" w:eastAsia="MS Gothic" w:cs="MS Gothic"/>
          <w:sz w:val="20"/>
          <w:szCs w:val="18"/>
        </w:rPr>
        <w:t> </w:t>
      </w:r>
      <w:r>
        <w:rPr>
          <w:rFonts w:asciiTheme="minorEastAsia" w:hAnsiTheme="minorEastAsia" w:eastAsiaTheme="minorEastAsia"/>
          <w:sz w:val="20"/>
          <w:szCs w:val="18"/>
        </w:rPr>
        <w:t>h</w:t>
      </w:r>
      <w:r>
        <w:rPr>
          <w:rFonts w:hint="eastAsia" w:asciiTheme="minorEastAsia" w:hAnsiTheme="minorEastAsia" w:eastAsiaTheme="minorEastAsia"/>
          <w:sz w:val="20"/>
          <w:szCs w:val="18"/>
        </w:rPr>
        <w:t>，其间多次测量的时间间隔不大于</w:t>
      </w:r>
      <w:r>
        <w:rPr>
          <w:rFonts w:asciiTheme="minorEastAsia" w:hAnsiTheme="minorEastAsia" w:eastAsiaTheme="minorEastAsia"/>
          <w:sz w:val="20"/>
          <w:szCs w:val="18"/>
        </w:rPr>
        <w:t>2</w:t>
      </w:r>
      <w:r>
        <w:rPr>
          <w:rFonts w:hint="eastAsia" w:ascii="MS Gothic" w:hAnsi="MS Gothic" w:eastAsia="MS Gothic" w:cs="MS Gothic"/>
          <w:sz w:val="20"/>
          <w:szCs w:val="18"/>
        </w:rPr>
        <w:t> </w:t>
      </w:r>
      <w:r>
        <w:rPr>
          <w:rFonts w:asciiTheme="minorEastAsia" w:hAnsiTheme="minorEastAsia" w:eastAsiaTheme="minorEastAsia"/>
          <w:sz w:val="20"/>
          <w:szCs w:val="18"/>
        </w:rPr>
        <w:t>min</w:t>
      </w:r>
      <w:r>
        <w:rPr>
          <w:rFonts w:hint="eastAsia" w:asciiTheme="minorEastAsia" w:hAnsiTheme="minorEastAsia" w:eastAsiaTheme="minorEastAsia"/>
          <w:sz w:val="20"/>
          <w:szCs w:val="18"/>
        </w:rPr>
        <w:t>。试验期间，所测数据中心服务器数量以及冷却和配电等基础设施设备不</w:t>
      </w:r>
      <w:r>
        <w:rPr>
          <w:rFonts w:hint="eastAsia" w:asciiTheme="minorEastAsia" w:hAnsiTheme="minorEastAsia" w:eastAsiaTheme="minorEastAsia"/>
          <w:sz w:val="20"/>
          <w:szCs w:val="18"/>
          <w:lang w:val="en-US" w:eastAsia="zh-CN"/>
        </w:rPr>
        <w:t>做</w:t>
      </w:r>
      <w:r>
        <w:rPr>
          <w:rFonts w:hint="eastAsia" w:asciiTheme="minorEastAsia" w:hAnsiTheme="minorEastAsia" w:eastAsiaTheme="minorEastAsia"/>
          <w:sz w:val="20"/>
          <w:szCs w:val="18"/>
        </w:rPr>
        <w:t>变更，制冷模式不做切换；</w:t>
      </w:r>
    </w:p>
    <w:p w14:paraId="349ACD65">
      <w:pPr>
        <w:pStyle w:val="25"/>
        <w:keepNext w:val="0"/>
        <w:keepLines w:val="0"/>
        <w:pageBreakBefore w:val="0"/>
        <w:widowControl/>
        <w:numPr>
          <w:ilvl w:val="0"/>
          <w:numId w:val="36"/>
        </w:numPr>
        <w:kinsoku/>
        <w:wordWrap/>
        <w:overflowPunct/>
        <w:topLinePunct w:val="0"/>
        <w:autoSpaceDE w:val="0"/>
        <w:autoSpaceDN w:val="0"/>
        <w:bidi w:val="0"/>
        <w:adjustRightInd/>
        <w:snapToGrid/>
        <w:spacing w:line="320" w:lineRule="exact"/>
        <w:ind w:left="820" w:leftChars="200" w:hanging="400" w:hangingChars="200"/>
        <w:jc w:val="left"/>
        <w:textAlignment w:val="auto"/>
        <w:rPr>
          <w:rFonts w:asciiTheme="minorEastAsia" w:hAnsiTheme="minorEastAsia" w:eastAsiaTheme="minorEastAsia"/>
          <w:sz w:val="20"/>
          <w:szCs w:val="18"/>
        </w:rPr>
      </w:pPr>
      <w:r>
        <w:rPr>
          <w:rFonts w:hint="eastAsia" w:asciiTheme="minorEastAsia" w:hAnsiTheme="minorEastAsia" w:eastAsiaTheme="minorEastAsia"/>
          <w:sz w:val="20"/>
          <w:szCs w:val="18"/>
          <w:lang w:val="en-US" w:eastAsia="zh-CN"/>
        </w:rPr>
        <w:t xml:space="preserve"> </w:t>
      </w:r>
      <w:r>
        <w:rPr>
          <w:rFonts w:hint="eastAsia" w:asciiTheme="minorEastAsia" w:hAnsiTheme="minorEastAsia" w:eastAsiaTheme="minorEastAsia"/>
          <w:sz w:val="20"/>
          <w:szCs w:val="18"/>
        </w:rPr>
        <w:t>选取稳定在</w:t>
      </w:r>
      <w:r>
        <w:rPr>
          <w:rFonts w:asciiTheme="minorEastAsia" w:hAnsiTheme="minorEastAsia" w:eastAsiaTheme="minorEastAsia"/>
          <w:sz w:val="20"/>
          <w:szCs w:val="18"/>
        </w:rPr>
        <w:t>A</w:t>
      </w:r>
      <w:r>
        <w:rPr>
          <w:rFonts w:hint="eastAsia" w:asciiTheme="minorEastAsia" w:hAnsiTheme="minorEastAsia" w:eastAsiaTheme="minorEastAsia"/>
          <w:kern w:val="0"/>
          <w:sz w:val="20"/>
          <w:szCs w:val="20"/>
        </w:rPr>
        <w:t>～</w:t>
      </w:r>
      <w:r>
        <w:rPr>
          <w:rFonts w:asciiTheme="minorEastAsia" w:hAnsiTheme="minorEastAsia" w:eastAsiaTheme="minorEastAsia"/>
          <w:sz w:val="20"/>
          <w:szCs w:val="18"/>
        </w:rPr>
        <w:t>E</w:t>
      </w:r>
      <w:r>
        <w:rPr>
          <w:rFonts w:hint="eastAsia" w:asciiTheme="minorEastAsia" w:hAnsiTheme="minorEastAsia" w:eastAsiaTheme="minorEastAsia"/>
          <w:sz w:val="20"/>
          <w:szCs w:val="18"/>
        </w:rPr>
        <w:t>工况</w:t>
      </w:r>
      <w:r>
        <w:rPr>
          <w:rFonts w:asciiTheme="minorEastAsia" w:hAnsiTheme="minorEastAsia" w:eastAsiaTheme="minorEastAsia"/>
          <w:sz w:val="20"/>
          <w:szCs w:val="18"/>
        </w:rPr>
        <w:t>±1</w:t>
      </w:r>
      <w:r>
        <w:rPr>
          <w:rFonts w:hint="eastAsia" w:ascii="MS Gothic" w:hAnsi="MS Gothic" w:eastAsia="MS Gothic" w:cs="MS Gothic"/>
          <w:sz w:val="20"/>
          <w:szCs w:val="18"/>
        </w:rPr>
        <w:t> </w:t>
      </w:r>
      <w:r>
        <w:rPr>
          <w:rFonts w:hint="eastAsia" w:hAnsi="宋体" w:cs="宋体"/>
          <w:sz w:val="20"/>
          <w:szCs w:val="18"/>
        </w:rPr>
        <w:t>℃</w:t>
      </w:r>
      <w:r>
        <w:rPr>
          <w:rFonts w:hint="eastAsia" w:asciiTheme="minorEastAsia" w:hAnsiTheme="minorEastAsia" w:eastAsiaTheme="minorEastAsia"/>
          <w:sz w:val="20"/>
          <w:szCs w:val="18"/>
        </w:rPr>
        <w:t>范围内试验条件下测得的</w:t>
      </w:r>
      <w:r>
        <w:rPr>
          <w:rFonts w:asciiTheme="minorEastAsia" w:hAnsiTheme="minorEastAsia" w:eastAsiaTheme="minorEastAsia"/>
          <w:i w:val="0"/>
          <w:iCs/>
          <w:sz w:val="20"/>
          <w:szCs w:val="18"/>
        </w:rPr>
        <w:t>mpPUE</w:t>
      </w:r>
      <w:r>
        <w:rPr>
          <w:rFonts w:hint="eastAsia" w:asciiTheme="minorEastAsia" w:hAnsiTheme="minorEastAsia" w:eastAsiaTheme="minorEastAsia"/>
          <w:sz w:val="20"/>
          <w:szCs w:val="18"/>
        </w:rPr>
        <w:t>值，根据表</w:t>
      </w:r>
      <w:r>
        <w:rPr>
          <w:rFonts w:hint="eastAsia" w:asciiTheme="minorEastAsia" w:hAnsiTheme="minorEastAsia" w:eastAsiaTheme="minorEastAsia"/>
          <w:sz w:val="20"/>
          <w:szCs w:val="18"/>
          <w:lang w:val="en-US" w:eastAsia="zh-CN"/>
        </w:rPr>
        <w:t>5、6</w:t>
      </w:r>
      <w:r>
        <w:rPr>
          <w:rFonts w:hint="eastAsia" w:asciiTheme="minorEastAsia" w:hAnsiTheme="minorEastAsia" w:eastAsiaTheme="minorEastAsia"/>
          <w:sz w:val="20"/>
          <w:szCs w:val="18"/>
        </w:rPr>
        <w:t>及计算公式（</w:t>
      </w:r>
      <w:r>
        <w:rPr>
          <w:rFonts w:hint="eastAsia" w:asciiTheme="minorEastAsia" w:hAnsiTheme="minorEastAsia" w:eastAsiaTheme="minorEastAsia"/>
          <w:sz w:val="20"/>
          <w:szCs w:val="18"/>
          <w:lang w:val="en-US" w:eastAsia="zh-CN"/>
        </w:rPr>
        <w:t>2</w:t>
      </w:r>
      <w:r>
        <w:rPr>
          <w:rFonts w:hint="eastAsia" w:asciiTheme="minorEastAsia" w:hAnsiTheme="minorEastAsia" w:eastAsiaTheme="minorEastAsia"/>
          <w:sz w:val="20"/>
          <w:szCs w:val="18"/>
        </w:rPr>
        <w:t>）计算等效全年</w:t>
      </w:r>
      <w:r>
        <w:rPr>
          <w:rFonts w:asciiTheme="minorEastAsia" w:hAnsiTheme="minorEastAsia" w:eastAsiaTheme="minorEastAsia"/>
          <w:i w:val="0"/>
          <w:iCs/>
          <w:sz w:val="20"/>
          <w:szCs w:val="18"/>
        </w:rPr>
        <w:t>mpPUE</w:t>
      </w:r>
      <w:r>
        <w:rPr>
          <w:rFonts w:hint="eastAsia" w:asciiTheme="minorEastAsia" w:hAnsiTheme="minorEastAsia" w:eastAsiaTheme="minorEastAsia"/>
          <w:i/>
          <w:sz w:val="20"/>
          <w:szCs w:val="18"/>
        </w:rPr>
        <w:t>；</w:t>
      </w:r>
    </w:p>
    <w:p w14:paraId="5C9F72D5">
      <w:pPr>
        <w:pStyle w:val="183"/>
        <w:jc w:val="center"/>
        <w:rPr>
          <w:rFonts w:hint="default" w:ascii="宋体" w:hAnsi="宋体" w:eastAsia="宋体" w:cs="宋体"/>
          <w:color w:val="000000"/>
        </w:rPr>
      </w:pPr>
      <w:r>
        <w:rPr>
          <w:rFonts w:hint="eastAsia" w:ascii="宋体" w:hAnsi="宋体" w:eastAsia="宋体" w:cs="宋体"/>
          <w:color w:val="000000"/>
        </w:rPr>
        <w:t>表</w:t>
      </w:r>
      <w:r>
        <w:rPr>
          <w:rFonts w:hint="eastAsia" w:ascii="宋体" w:hAnsi="宋体" w:eastAsia="宋体" w:cs="宋体"/>
          <w:color w:val="000000"/>
          <w:lang w:val="en-US" w:eastAsia="zh-CN"/>
        </w:rPr>
        <w:t>5</w:t>
      </w:r>
      <w:r>
        <w:rPr>
          <w:rFonts w:hint="eastAsia" w:ascii="宋体" w:hAnsi="宋体" w:eastAsia="宋体" w:cs="宋体"/>
          <w:color w:val="000000"/>
        </w:rPr>
        <w:t xml:space="preserve">  试验工况</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492"/>
        <w:gridCol w:w="1174"/>
        <w:gridCol w:w="1336"/>
        <w:gridCol w:w="1336"/>
        <w:gridCol w:w="1331"/>
        <w:gridCol w:w="1332"/>
      </w:tblGrid>
      <w:tr w14:paraId="6FF22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5" w:type="dxa"/>
            <w:gridSpan w:val="2"/>
            <w:vMerge w:val="restart"/>
            <w:tcBorders>
              <w:tl2br w:val="nil"/>
              <w:tr2bl w:val="nil"/>
            </w:tcBorders>
            <w:vAlign w:val="center"/>
          </w:tcPr>
          <w:p w14:paraId="5E8305EC">
            <w:pPr>
              <w:pStyle w:val="185"/>
              <w:spacing w:line="240" w:lineRule="auto"/>
              <w:ind w:firstLine="0"/>
              <w:jc w:val="center"/>
              <w:rPr>
                <w:rFonts w:hint="eastAsia"/>
                <w:color w:val="000000"/>
                <w:sz w:val="17"/>
                <w:szCs w:val="17"/>
              </w:rPr>
            </w:pPr>
            <w:r>
              <w:rPr>
                <w:rFonts w:hint="eastAsia"/>
                <w:color w:val="000000"/>
                <w:sz w:val="17"/>
                <w:szCs w:val="17"/>
              </w:rPr>
              <w:t>项目</w:t>
            </w:r>
          </w:p>
        </w:tc>
        <w:tc>
          <w:tcPr>
            <w:tcW w:w="6509" w:type="dxa"/>
            <w:gridSpan w:val="5"/>
            <w:tcBorders>
              <w:tl2br w:val="nil"/>
              <w:tr2bl w:val="nil"/>
            </w:tcBorders>
            <w:vAlign w:val="center"/>
          </w:tcPr>
          <w:p w14:paraId="686B2958">
            <w:pPr>
              <w:pStyle w:val="185"/>
              <w:spacing w:line="240" w:lineRule="auto"/>
              <w:ind w:firstLine="0"/>
              <w:jc w:val="center"/>
              <w:rPr>
                <w:rFonts w:hint="eastAsia"/>
                <w:color w:val="000000"/>
                <w:sz w:val="17"/>
                <w:szCs w:val="17"/>
              </w:rPr>
            </w:pPr>
            <w:r>
              <w:rPr>
                <w:rFonts w:hint="eastAsia"/>
                <w:color w:val="000000"/>
                <w:sz w:val="17"/>
                <w:szCs w:val="17"/>
              </w:rPr>
              <w:t>全年能效工况（用于计算mpPUE等效值）</w:t>
            </w:r>
          </w:p>
        </w:tc>
      </w:tr>
      <w:tr w14:paraId="43566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vMerge w:val="continue"/>
            <w:tcBorders>
              <w:tl2br w:val="nil"/>
              <w:tr2bl w:val="nil"/>
            </w:tcBorders>
            <w:vAlign w:val="center"/>
          </w:tcPr>
          <w:p w14:paraId="3B6BA71A">
            <w:pPr>
              <w:pStyle w:val="185"/>
              <w:spacing w:line="240" w:lineRule="auto"/>
              <w:ind w:firstLine="0"/>
              <w:jc w:val="center"/>
              <w:rPr>
                <w:rFonts w:hint="eastAsia"/>
                <w:color w:val="000000"/>
                <w:sz w:val="17"/>
                <w:szCs w:val="17"/>
              </w:rPr>
            </w:pPr>
          </w:p>
        </w:tc>
        <w:tc>
          <w:tcPr>
            <w:tcW w:w="1174" w:type="dxa"/>
            <w:tcBorders>
              <w:tl2br w:val="nil"/>
              <w:tr2bl w:val="nil"/>
            </w:tcBorders>
            <w:vAlign w:val="center"/>
          </w:tcPr>
          <w:p w14:paraId="38EBAB10">
            <w:pPr>
              <w:pStyle w:val="185"/>
              <w:spacing w:line="240" w:lineRule="auto"/>
              <w:ind w:firstLine="0"/>
              <w:jc w:val="center"/>
              <w:rPr>
                <w:rFonts w:hint="eastAsia"/>
                <w:color w:val="000000"/>
                <w:sz w:val="17"/>
                <w:szCs w:val="17"/>
              </w:rPr>
            </w:pPr>
            <w:r>
              <w:rPr>
                <w:rFonts w:hint="eastAsia"/>
                <w:color w:val="000000"/>
                <w:sz w:val="17"/>
                <w:szCs w:val="17"/>
              </w:rPr>
              <w:t>A</w:t>
            </w:r>
          </w:p>
        </w:tc>
        <w:tc>
          <w:tcPr>
            <w:tcW w:w="1336" w:type="dxa"/>
            <w:tcBorders>
              <w:tl2br w:val="nil"/>
              <w:tr2bl w:val="nil"/>
            </w:tcBorders>
            <w:vAlign w:val="center"/>
          </w:tcPr>
          <w:p w14:paraId="6DAEC250">
            <w:pPr>
              <w:pStyle w:val="185"/>
              <w:spacing w:line="240" w:lineRule="auto"/>
              <w:ind w:firstLine="0"/>
              <w:jc w:val="center"/>
              <w:rPr>
                <w:rFonts w:hint="eastAsia"/>
                <w:color w:val="000000"/>
                <w:sz w:val="17"/>
                <w:szCs w:val="17"/>
              </w:rPr>
            </w:pPr>
            <w:r>
              <w:rPr>
                <w:rFonts w:hint="eastAsia"/>
                <w:color w:val="000000"/>
                <w:sz w:val="17"/>
                <w:szCs w:val="17"/>
              </w:rPr>
              <w:t>B</w:t>
            </w:r>
          </w:p>
        </w:tc>
        <w:tc>
          <w:tcPr>
            <w:tcW w:w="1336" w:type="dxa"/>
            <w:tcBorders>
              <w:tl2br w:val="nil"/>
              <w:tr2bl w:val="nil"/>
            </w:tcBorders>
            <w:vAlign w:val="center"/>
          </w:tcPr>
          <w:p w14:paraId="303565A6">
            <w:pPr>
              <w:pStyle w:val="185"/>
              <w:spacing w:line="240" w:lineRule="auto"/>
              <w:ind w:firstLine="0"/>
              <w:jc w:val="center"/>
              <w:rPr>
                <w:rFonts w:hint="eastAsia"/>
                <w:color w:val="000000"/>
                <w:sz w:val="17"/>
                <w:szCs w:val="17"/>
              </w:rPr>
            </w:pPr>
            <w:r>
              <w:rPr>
                <w:rFonts w:hint="eastAsia"/>
                <w:color w:val="000000"/>
                <w:sz w:val="17"/>
                <w:szCs w:val="17"/>
              </w:rPr>
              <w:t>C</w:t>
            </w:r>
          </w:p>
        </w:tc>
        <w:tc>
          <w:tcPr>
            <w:tcW w:w="1331" w:type="dxa"/>
            <w:tcBorders>
              <w:tl2br w:val="nil"/>
              <w:tr2bl w:val="nil"/>
            </w:tcBorders>
            <w:vAlign w:val="center"/>
          </w:tcPr>
          <w:p w14:paraId="5C3EAB92">
            <w:pPr>
              <w:pStyle w:val="185"/>
              <w:spacing w:line="240" w:lineRule="auto"/>
              <w:ind w:firstLine="0"/>
              <w:jc w:val="center"/>
              <w:rPr>
                <w:rFonts w:hint="eastAsia"/>
                <w:color w:val="000000"/>
                <w:sz w:val="17"/>
                <w:szCs w:val="17"/>
              </w:rPr>
            </w:pPr>
            <w:r>
              <w:rPr>
                <w:rFonts w:hint="eastAsia"/>
                <w:color w:val="000000"/>
                <w:sz w:val="17"/>
                <w:szCs w:val="17"/>
              </w:rPr>
              <w:t>D</w:t>
            </w:r>
          </w:p>
        </w:tc>
        <w:tc>
          <w:tcPr>
            <w:tcW w:w="1332" w:type="dxa"/>
            <w:tcBorders>
              <w:tl2br w:val="nil"/>
              <w:tr2bl w:val="nil"/>
            </w:tcBorders>
            <w:vAlign w:val="center"/>
          </w:tcPr>
          <w:p w14:paraId="665263CF">
            <w:pPr>
              <w:pStyle w:val="185"/>
              <w:spacing w:line="240" w:lineRule="auto"/>
              <w:ind w:firstLine="0"/>
              <w:jc w:val="center"/>
              <w:rPr>
                <w:rFonts w:hint="eastAsia"/>
                <w:color w:val="000000"/>
                <w:sz w:val="17"/>
                <w:szCs w:val="17"/>
              </w:rPr>
            </w:pPr>
            <w:r>
              <w:rPr>
                <w:rFonts w:hint="eastAsia"/>
                <w:color w:val="000000"/>
                <w:sz w:val="17"/>
                <w:szCs w:val="17"/>
              </w:rPr>
              <w:t>E</w:t>
            </w:r>
          </w:p>
        </w:tc>
      </w:tr>
      <w:tr w14:paraId="6D147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Borders>
              <w:tl2br w:val="nil"/>
              <w:tr2bl w:val="nil"/>
            </w:tcBorders>
            <w:vAlign w:val="center"/>
          </w:tcPr>
          <w:p w14:paraId="62EE5EB7">
            <w:pPr>
              <w:pStyle w:val="185"/>
              <w:spacing w:line="240" w:lineRule="auto"/>
              <w:ind w:firstLine="0"/>
              <w:jc w:val="center"/>
              <w:rPr>
                <w:rFonts w:hint="eastAsia"/>
                <w:color w:val="000000"/>
                <w:sz w:val="17"/>
                <w:szCs w:val="17"/>
              </w:rPr>
            </w:pPr>
            <w:r>
              <w:rPr>
                <w:rFonts w:hint="eastAsia"/>
                <w:color w:val="000000"/>
                <w:sz w:val="17"/>
                <w:szCs w:val="17"/>
              </w:rPr>
              <w:t>室外机进风</w:t>
            </w:r>
          </w:p>
        </w:tc>
        <w:tc>
          <w:tcPr>
            <w:tcW w:w="1492" w:type="dxa"/>
            <w:tcBorders>
              <w:tl2br w:val="nil"/>
              <w:tr2bl w:val="nil"/>
            </w:tcBorders>
            <w:vAlign w:val="center"/>
          </w:tcPr>
          <w:p w14:paraId="53D8A105">
            <w:pPr>
              <w:pStyle w:val="185"/>
              <w:spacing w:line="240" w:lineRule="auto"/>
              <w:ind w:firstLine="0"/>
              <w:jc w:val="center"/>
              <w:rPr>
                <w:rFonts w:hint="eastAsia"/>
                <w:color w:val="000000"/>
                <w:sz w:val="17"/>
                <w:szCs w:val="17"/>
              </w:rPr>
            </w:pPr>
            <w:r>
              <w:rPr>
                <w:rFonts w:hint="eastAsia"/>
                <w:color w:val="000000"/>
                <w:sz w:val="17"/>
                <w:szCs w:val="17"/>
              </w:rPr>
              <w:t>干球温度（℃）</w:t>
            </w:r>
          </w:p>
        </w:tc>
        <w:tc>
          <w:tcPr>
            <w:tcW w:w="1174" w:type="dxa"/>
            <w:tcBorders>
              <w:tl2br w:val="nil"/>
              <w:tr2bl w:val="nil"/>
            </w:tcBorders>
            <w:vAlign w:val="center"/>
          </w:tcPr>
          <w:p w14:paraId="52B547A7">
            <w:pPr>
              <w:pStyle w:val="185"/>
              <w:spacing w:line="240" w:lineRule="auto"/>
              <w:ind w:firstLine="0"/>
              <w:jc w:val="center"/>
              <w:rPr>
                <w:rFonts w:hint="eastAsia"/>
                <w:color w:val="000000"/>
                <w:sz w:val="17"/>
                <w:szCs w:val="17"/>
              </w:rPr>
            </w:pPr>
            <w:r>
              <w:rPr>
                <w:rFonts w:hint="eastAsia"/>
                <w:color w:val="000000"/>
                <w:sz w:val="17"/>
                <w:szCs w:val="17"/>
              </w:rPr>
              <w:t>35</w:t>
            </w:r>
          </w:p>
        </w:tc>
        <w:tc>
          <w:tcPr>
            <w:tcW w:w="1336" w:type="dxa"/>
            <w:tcBorders>
              <w:tl2br w:val="nil"/>
              <w:tr2bl w:val="nil"/>
            </w:tcBorders>
            <w:vAlign w:val="center"/>
          </w:tcPr>
          <w:p w14:paraId="4DDBA57F">
            <w:pPr>
              <w:pStyle w:val="185"/>
              <w:spacing w:line="240" w:lineRule="auto"/>
              <w:ind w:firstLine="0"/>
              <w:jc w:val="center"/>
              <w:rPr>
                <w:rFonts w:hint="eastAsia"/>
                <w:color w:val="000000"/>
                <w:sz w:val="17"/>
                <w:szCs w:val="17"/>
              </w:rPr>
            </w:pPr>
            <w:r>
              <w:rPr>
                <w:rFonts w:hint="eastAsia"/>
                <w:color w:val="000000"/>
                <w:sz w:val="17"/>
                <w:szCs w:val="17"/>
              </w:rPr>
              <w:t>25</w:t>
            </w:r>
          </w:p>
        </w:tc>
        <w:tc>
          <w:tcPr>
            <w:tcW w:w="1336" w:type="dxa"/>
            <w:tcBorders>
              <w:tl2br w:val="nil"/>
              <w:tr2bl w:val="nil"/>
            </w:tcBorders>
            <w:vAlign w:val="center"/>
          </w:tcPr>
          <w:p w14:paraId="69A4A707">
            <w:pPr>
              <w:pStyle w:val="185"/>
              <w:spacing w:line="240" w:lineRule="auto"/>
              <w:ind w:firstLine="0"/>
              <w:jc w:val="center"/>
              <w:rPr>
                <w:rFonts w:hint="eastAsia"/>
                <w:color w:val="000000"/>
                <w:sz w:val="17"/>
                <w:szCs w:val="17"/>
              </w:rPr>
            </w:pPr>
            <w:r>
              <w:rPr>
                <w:rFonts w:hint="eastAsia"/>
                <w:color w:val="000000"/>
                <w:sz w:val="17"/>
                <w:szCs w:val="17"/>
              </w:rPr>
              <w:t>15</w:t>
            </w:r>
          </w:p>
        </w:tc>
        <w:tc>
          <w:tcPr>
            <w:tcW w:w="1331" w:type="dxa"/>
            <w:tcBorders>
              <w:tl2br w:val="nil"/>
              <w:tr2bl w:val="nil"/>
            </w:tcBorders>
            <w:vAlign w:val="center"/>
          </w:tcPr>
          <w:p w14:paraId="687C16B7">
            <w:pPr>
              <w:pStyle w:val="185"/>
              <w:spacing w:line="240" w:lineRule="auto"/>
              <w:ind w:firstLine="0"/>
              <w:jc w:val="center"/>
              <w:rPr>
                <w:rFonts w:hint="eastAsia"/>
                <w:color w:val="000000"/>
                <w:sz w:val="17"/>
                <w:szCs w:val="17"/>
              </w:rPr>
            </w:pPr>
            <w:r>
              <w:rPr>
                <w:rFonts w:hint="eastAsia"/>
                <w:color w:val="000000"/>
                <w:sz w:val="17"/>
                <w:szCs w:val="17"/>
              </w:rPr>
              <w:t>5</w:t>
            </w:r>
          </w:p>
        </w:tc>
        <w:tc>
          <w:tcPr>
            <w:tcW w:w="1332" w:type="dxa"/>
            <w:tcBorders>
              <w:tl2br w:val="nil"/>
              <w:tr2bl w:val="nil"/>
            </w:tcBorders>
            <w:vAlign w:val="center"/>
          </w:tcPr>
          <w:p w14:paraId="7CCFABE7">
            <w:pPr>
              <w:pStyle w:val="185"/>
              <w:spacing w:line="240" w:lineRule="auto"/>
              <w:ind w:firstLine="0"/>
              <w:jc w:val="center"/>
              <w:rPr>
                <w:rFonts w:hint="eastAsia"/>
                <w:color w:val="000000"/>
                <w:sz w:val="17"/>
                <w:szCs w:val="17"/>
              </w:rPr>
            </w:pPr>
            <w:r>
              <w:rPr>
                <w:rFonts w:hint="eastAsia"/>
                <w:color w:val="000000"/>
                <w:sz w:val="17"/>
                <w:szCs w:val="17"/>
              </w:rPr>
              <w:t>-5</w:t>
            </w:r>
          </w:p>
        </w:tc>
      </w:tr>
      <w:tr w14:paraId="32AE5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vMerge w:val="restart"/>
            <w:tcBorders>
              <w:tl2br w:val="nil"/>
              <w:tr2bl w:val="nil"/>
            </w:tcBorders>
            <w:vAlign w:val="center"/>
          </w:tcPr>
          <w:p w14:paraId="67D77AEC">
            <w:pPr>
              <w:pStyle w:val="185"/>
              <w:spacing w:line="240" w:lineRule="auto"/>
              <w:ind w:firstLine="0"/>
              <w:jc w:val="center"/>
              <w:rPr>
                <w:rFonts w:hint="eastAsia"/>
                <w:color w:val="000000"/>
                <w:sz w:val="17"/>
                <w:szCs w:val="17"/>
              </w:rPr>
            </w:pPr>
            <w:r>
              <w:rPr>
                <w:rFonts w:hint="eastAsia"/>
                <w:color w:val="000000"/>
                <w:sz w:val="17"/>
                <w:szCs w:val="17"/>
              </w:rPr>
              <w:t>冷通道</w:t>
            </w:r>
          </w:p>
        </w:tc>
        <w:tc>
          <w:tcPr>
            <w:tcW w:w="1492" w:type="dxa"/>
            <w:tcBorders>
              <w:tl2br w:val="nil"/>
              <w:tr2bl w:val="nil"/>
            </w:tcBorders>
            <w:vAlign w:val="center"/>
          </w:tcPr>
          <w:p w14:paraId="6A631A99">
            <w:pPr>
              <w:pStyle w:val="185"/>
              <w:spacing w:line="240" w:lineRule="auto"/>
              <w:ind w:firstLine="0"/>
              <w:jc w:val="center"/>
              <w:rPr>
                <w:rFonts w:hint="eastAsia"/>
                <w:color w:val="000000"/>
                <w:sz w:val="17"/>
                <w:szCs w:val="17"/>
              </w:rPr>
            </w:pPr>
            <w:r>
              <w:rPr>
                <w:rFonts w:hint="eastAsia"/>
                <w:color w:val="000000"/>
                <w:sz w:val="17"/>
                <w:szCs w:val="17"/>
              </w:rPr>
              <w:t>干球温度（℃）</w:t>
            </w:r>
          </w:p>
        </w:tc>
        <w:tc>
          <w:tcPr>
            <w:tcW w:w="6509" w:type="dxa"/>
            <w:gridSpan w:val="5"/>
            <w:tcBorders>
              <w:tl2br w:val="nil"/>
              <w:tr2bl w:val="nil"/>
            </w:tcBorders>
            <w:vAlign w:val="center"/>
          </w:tcPr>
          <w:p w14:paraId="6ACB92B2">
            <w:pPr>
              <w:pStyle w:val="185"/>
              <w:spacing w:line="240" w:lineRule="auto"/>
              <w:ind w:firstLine="0"/>
              <w:jc w:val="center"/>
              <w:rPr>
                <w:rFonts w:hint="eastAsia"/>
                <w:color w:val="000000"/>
                <w:sz w:val="17"/>
                <w:szCs w:val="17"/>
              </w:rPr>
            </w:pPr>
            <w:r>
              <w:rPr>
                <w:rFonts w:hint="eastAsia"/>
                <w:color w:val="000000"/>
                <w:sz w:val="17"/>
                <w:szCs w:val="17"/>
              </w:rPr>
              <w:t>22～24</w:t>
            </w:r>
          </w:p>
        </w:tc>
      </w:tr>
      <w:tr w14:paraId="6DB3F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l2br w:val="nil"/>
              <w:tr2bl w:val="nil"/>
            </w:tcBorders>
            <w:vAlign w:val="center"/>
          </w:tcPr>
          <w:p w14:paraId="6C44CBF7">
            <w:pPr>
              <w:pStyle w:val="185"/>
              <w:spacing w:line="240" w:lineRule="auto"/>
              <w:ind w:firstLine="0"/>
              <w:jc w:val="center"/>
              <w:rPr>
                <w:rFonts w:hint="eastAsia"/>
                <w:color w:val="000000"/>
                <w:sz w:val="17"/>
                <w:szCs w:val="17"/>
              </w:rPr>
            </w:pPr>
          </w:p>
        </w:tc>
        <w:tc>
          <w:tcPr>
            <w:tcW w:w="1492" w:type="dxa"/>
            <w:tcBorders>
              <w:tl2br w:val="nil"/>
              <w:tr2bl w:val="nil"/>
            </w:tcBorders>
            <w:vAlign w:val="center"/>
          </w:tcPr>
          <w:p w14:paraId="54CC0FD5">
            <w:pPr>
              <w:pStyle w:val="185"/>
              <w:spacing w:line="240" w:lineRule="auto"/>
              <w:ind w:firstLine="0"/>
              <w:jc w:val="center"/>
              <w:rPr>
                <w:rFonts w:hint="eastAsia"/>
                <w:color w:val="000000"/>
                <w:sz w:val="17"/>
                <w:szCs w:val="17"/>
              </w:rPr>
            </w:pPr>
            <w:r>
              <w:rPr>
                <w:rFonts w:hint="eastAsia"/>
                <w:color w:val="000000"/>
                <w:sz w:val="17"/>
                <w:szCs w:val="17"/>
              </w:rPr>
              <w:t>相对湿度</w:t>
            </w:r>
          </w:p>
        </w:tc>
        <w:tc>
          <w:tcPr>
            <w:tcW w:w="6509" w:type="dxa"/>
            <w:gridSpan w:val="5"/>
            <w:tcBorders>
              <w:tl2br w:val="nil"/>
              <w:tr2bl w:val="nil"/>
            </w:tcBorders>
            <w:vAlign w:val="center"/>
          </w:tcPr>
          <w:p w14:paraId="4FDAAAAA">
            <w:pPr>
              <w:pStyle w:val="185"/>
              <w:spacing w:line="240" w:lineRule="auto"/>
              <w:ind w:firstLine="0"/>
              <w:jc w:val="center"/>
              <w:rPr>
                <w:rFonts w:hint="eastAsia"/>
                <w:color w:val="000000"/>
                <w:sz w:val="17"/>
                <w:szCs w:val="17"/>
              </w:rPr>
            </w:pPr>
            <w:r>
              <w:rPr>
                <w:rFonts w:hint="eastAsia"/>
                <w:color w:val="000000"/>
                <w:sz w:val="17"/>
                <w:szCs w:val="17"/>
              </w:rPr>
              <w:t>40 %~60 %</w:t>
            </w:r>
          </w:p>
        </w:tc>
      </w:tr>
      <w:tr w14:paraId="28C5B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Borders>
              <w:tl2br w:val="nil"/>
              <w:tr2bl w:val="nil"/>
            </w:tcBorders>
            <w:vAlign w:val="center"/>
          </w:tcPr>
          <w:p w14:paraId="64159268">
            <w:pPr>
              <w:pStyle w:val="185"/>
              <w:spacing w:line="240" w:lineRule="auto"/>
              <w:ind w:firstLine="0"/>
              <w:jc w:val="center"/>
              <w:rPr>
                <w:rFonts w:hint="eastAsia"/>
                <w:color w:val="000000"/>
                <w:sz w:val="17"/>
                <w:szCs w:val="17"/>
              </w:rPr>
            </w:pPr>
            <w:r>
              <w:rPr>
                <w:rFonts w:hint="eastAsia"/>
                <w:color w:val="000000"/>
                <w:sz w:val="17"/>
                <w:szCs w:val="17"/>
              </w:rPr>
              <w:t>热通道</w:t>
            </w:r>
          </w:p>
        </w:tc>
        <w:tc>
          <w:tcPr>
            <w:tcW w:w="1492" w:type="dxa"/>
            <w:tcBorders>
              <w:tl2br w:val="nil"/>
              <w:tr2bl w:val="nil"/>
            </w:tcBorders>
            <w:vAlign w:val="center"/>
          </w:tcPr>
          <w:p w14:paraId="1DA73C13">
            <w:pPr>
              <w:pStyle w:val="185"/>
              <w:spacing w:line="240" w:lineRule="auto"/>
              <w:ind w:firstLine="0"/>
              <w:jc w:val="center"/>
              <w:rPr>
                <w:rFonts w:hint="eastAsia"/>
                <w:color w:val="000000"/>
                <w:sz w:val="17"/>
                <w:szCs w:val="17"/>
              </w:rPr>
            </w:pPr>
            <w:r>
              <w:rPr>
                <w:rFonts w:hint="eastAsia"/>
                <w:color w:val="000000"/>
                <w:sz w:val="17"/>
                <w:szCs w:val="17"/>
              </w:rPr>
              <w:t>干球温度（℃）</w:t>
            </w:r>
          </w:p>
        </w:tc>
        <w:tc>
          <w:tcPr>
            <w:tcW w:w="6509" w:type="dxa"/>
            <w:gridSpan w:val="5"/>
            <w:tcBorders>
              <w:tl2br w:val="nil"/>
              <w:tr2bl w:val="nil"/>
            </w:tcBorders>
            <w:vAlign w:val="center"/>
          </w:tcPr>
          <w:p w14:paraId="53F1C2C5">
            <w:pPr>
              <w:pStyle w:val="185"/>
              <w:spacing w:line="240" w:lineRule="auto"/>
              <w:ind w:firstLine="0"/>
              <w:jc w:val="center"/>
              <w:rPr>
                <w:rFonts w:hint="eastAsia"/>
                <w:color w:val="000000"/>
                <w:sz w:val="17"/>
                <w:szCs w:val="17"/>
              </w:rPr>
            </w:pPr>
            <w:r>
              <w:rPr>
                <w:rFonts w:hint="eastAsia"/>
                <w:color w:val="000000"/>
                <w:sz w:val="17"/>
                <w:szCs w:val="17"/>
              </w:rPr>
              <w:t>＜40</w:t>
            </w:r>
          </w:p>
        </w:tc>
      </w:tr>
    </w:tbl>
    <w:p w14:paraId="2C0996C4">
      <w:pPr>
        <w:pStyle w:val="25"/>
        <w:keepNext w:val="0"/>
        <w:keepLines w:val="0"/>
        <w:pageBreakBefore w:val="0"/>
        <w:widowControl/>
        <w:numPr>
          <w:ilvl w:val="0"/>
          <w:numId w:val="36"/>
        </w:numPr>
        <w:kinsoku/>
        <w:wordWrap/>
        <w:overflowPunct/>
        <w:topLinePunct w:val="0"/>
        <w:autoSpaceDE w:val="0"/>
        <w:autoSpaceDN w:val="0"/>
        <w:bidi w:val="0"/>
        <w:adjustRightInd/>
        <w:snapToGrid/>
        <w:spacing w:line="320" w:lineRule="exact"/>
        <w:ind w:left="820" w:leftChars="200" w:hanging="400" w:hangingChars="200"/>
        <w:jc w:val="left"/>
        <w:textAlignment w:val="auto"/>
        <w:rPr>
          <w:rFonts w:hint="eastAsia" w:asciiTheme="minorEastAsia" w:hAnsiTheme="minorEastAsia" w:eastAsiaTheme="minorEastAsia"/>
          <w:sz w:val="20"/>
          <w:szCs w:val="20"/>
          <w:lang w:val="en-US" w:eastAsia="zh-CN"/>
        </w:rPr>
      </w:pPr>
      <w:r>
        <w:rPr>
          <w:rFonts w:hint="eastAsia"/>
          <w:color w:val="000000"/>
          <w:sz w:val="20"/>
          <w:szCs w:val="20"/>
          <w:lang w:val="en-US" w:eastAsia="zh-CN"/>
        </w:rPr>
        <w:t xml:space="preserve"> </w:t>
      </w:r>
      <w:r>
        <w:rPr>
          <w:rFonts w:hint="eastAsia"/>
          <w:color w:val="000000"/>
          <w:sz w:val="20"/>
          <w:szCs w:val="20"/>
        </w:rPr>
        <w:t>mpPUE等效值</w:t>
      </w:r>
      <w:r>
        <w:rPr>
          <w:rFonts w:hint="eastAsia" w:asciiTheme="minorEastAsia" w:hAnsiTheme="minorEastAsia" w:eastAsiaTheme="minorEastAsia"/>
          <w:sz w:val="20"/>
          <w:szCs w:val="20"/>
        </w:rPr>
        <w:t>的计算方法见公式（</w:t>
      </w:r>
      <w:r>
        <w:rPr>
          <w:rFonts w:hint="eastAsia" w:asciiTheme="minorEastAsia" w:hAnsiTheme="minorEastAsia" w:eastAsiaTheme="minorEastAsia"/>
          <w:sz w:val="20"/>
          <w:szCs w:val="20"/>
          <w:lang w:val="en-US" w:eastAsia="zh-CN"/>
        </w:rPr>
        <w:t>2</w:t>
      </w:r>
      <w:r>
        <w:rPr>
          <w:rFonts w:hint="eastAsia" w:asciiTheme="minorEastAsia" w:hAnsiTheme="minorEastAsia" w:eastAsiaTheme="minorEastAsia"/>
          <w:sz w:val="20"/>
          <w:szCs w:val="20"/>
        </w:rPr>
        <w:t>）</w:t>
      </w:r>
      <w:r>
        <w:rPr>
          <w:rFonts w:hint="eastAsia" w:asciiTheme="minorEastAsia" w:hAnsiTheme="minorEastAsia" w:eastAsiaTheme="minorEastAsia"/>
          <w:sz w:val="20"/>
          <w:szCs w:val="20"/>
          <w:lang w:eastAsia="zh-CN"/>
        </w:rPr>
        <w:t>。</w:t>
      </w:r>
    </w:p>
    <w:p w14:paraId="14B825C7">
      <w:pPr>
        <w:pStyle w:val="25"/>
        <w:tabs>
          <w:tab w:val="center" w:leader="middleDot" w:pos="4201"/>
        </w:tabs>
        <w:ind w:left="420" w:leftChars="200" w:firstLine="400"/>
        <w:rPr>
          <w:rFonts w:asciiTheme="minorEastAsia" w:hAnsiTheme="minorEastAsia" w:eastAsiaTheme="minorEastAsia"/>
          <w:sz w:val="20"/>
          <w:szCs w:val="20"/>
        </w:rPr>
      </w:pPr>
      <w:r>
        <w:rPr>
          <w:rFonts w:hint="eastAsia"/>
          <w:color w:val="000000"/>
          <w:sz w:val="20"/>
          <w:szCs w:val="20"/>
        </w:rPr>
        <w:t>mpPUE等效值</w:t>
      </w:r>
      <w:r>
        <w:rPr>
          <w:rFonts w:asciiTheme="minorEastAsia" w:hAnsiTheme="minorEastAsia" w:eastAsiaTheme="minorEastAsia"/>
          <w:sz w:val="20"/>
          <w:szCs w:val="20"/>
        </w:rPr>
        <w:t>=Ta×</w:t>
      </w:r>
      <w:r>
        <w:rPr>
          <w:rFonts w:asciiTheme="minorEastAsia" w:hAnsiTheme="minorEastAsia" w:eastAsiaTheme="minorEastAsia"/>
          <w:i/>
          <w:sz w:val="20"/>
          <w:szCs w:val="20"/>
        </w:rPr>
        <w:t>mpPUE</w:t>
      </w:r>
      <w:r>
        <w:rPr>
          <w:rFonts w:asciiTheme="minorEastAsia" w:hAnsiTheme="minorEastAsia" w:eastAsiaTheme="minorEastAsia"/>
          <w:sz w:val="20"/>
          <w:szCs w:val="20"/>
          <w:vertAlign w:val="subscript"/>
        </w:rPr>
        <w:t>a</w:t>
      </w:r>
      <w:r>
        <w:rPr>
          <w:rFonts w:asciiTheme="minorEastAsia" w:hAnsiTheme="minorEastAsia" w:eastAsiaTheme="minorEastAsia"/>
          <w:sz w:val="20"/>
          <w:szCs w:val="20"/>
        </w:rPr>
        <w:t xml:space="preserve">+ </w:t>
      </w:r>
      <w:r>
        <w:rPr>
          <w:rFonts w:asciiTheme="minorEastAsia" w:hAnsiTheme="minorEastAsia" w:eastAsiaTheme="minorEastAsia"/>
          <w:i/>
          <w:sz w:val="20"/>
          <w:szCs w:val="20"/>
        </w:rPr>
        <w:t>Tb×mpPUE</w:t>
      </w:r>
      <w:r>
        <w:rPr>
          <w:rFonts w:asciiTheme="minorEastAsia" w:hAnsiTheme="minorEastAsia" w:eastAsiaTheme="minorEastAsia"/>
          <w:sz w:val="20"/>
          <w:szCs w:val="20"/>
          <w:vertAlign w:val="subscript"/>
        </w:rPr>
        <w:t>b</w:t>
      </w:r>
      <w:r>
        <w:rPr>
          <w:rFonts w:asciiTheme="minorEastAsia" w:hAnsiTheme="minorEastAsia" w:eastAsiaTheme="minorEastAsia"/>
          <w:sz w:val="20"/>
          <w:szCs w:val="20"/>
        </w:rPr>
        <w:t xml:space="preserve"> +Tc×</w:t>
      </w:r>
      <w:r>
        <w:rPr>
          <w:rFonts w:asciiTheme="minorEastAsia" w:hAnsiTheme="minorEastAsia" w:eastAsiaTheme="minorEastAsia"/>
          <w:i/>
          <w:sz w:val="20"/>
          <w:szCs w:val="20"/>
        </w:rPr>
        <w:t>mpPUE</w:t>
      </w:r>
      <w:r>
        <w:rPr>
          <w:rFonts w:asciiTheme="minorEastAsia" w:hAnsiTheme="minorEastAsia" w:eastAsiaTheme="minorEastAsia"/>
          <w:sz w:val="20"/>
          <w:szCs w:val="20"/>
          <w:vertAlign w:val="subscript"/>
        </w:rPr>
        <w:t>c</w:t>
      </w:r>
      <w:r>
        <w:rPr>
          <w:rFonts w:asciiTheme="minorEastAsia" w:hAnsiTheme="minorEastAsia" w:eastAsiaTheme="minorEastAsia"/>
          <w:sz w:val="20"/>
          <w:szCs w:val="20"/>
        </w:rPr>
        <w:t>+ Td×</w:t>
      </w:r>
      <w:r>
        <w:rPr>
          <w:rFonts w:asciiTheme="minorEastAsia" w:hAnsiTheme="minorEastAsia" w:eastAsiaTheme="minorEastAsia"/>
          <w:i/>
          <w:sz w:val="20"/>
          <w:szCs w:val="20"/>
        </w:rPr>
        <w:t>mpPUE</w:t>
      </w:r>
      <w:r>
        <w:rPr>
          <w:rFonts w:asciiTheme="minorEastAsia" w:hAnsiTheme="minorEastAsia" w:eastAsiaTheme="minorEastAsia"/>
          <w:sz w:val="20"/>
          <w:szCs w:val="20"/>
          <w:vertAlign w:val="subscript"/>
        </w:rPr>
        <w:t>d</w:t>
      </w:r>
      <w:r>
        <w:rPr>
          <w:rFonts w:asciiTheme="minorEastAsia" w:hAnsiTheme="minorEastAsia" w:eastAsiaTheme="minorEastAsia"/>
          <w:sz w:val="20"/>
          <w:szCs w:val="20"/>
        </w:rPr>
        <w:t>+ Te×</w:t>
      </w:r>
      <w:r>
        <w:rPr>
          <w:rFonts w:asciiTheme="minorEastAsia" w:hAnsiTheme="minorEastAsia" w:eastAsiaTheme="minorEastAsia"/>
          <w:i/>
          <w:sz w:val="20"/>
          <w:szCs w:val="20"/>
        </w:rPr>
        <w:t>mpPUE</w:t>
      </w:r>
      <w:r>
        <w:rPr>
          <w:rFonts w:asciiTheme="minorEastAsia" w:hAnsiTheme="minorEastAsia" w:eastAsiaTheme="minorEastAsia"/>
          <w:sz w:val="20"/>
          <w:szCs w:val="20"/>
          <w:vertAlign w:val="subscript"/>
        </w:rPr>
        <w:t>e</w:t>
      </w:r>
      <w:r>
        <w:rPr>
          <w:rFonts w:asciiTheme="minorEastAsia" w:hAnsiTheme="minorEastAsia" w:eastAsiaTheme="minorEastAsia"/>
          <w:sz w:val="20"/>
          <w:szCs w:val="20"/>
        </w:rPr>
        <w:tab/>
      </w:r>
      <w:r>
        <w:rPr>
          <w:rFonts w:hint="eastAsia" w:asciiTheme="minorEastAsia" w:hAnsiTheme="minorEastAsia" w:eastAsiaTheme="minorEastAsia"/>
          <w:sz w:val="20"/>
          <w:szCs w:val="20"/>
        </w:rPr>
        <w:t>（</w:t>
      </w:r>
      <w:r>
        <w:rPr>
          <w:rFonts w:hint="eastAsia" w:asciiTheme="minorEastAsia" w:hAnsiTheme="minorEastAsia" w:eastAsiaTheme="minorEastAsia"/>
          <w:sz w:val="20"/>
          <w:szCs w:val="20"/>
          <w:lang w:val="en-US" w:eastAsia="zh-CN"/>
        </w:rPr>
        <w:t>2</w:t>
      </w:r>
      <w:r>
        <w:rPr>
          <w:rFonts w:hint="eastAsia" w:asciiTheme="minorEastAsia" w:hAnsiTheme="minorEastAsia" w:eastAsiaTheme="minorEastAsia"/>
          <w:sz w:val="20"/>
          <w:szCs w:val="20"/>
        </w:rPr>
        <w:t>）</w:t>
      </w:r>
    </w:p>
    <w:p w14:paraId="2CF65378">
      <w:pPr>
        <w:widowControl/>
        <w:tabs>
          <w:tab w:val="center" w:pos="4201"/>
          <w:tab w:val="right" w:leader="dot" w:pos="9298"/>
        </w:tabs>
        <w:autoSpaceDE w:val="0"/>
        <w:autoSpaceDN w:val="0"/>
        <w:ind w:firstLine="400" w:firstLineChars="200"/>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式中：</w:t>
      </w:r>
    </w:p>
    <w:p w14:paraId="65C0B989">
      <w:pPr>
        <w:widowControl/>
        <w:tabs>
          <w:tab w:val="center" w:pos="4201"/>
          <w:tab w:val="right" w:leader="dot" w:pos="9298"/>
        </w:tabs>
        <w:autoSpaceDE w:val="0"/>
        <w:autoSpaceDN w:val="0"/>
        <w:ind w:firstLine="400" w:firstLineChars="200"/>
        <w:jc w:val="left"/>
        <w:rPr>
          <w:rFonts w:asciiTheme="minorEastAsia" w:hAnsiTheme="minorEastAsia" w:eastAsiaTheme="minorEastAsia"/>
          <w:kern w:val="0"/>
          <w:sz w:val="20"/>
          <w:szCs w:val="20"/>
        </w:rPr>
      </w:pPr>
      <w:r>
        <w:rPr>
          <w:rFonts w:hint="eastAsia" w:ascii="宋体" w:hAnsi="宋体" w:eastAsia="宋体" w:cs="宋体"/>
          <w:color w:val="000000"/>
          <w:sz w:val="20"/>
          <w:szCs w:val="20"/>
        </w:rPr>
        <w:t>mpPUE</w:t>
      </w:r>
      <w:r>
        <w:rPr>
          <w:rFonts w:hint="eastAsia"/>
          <w:color w:val="000000"/>
          <w:sz w:val="20"/>
          <w:szCs w:val="20"/>
        </w:rPr>
        <w:t>等效值</w:t>
      </w:r>
      <w:r>
        <w:rPr>
          <w:rFonts w:asciiTheme="minorEastAsia" w:hAnsiTheme="minorEastAsia" w:eastAsiaTheme="minorEastAsia"/>
          <w:kern w:val="0"/>
          <w:sz w:val="20"/>
          <w:szCs w:val="20"/>
        </w:rPr>
        <w:t>—</w:t>
      </w:r>
      <w:r>
        <w:rPr>
          <w:rFonts w:hint="eastAsia" w:asciiTheme="minorEastAsia" w:hAnsiTheme="minorEastAsia" w:eastAsiaTheme="minorEastAsia"/>
          <w:kern w:val="0"/>
          <w:sz w:val="20"/>
          <w:szCs w:val="20"/>
        </w:rPr>
        <w:t>模块化数据中心的全年</w:t>
      </w:r>
      <w:r>
        <w:rPr>
          <w:rFonts w:hint="eastAsia" w:ascii="宋体" w:hAnsi="宋体" w:eastAsia="宋体" w:cs="宋体"/>
          <w:color w:val="000000"/>
          <w:sz w:val="20"/>
          <w:szCs w:val="20"/>
        </w:rPr>
        <w:t>mpPUE</w:t>
      </w:r>
      <w:r>
        <w:rPr>
          <w:rFonts w:hint="eastAsia" w:asciiTheme="minorEastAsia" w:hAnsiTheme="minorEastAsia" w:eastAsiaTheme="minorEastAsia"/>
          <w:kern w:val="0"/>
          <w:sz w:val="20"/>
          <w:szCs w:val="20"/>
        </w:rPr>
        <w:t>评价值；</w:t>
      </w:r>
    </w:p>
    <w:p w14:paraId="24839CD3">
      <w:pPr>
        <w:widowControl/>
        <w:tabs>
          <w:tab w:val="center" w:pos="4201"/>
          <w:tab w:val="right" w:leader="dot" w:pos="9298"/>
        </w:tabs>
        <w:autoSpaceDE w:val="0"/>
        <w:autoSpaceDN w:val="0"/>
        <w:ind w:firstLine="400" w:firstLineChars="200"/>
        <w:jc w:val="left"/>
        <w:rPr>
          <w:rFonts w:asciiTheme="minorEastAsia" w:hAnsiTheme="minorEastAsia" w:eastAsiaTheme="minorEastAsia"/>
          <w:kern w:val="0"/>
          <w:sz w:val="20"/>
          <w:szCs w:val="20"/>
        </w:rPr>
      </w:pPr>
      <w:r>
        <w:rPr>
          <w:rFonts w:asciiTheme="minorEastAsia" w:hAnsiTheme="minorEastAsia" w:eastAsiaTheme="minorEastAsia"/>
          <w:i/>
          <w:kern w:val="0"/>
          <w:sz w:val="20"/>
          <w:szCs w:val="20"/>
        </w:rPr>
        <w:t>mpPUE</w:t>
      </w:r>
      <w:r>
        <w:rPr>
          <w:rFonts w:asciiTheme="minorEastAsia" w:hAnsiTheme="minorEastAsia" w:eastAsiaTheme="minorEastAsia"/>
          <w:kern w:val="0"/>
          <w:sz w:val="20"/>
          <w:szCs w:val="20"/>
          <w:vertAlign w:val="subscript"/>
        </w:rPr>
        <w:t>a</w:t>
      </w:r>
      <w:r>
        <w:rPr>
          <w:rFonts w:hint="eastAsia" w:asciiTheme="minorEastAsia" w:hAnsiTheme="minorEastAsia" w:eastAsiaTheme="minorEastAsia"/>
          <w:kern w:val="0"/>
          <w:sz w:val="20"/>
          <w:szCs w:val="20"/>
        </w:rPr>
        <w:t>～</w:t>
      </w:r>
      <w:r>
        <w:rPr>
          <w:rFonts w:asciiTheme="minorEastAsia" w:hAnsiTheme="minorEastAsia" w:eastAsiaTheme="minorEastAsia"/>
          <w:i/>
          <w:kern w:val="0"/>
          <w:sz w:val="20"/>
          <w:szCs w:val="20"/>
        </w:rPr>
        <w:t>mpPUE</w:t>
      </w:r>
      <w:r>
        <w:rPr>
          <w:rFonts w:asciiTheme="minorEastAsia" w:hAnsiTheme="minorEastAsia" w:eastAsiaTheme="minorEastAsia"/>
          <w:kern w:val="0"/>
          <w:sz w:val="20"/>
          <w:szCs w:val="20"/>
          <w:vertAlign w:val="subscript"/>
        </w:rPr>
        <w:t>e</w:t>
      </w:r>
      <w:r>
        <w:rPr>
          <w:rFonts w:asciiTheme="minorEastAsia" w:hAnsiTheme="minorEastAsia" w:eastAsiaTheme="minorEastAsia"/>
          <w:kern w:val="0"/>
          <w:sz w:val="20"/>
          <w:szCs w:val="20"/>
        </w:rPr>
        <w:t>—</w:t>
      </w:r>
      <w:r>
        <w:rPr>
          <w:rFonts w:hint="eastAsia" w:asciiTheme="minorEastAsia" w:hAnsiTheme="minorEastAsia" w:eastAsiaTheme="minorEastAsia"/>
          <w:kern w:val="0"/>
          <w:sz w:val="20"/>
          <w:szCs w:val="20"/>
        </w:rPr>
        <w:t>模块化数据中心在表</w:t>
      </w:r>
      <w:r>
        <w:rPr>
          <w:rFonts w:hint="eastAsia" w:asciiTheme="minorEastAsia" w:hAnsiTheme="minorEastAsia" w:eastAsiaTheme="minorEastAsia"/>
          <w:kern w:val="0"/>
          <w:sz w:val="20"/>
          <w:szCs w:val="20"/>
          <w:lang w:val="en-US" w:eastAsia="zh-CN"/>
        </w:rPr>
        <w:t>5</w:t>
      </w:r>
      <w:r>
        <w:rPr>
          <w:rFonts w:hint="eastAsia" w:asciiTheme="minorEastAsia" w:hAnsiTheme="minorEastAsia" w:eastAsiaTheme="minorEastAsia"/>
          <w:kern w:val="0"/>
          <w:sz w:val="20"/>
          <w:szCs w:val="20"/>
        </w:rPr>
        <w:t>中</w:t>
      </w:r>
      <w:r>
        <w:rPr>
          <w:rFonts w:asciiTheme="minorEastAsia" w:hAnsiTheme="minorEastAsia" w:eastAsiaTheme="minorEastAsia"/>
          <w:kern w:val="0"/>
          <w:sz w:val="20"/>
          <w:szCs w:val="20"/>
        </w:rPr>
        <w:t>A</w:t>
      </w:r>
      <w:r>
        <w:rPr>
          <w:rFonts w:hint="eastAsia" w:asciiTheme="minorEastAsia" w:hAnsiTheme="minorEastAsia" w:eastAsiaTheme="minorEastAsia"/>
          <w:kern w:val="0"/>
          <w:sz w:val="20"/>
          <w:szCs w:val="20"/>
        </w:rPr>
        <w:t>～</w:t>
      </w:r>
      <w:r>
        <w:rPr>
          <w:rFonts w:asciiTheme="minorEastAsia" w:hAnsiTheme="minorEastAsia" w:eastAsiaTheme="minorEastAsia"/>
          <w:kern w:val="0"/>
          <w:sz w:val="20"/>
          <w:szCs w:val="20"/>
        </w:rPr>
        <w:t>E</w:t>
      </w:r>
      <w:r>
        <w:rPr>
          <w:rFonts w:hint="eastAsia" w:asciiTheme="minorEastAsia" w:hAnsiTheme="minorEastAsia" w:eastAsiaTheme="minorEastAsia"/>
          <w:kern w:val="0"/>
          <w:sz w:val="20"/>
          <w:szCs w:val="20"/>
        </w:rPr>
        <w:t>工况条件下的</w:t>
      </w:r>
      <w:r>
        <w:rPr>
          <w:rFonts w:asciiTheme="minorEastAsia" w:hAnsiTheme="minorEastAsia" w:eastAsiaTheme="minorEastAsia"/>
          <w:i w:val="0"/>
          <w:iCs/>
          <w:kern w:val="0"/>
          <w:sz w:val="20"/>
          <w:szCs w:val="20"/>
        </w:rPr>
        <w:t>mpPUE</w:t>
      </w:r>
      <w:r>
        <w:rPr>
          <w:rFonts w:hint="eastAsia" w:asciiTheme="minorEastAsia" w:hAnsiTheme="minorEastAsia" w:eastAsiaTheme="minorEastAsia"/>
          <w:kern w:val="0"/>
          <w:sz w:val="20"/>
          <w:szCs w:val="20"/>
        </w:rPr>
        <w:t>；</w:t>
      </w:r>
    </w:p>
    <w:p w14:paraId="310424DF">
      <w:pPr>
        <w:widowControl/>
        <w:tabs>
          <w:tab w:val="center" w:pos="4201"/>
          <w:tab w:val="right" w:leader="dot" w:pos="9298"/>
        </w:tabs>
        <w:autoSpaceDE w:val="0"/>
        <w:autoSpaceDN w:val="0"/>
        <w:ind w:firstLine="400" w:firstLineChars="200"/>
        <w:jc w:val="left"/>
        <w:rPr>
          <w:rFonts w:asciiTheme="minorEastAsia" w:hAnsiTheme="minorEastAsia" w:eastAsiaTheme="minorEastAsia"/>
          <w:kern w:val="0"/>
          <w:sz w:val="20"/>
          <w:szCs w:val="20"/>
        </w:rPr>
      </w:pPr>
      <w:r>
        <w:rPr>
          <w:rFonts w:asciiTheme="minorEastAsia" w:hAnsiTheme="minorEastAsia" w:eastAsiaTheme="minorEastAsia"/>
          <w:kern w:val="0"/>
          <w:sz w:val="20"/>
          <w:szCs w:val="20"/>
        </w:rPr>
        <w:t>Ta</w:t>
      </w:r>
      <w:r>
        <w:rPr>
          <w:rFonts w:hint="eastAsia" w:asciiTheme="minorEastAsia" w:hAnsiTheme="minorEastAsia" w:eastAsiaTheme="minorEastAsia"/>
          <w:kern w:val="0"/>
          <w:sz w:val="20"/>
          <w:szCs w:val="20"/>
        </w:rPr>
        <w:t>～</w:t>
      </w:r>
      <w:r>
        <w:rPr>
          <w:rFonts w:asciiTheme="minorEastAsia" w:hAnsiTheme="minorEastAsia" w:eastAsiaTheme="minorEastAsia"/>
          <w:kern w:val="0"/>
          <w:sz w:val="20"/>
          <w:szCs w:val="20"/>
        </w:rPr>
        <w:t>Te —A</w:t>
      </w:r>
      <w:r>
        <w:rPr>
          <w:rFonts w:hint="eastAsia" w:asciiTheme="minorEastAsia" w:hAnsiTheme="minorEastAsia" w:eastAsiaTheme="minorEastAsia"/>
          <w:kern w:val="0"/>
          <w:sz w:val="20"/>
          <w:szCs w:val="20"/>
        </w:rPr>
        <w:t>～</w:t>
      </w:r>
      <w:r>
        <w:rPr>
          <w:rFonts w:asciiTheme="minorEastAsia" w:hAnsiTheme="minorEastAsia" w:eastAsiaTheme="minorEastAsia"/>
          <w:kern w:val="0"/>
          <w:sz w:val="20"/>
          <w:szCs w:val="20"/>
        </w:rPr>
        <w:t>E</w:t>
      </w:r>
      <w:r>
        <w:rPr>
          <w:rFonts w:hint="eastAsia" w:asciiTheme="minorEastAsia" w:hAnsiTheme="minorEastAsia" w:eastAsiaTheme="minorEastAsia"/>
          <w:kern w:val="0"/>
          <w:sz w:val="20"/>
          <w:szCs w:val="20"/>
        </w:rPr>
        <w:t>工况温度分布系数，计</w:t>
      </w:r>
      <w:r>
        <w:rPr>
          <w:rFonts w:hint="eastAsia" w:asciiTheme="minorEastAsia" w:hAnsiTheme="minorEastAsia" w:eastAsiaTheme="minorEastAsia"/>
          <w:i w:val="0"/>
          <w:iCs w:val="0"/>
          <w:kern w:val="0"/>
          <w:sz w:val="20"/>
          <w:szCs w:val="20"/>
        </w:rPr>
        <w:t>算</w:t>
      </w:r>
      <w:r>
        <w:rPr>
          <w:rFonts w:asciiTheme="minorEastAsia" w:hAnsiTheme="minorEastAsia" w:eastAsiaTheme="minorEastAsia"/>
          <w:i w:val="0"/>
          <w:iCs w:val="0"/>
          <w:kern w:val="0"/>
          <w:sz w:val="20"/>
          <w:szCs w:val="20"/>
        </w:rPr>
        <w:t>mpPUE</w:t>
      </w:r>
      <w:r>
        <w:rPr>
          <w:rFonts w:hint="eastAsia" w:asciiTheme="minorEastAsia" w:hAnsiTheme="minorEastAsia" w:eastAsiaTheme="minorEastAsia"/>
          <w:i w:val="0"/>
          <w:iCs w:val="0"/>
          <w:kern w:val="0"/>
          <w:sz w:val="20"/>
          <w:szCs w:val="20"/>
          <w:lang w:val="en-US" w:eastAsia="zh-CN"/>
        </w:rPr>
        <w:t>等效值</w:t>
      </w:r>
      <w:r>
        <w:rPr>
          <w:rFonts w:hint="eastAsia" w:asciiTheme="minorEastAsia" w:hAnsiTheme="minorEastAsia" w:eastAsiaTheme="minorEastAsia"/>
          <w:i w:val="0"/>
          <w:iCs w:val="0"/>
          <w:kern w:val="0"/>
          <w:sz w:val="20"/>
          <w:szCs w:val="20"/>
        </w:rPr>
        <w:t>时按表</w:t>
      </w:r>
      <w:r>
        <w:rPr>
          <w:rFonts w:hint="eastAsia" w:asciiTheme="minorEastAsia" w:hAnsiTheme="minorEastAsia" w:eastAsiaTheme="minorEastAsia"/>
          <w:i w:val="0"/>
          <w:iCs w:val="0"/>
          <w:kern w:val="0"/>
          <w:sz w:val="20"/>
          <w:szCs w:val="20"/>
          <w:lang w:val="en-US" w:eastAsia="zh-CN"/>
        </w:rPr>
        <w:t>6</w:t>
      </w:r>
      <w:r>
        <w:rPr>
          <w:rFonts w:hint="eastAsia" w:asciiTheme="minorEastAsia" w:hAnsiTheme="minorEastAsia" w:eastAsiaTheme="minorEastAsia"/>
          <w:i w:val="0"/>
          <w:iCs w:val="0"/>
          <w:kern w:val="0"/>
          <w:sz w:val="20"/>
          <w:szCs w:val="20"/>
        </w:rPr>
        <w:t>的</w:t>
      </w:r>
      <w:r>
        <w:rPr>
          <w:rFonts w:hint="eastAsia" w:asciiTheme="minorEastAsia" w:hAnsiTheme="minorEastAsia" w:eastAsiaTheme="minorEastAsia"/>
          <w:kern w:val="0"/>
          <w:sz w:val="20"/>
          <w:szCs w:val="20"/>
        </w:rPr>
        <w:t>规定。</w:t>
      </w:r>
    </w:p>
    <w:p w14:paraId="346E15FD">
      <w:pPr>
        <w:pStyle w:val="183"/>
        <w:jc w:val="center"/>
        <w:rPr>
          <w:rFonts w:hint="default" w:ascii="宋体" w:hAnsi="宋体" w:eastAsia="宋体" w:cs="宋体"/>
          <w:color w:val="000000"/>
        </w:rPr>
      </w:pPr>
      <w:r>
        <w:rPr>
          <w:rFonts w:hint="eastAsia" w:ascii="宋体" w:hAnsi="宋体" w:eastAsia="宋体" w:cs="宋体"/>
          <w:color w:val="000000"/>
        </w:rPr>
        <w:t>表</w:t>
      </w:r>
      <w:r>
        <w:rPr>
          <w:rFonts w:hint="eastAsia" w:ascii="宋体" w:hAnsi="宋体" w:eastAsia="宋体" w:cs="宋体"/>
          <w:color w:val="000000"/>
          <w:lang w:val="en-US" w:eastAsia="zh-CN"/>
        </w:rPr>
        <w:t>6</w:t>
      </w:r>
      <w:r>
        <w:rPr>
          <w:rFonts w:hint="eastAsia" w:ascii="宋体" w:hAnsi="宋体" w:eastAsia="宋体" w:cs="宋体"/>
          <w:color w:val="000000"/>
        </w:rPr>
        <w:t xml:space="preserve">  等效测试</w:t>
      </w:r>
      <w:r>
        <w:rPr>
          <w:rFonts w:hint="default" w:ascii="宋体" w:hAnsi="宋体" w:eastAsia="宋体" w:cs="宋体"/>
          <w:color w:val="000000"/>
        </w:rPr>
        <w:t>mpPUE</w:t>
      </w:r>
      <w:r>
        <w:rPr>
          <w:rFonts w:hint="eastAsia" w:ascii="宋体" w:hAnsi="宋体" w:eastAsia="宋体" w:cs="宋体"/>
          <w:color w:val="000000"/>
        </w:rPr>
        <w:t>等效值温度分布系数</w:t>
      </w:r>
    </w:p>
    <w:tbl>
      <w:tblPr>
        <w:tblStyle w:val="35"/>
        <w:tblW w:w="9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0"/>
        <w:gridCol w:w="1533"/>
        <w:gridCol w:w="1533"/>
        <w:gridCol w:w="1533"/>
        <w:gridCol w:w="1533"/>
        <w:gridCol w:w="1534"/>
      </w:tblGrid>
      <w:tr w14:paraId="2C0D9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680" w:type="dxa"/>
            <w:vAlign w:val="center"/>
          </w:tcPr>
          <w:p w14:paraId="04BDC6E3">
            <w:pPr>
              <w:pStyle w:val="185"/>
              <w:spacing w:line="240" w:lineRule="auto"/>
              <w:ind w:firstLine="0"/>
              <w:jc w:val="center"/>
              <w:rPr>
                <w:rFonts w:hint="eastAsia"/>
                <w:color w:val="000000"/>
                <w:sz w:val="17"/>
                <w:szCs w:val="17"/>
              </w:rPr>
            </w:pPr>
            <w:r>
              <w:rPr>
                <w:rFonts w:hint="eastAsia"/>
                <w:color w:val="000000"/>
                <w:sz w:val="17"/>
                <w:szCs w:val="17"/>
              </w:rPr>
              <w:t>温度分布系数</w:t>
            </w:r>
          </w:p>
        </w:tc>
        <w:tc>
          <w:tcPr>
            <w:tcW w:w="1533" w:type="dxa"/>
            <w:vAlign w:val="center"/>
          </w:tcPr>
          <w:p w14:paraId="6ABE91BF">
            <w:pPr>
              <w:pStyle w:val="185"/>
              <w:spacing w:line="240" w:lineRule="auto"/>
              <w:ind w:firstLine="0"/>
              <w:jc w:val="center"/>
              <w:rPr>
                <w:rFonts w:hint="eastAsia"/>
                <w:color w:val="000000"/>
                <w:sz w:val="17"/>
                <w:szCs w:val="17"/>
              </w:rPr>
            </w:pPr>
            <w:r>
              <w:rPr>
                <w:rFonts w:hint="eastAsia"/>
                <w:color w:val="000000"/>
                <w:sz w:val="17"/>
                <w:szCs w:val="17"/>
              </w:rPr>
              <w:t>Ta</w:t>
            </w:r>
          </w:p>
        </w:tc>
        <w:tc>
          <w:tcPr>
            <w:tcW w:w="1533" w:type="dxa"/>
            <w:vAlign w:val="center"/>
          </w:tcPr>
          <w:p w14:paraId="18B5F768">
            <w:pPr>
              <w:pStyle w:val="185"/>
              <w:spacing w:line="240" w:lineRule="auto"/>
              <w:ind w:firstLine="0"/>
              <w:jc w:val="center"/>
              <w:rPr>
                <w:rFonts w:hint="eastAsia"/>
                <w:color w:val="000000"/>
                <w:sz w:val="17"/>
                <w:szCs w:val="17"/>
              </w:rPr>
            </w:pPr>
            <w:r>
              <w:rPr>
                <w:rFonts w:hint="eastAsia"/>
                <w:color w:val="000000"/>
                <w:sz w:val="17"/>
                <w:szCs w:val="17"/>
              </w:rPr>
              <w:t>Tb</w:t>
            </w:r>
          </w:p>
        </w:tc>
        <w:tc>
          <w:tcPr>
            <w:tcW w:w="1533" w:type="dxa"/>
            <w:vAlign w:val="center"/>
          </w:tcPr>
          <w:p w14:paraId="7F005C76">
            <w:pPr>
              <w:pStyle w:val="185"/>
              <w:spacing w:line="240" w:lineRule="auto"/>
              <w:ind w:firstLine="0"/>
              <w:jc w:val="center"/>
              <w:rPr>
                <w:rFonts w:hint="eastAsia"/>
                <w:color w:val="000000"/>
                <w:sz w:val="17"/>
                <w:szCs w:val="17"/>
              </w:rPr>
            </w:pPr>
            <w:r>
              <w:rPr>
                <w:rFonts w:hint="eastAsia"/>
                <w:color w:val="000000"/>
                <w:sz w:val="17"/>
                <w:szCs w:val="17"/>
              </w:rPr>
              <w:t>Tc</w:t>
            </w:r>
          </w:p>
        </w:tc>
        <w:tc>
          <w:tcPr>
            <w:tcW w:w="1533" w:type="dxa"/>
            <w:vAlign w:val="center"/>
          </w:tcPr>
          <w:p w14:paraId="7B060DC5">
            <w:pPr>
              <w:pStyle w:val="185"/>
              <w:spacing w:line="240" w:lineRule="auto"/>
              <w:ind w:firstLine="0"/>
              <w:jc w:val="center"/>
              <w:rPr>
                <w:rFonts w:hint="eastAsia"/>
                <w:color w:val="000000"/>
                <w:sz w:val="17"/>
                <w:szCs w:val="17"/>
              </w:rPr>
            </w:pPr>
            <w:r>
              <w:rPr>
                <w:rFonts w:hint="eastAsia"/>
                <w:color w:val="000000"/>
                <w:sz w:val="17"/>
                <w:szCs w:val="17"/>
              </w:rPr>
              <w:t>Td</w:t>
            </w:r>
          </w:p>
        </w:tc>
        <w:tc>
          <w:tcPr>
            <w:tcW w:w="1534" w:type="dxa"/>
            <w:vAlign w:val="center"/>
          </w:tcPr>
          <w:p w14:paraId="790F3545">
            <w:pPr>
              <w:pStyle w:val="185"/>
              <w:spacing w:line="240" w:lineRule="auto"/>
              <w:ind w:firstLine="0"/>
              <w:jc w:val="center"/>
              <w:rPr>
                <w:rFonts w:hint="eastAsia"/>
                <w:color w:val="000000"/>
                <w:sz w:val="17"/>
                <w:szCs w:val="17"/>
              </w:rPr>
            </w:pPr>
            <w:r>
              <w:rPr>
                <w:rFonts w:hint="eastAsia"/>
                <w:color w:val="000000"/>
                <w:sz w:val="17"/>
                <w:szCs w:val="17"/>
              </w:rPr>
              <w:t>Te</w:t>
            </w:r>
          </w:p>
        </w:tc>
      </w:tr>
      <w:tr w14:paraId="603E5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680" w:type="dxa"/>
            <w:vAlign w:val="center"/>
          </w:tcPr>
          <w:p w14:paraId="578E80E2">
            <w:pPr>
              <w:pStyle w:val="185"/>
              <w:spacing w:line="240" w:lineRule="auto"/>
              <w:ind w:firstLine="0"/>
              <w:jc w:val="center"/>
              <w:rPr>
                <w:rFonts w:hint="eastAsia"/>
                <w:color w:val="000000"/>
                <w:sz w:val="17"/>
                <w:szCs w:val="17"/>
              </w:rPr>
            </w:pPr>
            <w:r>
              <w:rPr>
                <w:rFonts w:hint="eastAsia"/>
                <w:color w:val="000000"/>
                <w:sz w:val="17"/>
                <w:szCs w:val="17"/>
              </w:rPr>
              <w:t>数值</w:t>
            </w:r>
          </w:p>
        </w:tc>
        <w:tc>
          <w:tcPr>
            <w:tcW w:w="1533" w:type="dxa"/>
            <w:vAlign w:val="center"/>
          </w:tcPr>
          <w:p w14:paraId="2F6F8843">
            <w:pPr>
              <w:pStyle w:val="185"/>
              <w:spacing w:line="240" w:lineRule="auto"/>
              <w:ind w:firstLine="0"/>
              <w:jc w:val="center"/>
              <w:rPr>
                <w:rFonts w:hint="eastAsia"/>
                <w:color w:val="000000"/>
                <w:sz w:val="17"/>
                <w:szCs w:val="17"/>
              </w:rPr>
            </w:pPr>
            <w:r>
              <w:rPr>
                <w:rFonts w:hint="eastAsia"/>
                <w:color w:val="000000"/>
                <w:sz w:val="17"/>
                <w:szCs w:val="17"/>
              </w:rPr>
              <w:t>7.2 %</w:t>
            </w:r>
          </w:p>
        </w:tc>
        <w:tc>
          <w:tcPr>
            <w:tcW w:w="1533" w:type="dxa"/>
            <w:vAlign w:val="center"/>
          </w:tcPr>
          <w:p w14:paraId="5546E403">
            <w:pPr>
              <w:pStyle w:val="185"/>
              <w:spacing w:line="240" w:lineRule="auto"/>
              <w:ind w:firstLine="0"/>
              <w:jc w:val="center"/>
              <w:rPr>
                <w:rFonts w:hint="eastAsia"/>
                <w:color w:val="000000"/>
                <w:sz w:val="17"/>
                <w:szCs w:val="17"/>
              </w:rPr>
            </w:pPr>
            <w:r>
              <w:rPr>
                <w:rFonts w:hint="eastAsia"/>
                <w:color w:val="000000"/>
                <w:sz w:val="17"/>
                <w:szCs w:val="17"/>
              </w:rPr>
              <w:t>28.1 %</w:t>
            </w:r>
          </w:p>
        </w:tc>
        <w:tc>
          <w:tcPr>
            <w:tcW w:w="1533" w:type="dxa"/>
            <w:vAlign w:val="center"/>
          </w:tcPr>
          <w:p w14:paraId="20B2FD8A">
            <w:pPr>
              <w:pStyle w:val="185"/>
              <w:spacing w:line="240" w:lineRule="auto"/>
              <w:ind w:firstLine="0"/>
              <w:jc w:val="center"/>
              <w:rPr>
                <w:rFonts w:hint="eastAsia"/>
                <w:color w:val="000000"/>
                <w:sz w:val="17"/>
                <w:szCs w:val="17"/>
              </w:rPr>
            </w:pPr>
            <w:r>
              <w:rPr>
                <w:rFonts w:hint="eastAsia"/>
                <w:color w:val="000000"/>
                <w:sz w:val="17"/>
                <w:szCs w:val="17"/>
              </w:rPr>
              <w:t>23.1 %</w:t>
            </w:r>
          </w:p>
        </w:tc>
        <w:tc>
          <w:tcPr>
            <w:tcW w:w="1533" w:type="dxa"/>
            <w:vAlign w:val="center"/>
          </w:tcPr>
          <w:p w14:paraId="768A104F">
            <w:pPr>
              <w:pStyle w:val="185"/>
              <w:spacing w:line="240" w:lineRule="auto"/>
              <w:ind w:firstLine="0"/>
              <w:jc w:val="center"/>
              <w:rPr>
                <w:rFonts w:hint="eastAsia"/>
                <w:color w:val="000000"/>
                <w:sz w:val="17"/>
                <w:szCs w:val="17"/>
              </w:rPr>
            </w:pPr>
            <w:r>
              <w:rPr>
                <w:rFonts w:hint="eastAsia"/>
                <w:color w:val="000000"/>
                <w:sz w:val="17"/>
                <w:szCs w:val="17"/>
              </w:rPr>
              <w:t>21.0 %</w:t>
            </w:r>
          </w:p>
        </w:tc>
        <w:tc>
          <w:tcPr>
            <w:tcW w:w="1534" w:type="dxa"/>
            <w:vAlign w:val="center"/>
          </w:tcPr>
          <w:p w14:paraId="436D3FBC">
            <w:pPr>
              <w:pStyle w:val="185"/>
              <w:spacing w:line="240" w:lineRule="auto"/>
              <w:ind w:firstLine="0"/>
              <w:jc w:val="center"/>
              <w:rPr>
                <w:rFonts w:hint="eastAsia"/>
                <w:color w:val="000000"/>
                <w:sz w:val="17"/>
                <w:szCs w:val="17"/>
              </w:rPr>
            </w:pPr>
            <w:r>
              <w:rPr>
                <w:rFonts w:hint="eastAsia"/>
                <w:color w:val="000000"/>
                <w:sz w:val="17"/>
                <w:szCs w:val="17"/>
              </w:rPr>
              <w:t>20.6 %</w:t>
            </w:r>
          </w:p>
        </w:tc>
      </w:tr>
    </w:tbl>
    <w:p w14:paraId="2D53BECD">
      <w:pPr>
        <w:pStyle w:val="46"/>
        <w:spacing w:before="156" w:after="156"/>
        <w:outlineLvl w:val="1"/>
        <w:rPr>
          <w:rFonts w:hAnsi="黑体" w:cs="黑体"/>
          <w:bCs/>
          <w:szCs w:val="22"/>
        </w:rPr>
      </w:pPr>
      <w:r>
        <w:rPr>
          <w:rFonts w:hint="eastAsia" w:hAnsi="黑体" w:cs="黑体"/>
          <w:bCs/>
          <w:szCs w:val="22"/>
          <w:lang w:val="en-US" w:eastAsia="zh-CN"/>
        </w:rPr>
        <w:t>产品外观与体验</w:t>
      </w:r>
      <w:r>
        <w:rPr>
          <w:rFonts w:hint="eastAsia" w:hAnsi="黑体" w:cs="黑体"/>
          <w:bCs/>
          <w:szCs w:val="22"/>
        </w:rPr>
        <w:t>一致性测评方法</w:t>
      </w:r>
    </w:p>
    <w:p w14:paraId="5818DAD8">
      <w:pPr>
        <w:ind w:firstLine="400" w:firstLineChars="200"/>
        <w:jc w:val="left"/>
      </w:pPr>
      <w:r>
        <w:rPr>
          <w:rFonts w:hint="eastAsia" w:asciiTheme="minorEastAsia" w:hAnsiTheme="minorEastAsia" w:eastAsiaTheme="minorEastAsia"/>
          <w:sz w:val="20"/>
          <w:szCs w:val="22"/>
        </w:rPr>
        <w:t>针对</w:t>
      </w:r>
      <w:r>
        <w:rPr>
          <w:rFonts w:hint="eastAsia" w:asciiTheme="minorEastAsia" w:hAnsiTheme="minorEastAsia" w:eastAsiaTheme="minorEastAsia"/>
          <w:sz w:val="20"/>
          <w:szCs w:val="22"/>
          <w:lang w:val="en-US" w:eastAsia="zh-CN"/>
        </w:rPr>
        <w:t>4.3的</w:t>
      </w:r>
      <w:r>
        <w:rPr>
          <w:rFonts w:hint="eastAsia" w:asciiTheme="minorEastAsia" w:hAnsiTheme="minorEastAsia" w:eastAsiaTheme="minorEastAsia"/>
          <w:sz w:val="20"/>
          <w:szCs w:val="22"/>
        </w:rPr>
        <w:t>a、b、c、d、e、f、g等条目采用通用仪器采用用通用量具（或目测）和通用仪表对间隙等进行测试。</w:t>
      </w:r>
    </w:p>
    <w:p w14:paraId="57DBE30E">
      <w:pPr>
        <w:pStyle w:val="46"/>
        <w:spacing w:before="156" w:after="156"/>
        <w:outlineLvl w:val="1"/>
        <w:rPr>
          <w:rFonts w:hAnsi="黑体" w:cs="黑体"/>
          <w:bCs/>
          <w:szCs w:val="22"/>
        </w:rPr>
      </w:pPr>
      <w:r>
        <w:rPr>
          <w:rFonts w:hint="eastAsia" w:hAnsi="黑体" w:cs="黑体"/>
          <w:bCs/>
          <w:szCs w:val="22"/>
        </w:rPr>
        <w:t>产品智能化测评方法</w:t>
      </w:r>
    </w:p>
    <w:p w14:paraId="2AB5570F">
      <w:pPr>
        <w:pStyle w:val="172"/>
        <w:keepNext w:val="0"/>
        <w:keepLines w:val="0"/>
        <w:pageBreakBefore w:val="0"/>
        <w:widowControl/>
        <w:numPr>
          <w:ilvl w:val="0"/>
          <w:numId w:val="37"/>
        </w:numPr>
        <w:kinsoku/>
        <w:wordWrap/>
        <w:overflowPunct/>
        <w:topLinePunct w:val="0"/>
        <w:autoSpaceDE/>
        <w:autoSpaceDN/>
        <w:bidi w:val="0"/>
        <w:adjustRightInd/>
        <w:snapToGrid/>
        <w:spacing w:line="320" w:lineRule="exact"/>
        <w:ind w:left="820" w:leftChars="200" w:hanging="400" w:hangingChars="200"/>
        <w:jc w:val="left"/>
        <w:textAlignment w:val="auto"/>
        <w:outlineLvl w:val="9"/>
        <w:rPr>
          <w:sz w:val="20"/>
          <w:szCs w:val="21"/>
        </w:rPr>
      </w:pPr>
      <w:r>
        <w:rPr>
          <w:rFonts w:hint="eastAsia"/>
          <w:sz w:val="20"/>
          <w:szCs w:val="21"/>
          <w:lang w:val="en-US" w:eastAsia="zh-CN"/>
        </w:rPr>
        <w:t xml:space="preserve"> </w:t>
      </w:r>
      <w:r>
        <w:rPr>
          <w:rFonts w:hint="eastAsia"/>
          <w:sz w:val="20"/>
          <w:szCs w:val="21"/>
        </w:rPr>
        <w:t>采用目测法检查模块化数据中心移动管理特性，查看环境参数、制冷系统参数、供电系统参数、安防信息及消防报警等信息运行状态</w:t>
      </w:r>
      <w:r>
        <w:rPr>
          <w:rFonts w:hint="eastAsia"/>
          <w:sz w:val="20"/>
          <w:szCs w:val="21"/>
          <w:lang w:eastAsia="zh-CN"/>
        </w:rPr>
        <w:t>；</w:t>
      </w:r>
    </w:p>
    <w:p w14:paraId="23E98154">
      <w:pPr>
        <w:pStyle w:val="172"/>
        <w:keepNext w:val="0"/>
        <w:keepLines w:val="0"/>
        <w:pageBreakBefore w:val="0"/>
        <w:widowControl/>
        <w:numPr>
          <w:ilvl w:val="0"/>
          <w:numId w:val="37"/>
        </w:numPr>
        <w:kinsoku/>
        <w:wordWrap/>
        <w:overflowPunct/>
        <w:topLinePunct w:val="0"/>
        <w:autoSpaceDE/>
        <w:autoSpaceDN/>
        <w:bidi w:val="0"/>
        <w:adjustRightInd/>
        <w:snapToGrid/>
        <w:spacing w:line="320" w:lineRule="exact"/>
        <w:ind w:left="820" w:leftChars="200" w:hanging="400" w:hangingChars="200"/>
        <w:jc w:val="left"/>
        <w:textAlignment w:val="auto"/>
        <w:outlineLvl w:val="9"/>
        <w:rPr>
          <w:sz w:val="20"/>
          <w:szCs w:val="21"/>
        </w:rPr>
      </w:pPr>
      <w:r>
        <w:rPr>
          <w:rFonts w:hint="eastAsia"/>
          <w:sz w:val="20"/>
          <w:szCs w:val="21"/>
          <w:lang w:val="en-US" w:eastAsia="zh-CN"/>
        </w:rPr>
        <w:t xml:space="preserve"> </w:t>
      </w:r>
      <w:r>
        <w:rPr>
          <w:rFonts w:hint="eastAsia"/>
          <w:sz w:val="20"/>
          <w:szCs w:val="21"/>
        </w:rPr>
        <w:t>功能测试：对机组天窗与系统的联动、照明与告警系统的联动、照明与通道内是否有人的联动、告警根因、冷媒泄露检测、低载除湿等功能进行测试。</w:t>
      </w:r>
    </w:p>
    <w:p w14:paraId="771D0F02">
      <w:pPr>
        <w:pStyle w:val="46"/>
        <w:spacing w:before="156" w:after="156"/>
        <w:outlineLvl w:val="1"/>
        <w:rPr>
          <w:rFonts w:hAnsi="黑体" w:cs="黑体"/>
          <w:bCs/>
          <w:szCs w:val="22"/>
        </w:rPr>
      </w:pPr>
      <w:r>
        <w:rPr>
          <w:rFonts w:hint="eastAsia" w:hAnsi="黑体" w:cs="黑体"/>
          <w:bCs/>
          <w:szCs w:val="22"/>
          <w:lang w:val="en-US" w:eastAsia="zh-CN"/>
        </w:rPr>
        <w:t>产品</w:t>
      </w:r>
      <w:r>
        <w:rPr>
          <w:rFonts w:hint="eastAsia" w:hAnsi="黑体" w:cs="黑体"/>
          <w:bCs/>
          <w:szCs w:val="22"/>
        </w:rPr>
        <w:t>网络安全测评方法</w:t>
      </w:r>
    </w:p>
    <w:p w14:paraId="25F23832">
      <w:pPr>
        <w:keepNext w:val="0"/>
        <w:keepLines w:val="0"/>
        <w:pageBreakBefore w:val="0"/>
        <w:widowControl w:val="0"/>
        <w:kinsoku/>
        <w:wordWrap/>
        <w:overflowPunct/>
        <w:topLinePunct w:val="0"/>
        <w:autoSpaceDE/>
        <w:autoSpaceDN/>
        <w:bidi w:val="0"/>
        <w:adjustRightInd/>
        <w:snapToGrid/>
        <w:ind w:firstLine="400" w:firstLineChars="200"/>
        <w:jc w:val="left"/>
        <w:textAlignment w:val="auto"/>
      </w:pPr>
      <w:r>
        <w:rPr>
          <w:rFonts w:hint="eastAsia" w:asciiTheme="minorEastAsia" w:hAnsiTheme="minorEastAsia" w:eastAsiaTheme="minorEastAsia"/>
          <w:sz w:val="20"/>
          <w:szCs w:val="22"/>
        </w:rPr>
        <w:t>产品网络安全满</w:t>
      </w:r>
      <w:r>
        <w:rPr>
          <w:rFonts w:hint="eastAsia" w:ascii="宋体" w:hAnsi="宋体" w:eastAsia="宋体" w:cs="宋体"/>
          <w:sz w:val="20"/>
          <w:szCs w:val="22"/>
        </w:rPr>
        <w:t>足</w:t>
      </w:r>
      <w:r>
        <w:rPr>
          <w:rFonts w:hint="eastAsia" w:ascii="宋体" w:hAnsi="宋体" w:eastAsia="宋体" w:cs="宋体"/>
          <w:color w:val="000000"/>
        </w:rPr>
        <w:t>TRIMPS-ZY04-001《社会公主共安全领域自愿性认证实施规则智能联网产品（网络安全）》</w:t>
      </w:r>
      <w:r>
        <w:rPr>
          <w:rFonts w:hint="eastAsia" w:ascii="宋体" w:hAnsi="宋体" w:eastAsia="宋体" w:cs="宋体"/>
          <w:color w:val="000000"/>
          <w:lang w:eastAsia="zh-CN"/>
        </w:rPr>
        <w:t>，</w:t>
      </w:r>
      <w:r>
        <w:rPr>
          <w:rFonts w:hint="eastAsia" w:ascii="宋体" w:hAnsi="宋体" w:eastAsia="宋体" w:cs="宋体"/>
          <w:sz w:val="20"/>
          <w:szCs w:val="22"/>
        </w:rPr>
        <w:t>测评结论可参考第三方认证测试报</w:t>
      </w:r>
      <w:r>
        <w:rPr>
          <w:rFonts w:hint="eastAsia" w:asciiTheme="minorEastAsia" w:hAnsiTheme="minorEastAsia" w:eastAsiaTheme="minorEastAsia"/>
          <w:sz w:val="20"/>
          <w:szCs w:val="22"/>
        </w:rPr>
        <w:t>告。</w:t>
      </w:r>
    </w:p>
    <w:p w14:paraId="352D22F1">
      <w:pPr>
        <w:pStyle w:val="49"/>
        <w:spacing w:before="312" w:after="312"/>
        <w:outlineLvl w:val="0"/>
      </w:pPr>
      <w:bookmarkStart w:id="51" w:name="_Toc166092715"/>
      <w:r>
        <w:rPr>
          <w:rFonts w:hint="eastAsia"/>
        </w:rPr>
        <w:t>模块化测试综合评分规则</w:t>
      </w:r>
      <w:bookmarkEnd w:id="51"/>
    </w:p>
    <w:bookmarkEnd w:id="33"/>
    <w:bookmarkEnd w:id="34"/>
    <w:bookmarkEnd w:id="35"/>
    <w:bookmarkEnd w:id="36"/>
    <w:bookmarkEnd w:id="37"/>
    <w:p w14:paraId="096546A2">
      <w:pPr>
        <w:pStyle w:val="46"/>
        <w:spacing w:before="156" w:after="156"/>
        <w:outlineLvl w:val="1"/>
      </w:pPr>
      <w:r>
        <w:rPr>
          <w:rFonts w:hint="eastAsia"/>
        </w:rPr>
        <w:t>分级依据</w:t>
      </w:r>
    </w:p>
    <w:p w14:paraId="72583D47">
      <w:pPr>
        <w:pStyle w:val="172"/>
        <w:keepNext w:val="0"/>
        <w:keepLines w:val="0"/>
        <w:pageBreakBefore w:val="0"/>
        <w:widowControl/>
        <w:numPr>
          <w:ilvl w:val="0"/>
          <w:numId w:val="0"/>
        </w:numPr>
        <w:kinsoku/>
        <w:wordWrap/>
        <w:overflowPunct/>
        <w:topLinePunct w:val="0"/>
        <w:bidi w:val="0"/>
        <w:adjustRightInd/>
        <w:snapToGrid/>
        <w:spacing w:line="320" w:lineRule="exact"/>
        <w:ind w:left="820" w:leftChars="200" w:hanging="400" w:hangingChars="200"/>
        <w:jc w:val="left"/>
        <w:textAlignment w:val="auto"/>
        <w:rPr>
          <w:rFonts w:hint="default"/>
          <w:sz w:val="20"/>
          <w:szCs w:val="20"/>
          <w:lang w:val="en-US" w:eastAsia="zh-CN"/>
        </w:rPr>
      </w:pPr>
      <w:r>
        <w:rPr>
          <w:rFonts w:hint="eastAsia"/>
          <w:sz w:val="20"/>
          <w:szCs w:val="20"/>
          <w:lang w:val="en-US" w:eastAsia="zh-CN"/>
        </w:rPr>
        <w:t>模块化数据中心产品平评价的分级依据如下：</w:t>
      </w:r>
    </w:p>
    <w:p w14:paraId="435CFBA1">
      <w:pPr>
        <w:pStyle w:val="172"/>
        <w:keepNext w:val="0"/>
        <w:keepLines w:val="0"/>
        <w:pageBreakBefore w:val="0"/>
        <w:widowControl/>
        <w:numPr>
          <w:ilvl w:val="0"/>
          <w:numId w:val="38"/>
        </w:numPr>
        <w:kinsoku/>
        <w:wordWrap/>
        <w:overflowPunct/>
        <w:topLinePunct w:val="0"/>
        <w:bidi w:val="0"/>
        <w:adjustRightInd/>
        <w:snapToGrid/>
        <w:spacing w:line="320" w:lineRule="exact"/>
        <w:ind w:left="820" w:leftChars="200" w:hanging="400" w:hangingChars="200"/>
        <w:jc w:val="left"/>
        <w:textAlignment w:val="auto"/>
        <w:rPr>
          <w:sz w:val="20"/>
          <w:szCs w:val="20"/>
        </w:rPr>
      </w:pPr>
      <w:r>
        <w:rPr>
          <w:rFonts w:hint="eastAsia"/>
          <w:sz w:val="20"/>
          <w:szCs w:val="20"/>
          <w:lang w:val="en-US" w:eastAsia="zh-CN"/>
        </w:rPr>
        <w:t xml:space="preserve"> </w:t>
      </w:r>
      <w:r>
        <w:rPr>
          <w:rFonts w:hint="eastAsia"/>
          <w:sz w:val="20"/>
          <w:szCs w:val="20"/>
        </w:rPr>
        <w:t>基础项是准入要求，待认证方案</w:t>
      </w:r>
      <w:r>
        <w:rPr>
          <w:rFonts w:hint="eastAsia"/>
          <w:sz w:val="20"/>
          <w:szCs w:val="20"/>
          <w:lang w:val="en-US" w:eastAsia="zh-CN"/>
        </w:rPr>
        <w:t>需</w:t>
      </w:r>
      <w:r>
        <w:rPr>
          <w:rFonts w:hint="eastAsia"/>
          <w:sz w:val="20"/>
          <w:szCs w:val="20"/>
        </w:rPr>
        <w:t>1</w:t>
      </w:r>
      <w:r>
        <w:rPr>
          <w:sz w:val="20"/>
          <w:szCs w:val="20"/>
        </w:rPr>
        <w:t>00%</w:t>
      </w:r>
      <w:r>
        <w:rPr>
          <w:rFonts w:hint="eastAsia"/>
          <w:sz w:val="20"/>
          <w:szCs w:val="20"/>
        </w:rPr>
        <w:t>满足</w:t>
      </w:r>
      <w:r>
        <w:rPr>
          <w:rFonts w:hint="eastAsia"/>
          <w:sz w:val="20"/>
          <w:szCs w:val="20"/>
          <w:lang w:eastAsia="zh-CN"/>
        </w:rPr>
        <w:t>；</w:t>
      </w:r>
    </w:p>
    <w:p w14:paraId="3924781B">
      <w:pPr>
        <w:pStyle w:val="163"/>
        <w:keepNext w:val="0"/>
        <w:keepLines w:val="0"/>
        <w:pageBreakBefore w:val="0"/>
        <w:widowControl/>
        <w:numPr>
          <w:ilvl w:val="0"/>
          <w:numId w:val="38"/>
        </w:numPr>
        <w:kinsoku/>
        <w:wordWrap/>
        <w:overflowPunct/>
        <w:topLinePunct w:val="0"/>
        <w:bidi w:val="0"/>
        <w:adjustRightInd/>
        <w:snapToGrid/>
        <w:spacing w:line="320" w:lineRule="exact"/>
        <w:ind w:left="820" w:leftChars="200" w:hanging="400" w:hangingChars="200"/>
        <w:jc w:val="left"/>
        <w:textAlignment w:val="auto"/>
        <w:rPr>
          <w:sz w:val="20"/>
          <w:szCs w:val="20"/>
        </w:rPr>
      </w:pPr>
      <w:r>
        <w:rPr>
          <w:rFonts w:hint="eastAsia"/>
          <w:sz w:val="20"/>
          <w:szCs w:val="20"/>
          <w:lang w:val="en-US" w:eastAsia="zh-CN"/>
        </w:rPr>
        <w:t xml:space="preserve"> 模块化数据中心产品</w:t>
      </w:r>
      <w:r>
        <w:rPr>
          <w:rFonts w:hint="eastAsia"/>
          <w:sz w:val="20"/>
          <w:szCs w:val="20"/>
        </w:rPr>
        <w:t>按照</w:t>
      </w:r>
      <w:r>
        <w:rPr>
          <w:rFonts w:hint="eastAsia"/>
          <w:sz w:val="20"/>
          <w:szCs w:val="20"/>
          <w:lang w:val="en-US" w:eastAsia="zh-CN"/>
        </w:rPr>
        <w:t>评估项的</w:t>
      </w:r>
      <w:r>
        <w:rPr>
          <w:rFonts w:hint="eastAsia"/>
          <w:sz w:val="20"/>
          <w:szCs w:val="20"/>
        </w:rPr>
        <w:t>符合率分为三级。</w:t>
      </w:r>
    </w:p>
    <w:p w14:paraId="70DCA5A9">
      <w:pPr>
        <w:pStyle w:val="163"/>
        <w:ind w:firstLine="0" w:firstLineChars="0"/>
        <w:jc w:val="center"/>
        <w:rPr>
          <w:rFonts w:hint="default" w:eastAsia="宋体"/>
          <w:lang w:val="en-US" w:eastAsia="zh-CN"/>
        </w:rPr>
      </w:pPr>
      <w:r>
        <w:rPr>
          <w:rFonts w:hint="eastAsia"/>
        </w:rPr>
        <w:t>表</w:t>
      </w:r>
      <w:r>
        <w:rPr>
          <w:rFonts w:hint="eastAsia"/>
          <w:lang w:val="en-US" w:eastAsia="zh-CN"/>
        </w:rPr>
        <w:t>7</w:t>
      </w:r>
      <w:r>
        <w:rPr>
          <w:rFonts w:hint="eastAsia"/>
        </w:rPr>
        <w:t xml:space="preserve"> </w:t>
      </w:r>
      <w:r>
        <w:rPr>
          <w:rFonts w:hint="eastAsia"/>
          <w:lang w:val="en-US" w:eastAsia="zh-CN"/>
        </w:rPr>
        <w:t xml:space="preserve"> </w:t>
      </w:r>
      <w:r>
        <w:rPr>
          <w:rFonts w:hint="eastAsia"/>
        </w:rPr>
        <w:t>模块化数据中心产品</w:t>
      </w:r>
      <w:r>
        <w:rPr>
          <w:rFonts w:hint="eastAsia"/>
          <w:lang w:val="en-US" w:eastAsia="zh-CN"/>
        </w:rPr>
        <w:t>分级依据</w:t>
      </w:r>
    </w:p>
    <w:tbl>
      <w:tblPr>
        <w:tblStyle w:val="3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114"/>
        <w:gridCol w:w="3115"/>
      </w:tblGrid>
      <w:tr w14:paraId="4C7A9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4" w:type="dxa"/>
          </w:tcPr>
          <w:p w14:paraId="6A7CF23B">
            <w:pPr>
              <w:pStyle w:val="185"/>
              <w:spacing w:line="240" w:lineRule="auto"/>
              <w:ind w:firstLine="0"/>
              <w:jc w:val="center"/>
              <w:rPr>
                <w:rFonts w:hint="eastAsia"/>
                <w:color w:val="000000"/>
                <w:sz w:val="17"/>
                <w:szCs w:val="17"/>
              </w:rPr>
            </w:pPr>
            <w:r>
              <w:rPr>
                <w:rFonts w:hint="eastAsia"/>
                <w:color w:val="000000"/>
                <w:sz w:val="17"/>
                <w:szCs w:val="17"/>
              </w:rPr>
              <w:t>评估项符合率</w:t>
            </w:r>
          </w:p>
        </w:tc>
        <w:tc>
          <w:tcPr>
            <w:tcW w:w="3115" w:type="dxa"/>
          </w:tcPr>
          <w:p w14:paraId="3F4A9F8A">
            <w:pPr>
              <w:pStyle w:val="185"/>
              <w:spacing w:line="240" w:lineRule="auto"/>
              <w:ind w:firstLine="0"/>
              <w:jc w:val="center"/>
              <w:rPr>
                <w:rFonts w:hint="eastAsia"/>
                <w:color w:val="000000"/>
                <w:sz w:val="17"/>
                <w:szCs w:val="17"/>
              </w:rPr>
            </w:pPr>
            <w:r>
              <w:rPr>
                <w:rFonts w:hint="eastAsia"/>
                <w:color w:val="000000"/>
                <w:sz w:val="17"/>
                <w:szCs w:val="17"/>
              </w:rPr>
              <w:t>模块化数据中心产品等级</w:t>
            </w:r>
          </w:p>
        </w:tc>
      </w:tr>
      <w:tr w14:paraId="65C558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4" w:type="dxa"/>
          </w:tcPr>
          <w:p w14:paraId="0B00ED60">
            <w:pPr>
              <w:pStyle w:val="185"/>
              <w:spacing w:line="240" w:lineRule="auto"/>
              <w:ind w:firstLine="0"/>
              <w:jc w:val="center"/>
              <w:rPr>
                <w:rFonts w:hint="eastAsia"/>
                <w:color w:val="000000"/>
                <w:sz w:val="17"/>
                <w:szCs w:val="17"/>
              </w:rPr>
            </w:pPr>
            <w:r>
              <w:rPr>
                <w:rFonts w:hint="eastAsia"/>
                <w:color w:val="000000"/>
                <w:sz w:val="17"/>
                <w:szCs w:val="17"/>
              </w:rPr>
              <w:t>≥90%</w:t>
            </w:r>
          </w:p>
        </w:tc>
        <w:tc>
          <w:tcPr>
            <w:tcW w:w="3115" w:type="dxa"/>
          </w:tcPr>
          <w:p w14:paraId="472D81A2">
            <w:pPr>
              <w:pStyle w:val="185"/>
              <w:spacing w:line="240" w:lineRule="auto"/>
              <w:ind w:firstLine="0"/>
              <w:jc w:val="center"/>
              <w:rPr>
                <w:rFonts w:hint="eastAsia"/>
                <w:color w:val="000000"/>
                <w:sz w:val="17"/>
                <w:szCs w:val="17"/>
              </w:rPr>
            </w:pPr>
            <w:r>
              <w:rPr>
                <w:rFonts w:hint="eastAsia"/>
                <w:color w:val="000000"/>
                <w:sz w:val="17"/>
                <w:szCs w:val="17"/>
              </w:rPr>
              <w:t>I级</w:t>
            </w:r>
          </w:p>
        </w:tc>
      </w:tr>
      <w:tr w14:paraId="644C07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4" w:type="dxa"/>
          </w:tcPr>
          <w:p w14:paraId="6313C3BE">
            <w:pPr>
              <w:pStyle w:val="185"/>
              <w:spacing w:line="240" w:lineRule="auto"/>
              <w:ind w:firstLine="0"/>
              <w:jc w:val="center"/>
              <w:rPr>
                <w:rFonts w:hint="eastAsia"/>
                <w:color w:val="000000"/>
                <w:sz w:val="17"/>
                <w:szCs w:val="17"/>
              </w:rPr>
            </w:pPr>
            <w:r>
              <w:rPr>
                <w:rFonts w:hint="eastAsia"/>
                <w:color w:val="000000"/>
                <w:sz w:val="17"/>
                <w:szCs w:val="17"/>
              </w:rPr>
              <w:t>&lt;90%且≧</w:t>
            </w:r>
            <w:r>
              <w:rPr>
                <w:rFonts w:hint="eastAsia"/>
                <w:color w:val="000000"/>
                <w:sz w:val="17"/>
                <w:szCs w:val="17"/>
                <w:lang w:val="en-US" w:eastAsia="zh-CN"/>
              </w:rPr>
              <w:t>6</w:t>
            </w:r>
            <w:r>
              <w:rPr>
                <w:rFonts w:hint="eastAsia"/>
                <w:color w:val="000000"/>
                <w:sz w:val="17"/>
                <w:szCs w:val="17"/>
              </w:rPr>
              <w:t>0%</w:t>
            </w:r>
          </w:p>
        </w:tc>
        <w:tc>
          <w:tcPr>
            <w:tcW w:w="3115" w:type="dxa"/>
          </w:tcPr>
          <w:p w14:paraId="313557B6">
            <w:pPr>
              <w:pStyle w:val="185"/>
              <w:spacing w:line="240" w:lineRule="auto"/>
              <w:ind w:firstLine="0"/>
              <w:jc w:val="center"/>
              <w:rPr>
                <w:rFonts w:hint="eastAsia"/>
                <w:color w:val="000000"/>
                <w:sz w:val="17"/>
                <w:szCs w:val="17"/>
              </w:rPr>
            </w:pPr>
            <w:r>
              <w:rPr>
                <w:rFonts w:hint="eastAsia"/>
                <w:color w:val="000000"/>
                <w:sz w:val="17"/>
                <w:szCs w:val="17"/>
              </w:rPr>
              <w:t>II级</w:t>
            </w:r>
          </w:p>
        </w:tc>
      </w:tr>
      <w:tr w14:paraId="1B1E8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4" w:type="dxa"/>
          </w:tcPr>
          <w:p w14:paraId="146BC225">
            <w:pPr>
              <w:pStyle w:val="185"/>
              <w:spacing w:line="240" w:lineRule="auto"/>
              <w:ind w:firstLine="0"/>
              <w:jc w:val="center"/>
              <w:rPr>
                <w:rFonts w:hint="eastAsia"/>
                <w:color w:val="000000"/>
                <w:sz w:val="17"/>
                <w:szCs w:val="17"/>
              </w:rPr>
            </w:pPr>
            <w:r>
              <w:rPr>
                <w:rFonts w:hint="eastAsia"/>
                <w:color w:val="000000"/>
                <w:sz w:val="17"/>
                <w:szCs w:val="17"/>
              </w:rPr>
              <w:t>&lt;</w:t>
            </w:r>
            <w:r>
              <w:rPr>
                <w:rFonts w:hint="eastAsia"/>
                <w:color w:val="000000"/>
                <w:sz w:val="17"/>
                <w:szCs w:val="17"/>
                <w:lang w:val="en-US" w:eastAsia="zh-CN"/>
              </w:rPr>
              <w:t>6</w:t>
            </w:r>
            <w:r>
              <w:rPr>
                <w:rFonts w:hint="eastAsia"/>
                <w:color w:val="000000"/>
                <w:sz w:val="17"/>
                <w:szCs w:val="17"/>
              </w:rPr>
              <w:t>0%</w:t>
            </w:r>
          </w:p>
        </w:tc>
        <w:tc>
          <w:tcPr>
            <w:tcW w:w="3115" w:type="dxa"/>
          </w:tcPr>
          <w:p w14:paraId="267D7B04">
            <w:pPr>
              <w:pStyle w:val="185"/>
              <w:spacing w:line="240" w:lineRule="auto"/>
              <w:ind w:firstLine="0"/>
              <w:jc w:val="center"/>
              <w:rPr>
                <w:rFonts w:hint="eastAsia"/>
                <w:color w:val="000000"/>
                <w:sz w:val="17"/>
                <w:szCs w:val="17"/>
              </w:rPr>
            </w:pPr>
            <w:r>
              <w:rPr>
                <w:rFonts w:hint="eastAsia"/>
                <w:color w:val="000000"/>
                <w:sz w:val="17"/>
                <w:szCs w:val="17"/>
              </w:rPr>
              <w:t>III级</w:t>
            </w:r>
          </w:p>
        </w:tc>
      </w:tr>
    </w:tbl>
    <w:p w14:paraId="5880AC1C">
      <w:pPr>
        <w:pStyle w:val="46"/>
        <w:spacing w:before="156" w:after="156"/>
        <w:outlineLvl w:val="1"/>
      </w:pPr>
      <w:r>
        <w:rPr>
          <w:rFonts w:hint="eastAsia"/>
          <w:lang w:val="en-US" w:eastAsia="zh-CN"/>
        </w:rPr>
        <w:t>附录</w:t>
      </w:r>
    </w:p>
    <w:p w14:paraId="446EBF62">
      <w:pPr>
        <w:jc w:val="center"/>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附录A</w:t>
      </w:r>
      <w:r>
        <w:rPr>
          <w:rFonts w:hint="eastAsia" w:ascii="宋体" w:cs="Times New Roman"/>
          <w:kern w:val="0"/>
          <w:sz w:val="21"/>
          <w:szCs w:val="20"/>
          <w:lang w:val="en-US" w:eastAsia="zh-CN" w:bidi="ar-SA"/>
        </w:rPr>
        <w:t xml:space="preserve">  </w:t>
      </w:r>
      <w:r>
        <w:rPr>
          <w:rFonts w:hint="eastAsia" w:ascii="宋体" w:hAnsi="Times New Roman" w:eastAsia="宋体" w:cs="Times New Roman"/>
          <w:kern w:val="0"/>
          <w:sz w:val="21"/>
          <w:szCs w:val="20"/>
          <w:lang w:val="en-US" w:eastAsia="zh-CN" w:bidi="ar-SA"/>
        </w:rPr>
        <w:t>基础项</w:t>
      </w:r>
    </w:p>
    <w:tbl>
      <w:tblPr>
        <w:tblStyle w:val="3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5"/>
        <w:gridCol w:w="1271"/>
        <w:gridCol w:w="4901"/>
        <w:gridCol w:w="590"/>
        <w:gridCol w:w="760"/>
        <w:gridCol w:w="801"/>
        <w:gridCol w:w="682"/>
      </w:tblGrid>
      <w:tr w14:paraId="2FF61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67B0FEF2">
            <w:pPr>
              <w:pStyle w:val="185"/>
              <w:spacing w:line="240" w:lineRule="auto"/>
              <w:ind w:firstLine="0"/>
              <w:jc w:val="center"/>
              <w:rPr>
                <w:rFonts w:hint="eastAsia"/>
                <w:color w:val="000000"/>
                <w:sz w:val="17"/>
                <w:szCs w:val="17"/>
              </w:rPr>
            </w:pPr>
            <w:r>
              <w:rPr>
                <w:rFonts w:hint="eastAsia"/>
                <w:color w:val="000000"/>
                <w:sz w:val="17"/>
                <w:szCs w:val="17"/>
              </w:rPr>
              <w:t>序号</w:t>
            </w:r>
          </w:p>
        </w:tc>
        <w:tc>
          <w:tcPr>
            <w:tcW w:w="3224" w:type="pct"/>
            <w:gridSpan w:val="2"/>
            <w:tcBorders>
              <w:tl2br w:val="nil"/>
              <w:tr2bl w:val="nil"/>
            </w:tcBorders>
            <w:shd w:val="clear" w:color="auto" w:fill="auto"/>
            <w:vAlign w:val="center"/>
          </w:tcPr>
          <w:p w14:paraId="0C317CC8">
            <w:pPr>
              <w:pStyle w:val="185"/>
              <w:spacing w:line="240" w:lineRule="auto"/>
              <w:ind w:firstLine="0"/>
              <w:jc w:val="center"/>
              <w:rPr>
                <w:rFonts w:hint="eastAsia"/>
                <w:color w:val="000000"/>
                <w:sz w:val="17"/>
                <w:szCs w:val="17"/>
              </w:rPr>
            </w:pPr>
            <w:r>
              <w:rPr>
                <w:rFonts w:hint="eastAsia"/>
                <w:color w:val="000000"/>
                <w:sz w:val="17"/>
                <w:szCs w:val="17"/>
              </w:rPr>
              <w:t>项      目</w:t>
            </w:r>
          </w:p>
        </w:tc>
        <w:tc>
          <w:tcPr>
            <w:tcW w:w="308" w:type="pct"/>
            <w:tcBorders>
              <w:tl2br w:val="nil"/>
              <w:tr2bl w:val="nil"/>
            </w:tcBorders>
            <w:shd w:val="clear" w:color="auto" w:fill="auto"/>
            <w:vAlign w:val="center"/>
          </w:tcPr>
          <w:p w14:paraId="618CC997">
            <w:pPr>
              <w:pStyle w:val="185"/>
              <w:spacing w:line="240" w:lineRule="auto"/>
              <w:ind w:firstLine="0"/>
              <w:jc w:val="center"/>
              <w:rPr>
                <w:rFonts w:hint="eastAsia"/>
                <w:color w:val="000000"/>
                <w:sz w:val="17"/>
                <w:szCs w:val="17"/>
              </w:rPr>
            </w:pPr>
            <w:r>
              <w:rPr>
                <w:rFonts w:hint="eastAsia"/>
                <w:color w:val="000000"/>
                <w:sz w:val="17"/>
                <w:szCs w:val="17"/>
              </w:rPr>
              <w:t>合格</w:t>
            </w:r>
          </w:p>
        </w:tc>
        <w:tc>
          <w:tcPr>
            <w:tcW w:w="397" w:type="pct"/>
            <w:tcBorders>
              <w:tl2br w:val="nil"/>
              <w:tr2bl w:val="nil"/>
            </w:tcBorders>
            <w:shd w:val="clear" w:color="auto" w:fill="auto"/>
            <w:vAlign w:val="center"/>
          </w:tcPr>
          <w:p w14:paraId="711E83E3">
            <w:pPr>
              <w:pStyle w:val="185"/>
              <w:spacing w:line="240" w:lineRule="auto"/>
              <w:ind w:firstLine="0"/>
              <w:jc w:val="center"/>
              <w:rPr>
                <w:rFonts w:hint="eastAsia"/>
                <w:color w:val="000000"/>
                <w:sz w:val="17"/>
                <w:szCs w:val="17"/>
              </w:rPr>
            </w:pPr>
            <w:r>
              <w:rPr>
                <w:rFonts w:hint="eastAsia"/>
                <w:color w:val="000000"/>
                <w:sz w:val="17"/>
                <w:szCs w:val="17"/>
              </w:rPr>
              <w:t>不合格</w:t>
            </w:r>
          </w:p>
        </w:tc>
        <w:tc>
          <w:tcPr>
            <w:tcW w:w="418" w:type="pct"/>
            <w:tcBorders>
              <w:tl2br w:val="nil"/>
              <w:tr2bl w:val="nil"/>
            </w:tcBorders>
            <w:shd w:val="clear" w:color="auto" w:fill="auto"/>
            <w:vAlign w:val="center"/>
          </w:tcPr>
          <w:p w14:paraId="3AB69A18">
            <w:pPr>
              <w:pStyle w:val="185"/>
              <w:spacing w:line="240" w:lineRule="auto"/>
              <w:ind w:firstLine="0"/>
              <w:jc w:val="center"/>
              <w:rPr>
                <w:rFonts w:hint="eastAsia"/>
                <w:color w:val="000000"/>
                <w:sz w:val="17"/>
                <w:szCs w:val="17"/>
              </w:rPr>
            </w:pPr>
            <w:r>
              <w:rPr>
                <w:rFonts w:hint="eastAsia"/>
                <w:color w:val="000000"/>
                <w:sz w:val="17"/>
                <w:szCs w:val="17"/>
              </w:rPr>
              <w:t>要求</w:t>
            </w:r>
          </w:p>
        </w:tc>
        <w:tc>
          <w:tcPr>
            <w:tcW w:w="356" w:type="pct"/>
            <w:tcBorders>
              <w:tl2br w:val="nil"/>
              <w:tr2bl w:val="nil"/>
            </w:tcBorders>
            <w:shd w:val="clear" w:color="auto" w:fill="auto"/>
            <w:vAlign w:val="center"/>
          </w:tcPr>
          <w:p w14:paraId="0A4263AA">
            <w:pPr>
              <w:pStyle w:val="185"/>
              <w:spacing w:line="240" w:lineRule="auto"/>
              <w:ind w:firstLine="0"/>
              <w:jc w:val="center"/>
              <w:rPr>
                <w:rFonts w:hint="eastAsia"/>
                <w:color w:val="000000"/>
                <w:sz w:val="17"/>
                <w:szCs w:val="17"/>
              </w:rPr>
            </w:pPr>
            <w:r>
              <w:rPr>
                <w:rFonts w:hint="eastAsia"/>
                <w:color w:val="000000"/>
                <w:sz w:val="17"/>
                <w:szCs w:val="17"/>
              </w:rPr>
              <w:t>试验方法</w:t>
            </w:r>
          </w:p>
        </w:tc>
      </w:tr>
      <w:tr w14:paraId="0255C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0E971D77">
            <w:pPr>
              <w:pStyle w:val="185"/>
              <w:spacing w:line="240" w:lineRule="auto"/>
              <w:ind w:firstLine="0"/>
              <w:jc w:val="center"/>
              <w:rPr>
                <w:rFonts w:hint="eastAsia"/>
                <w:color w:val="000000"/>
                <w:sz w:val="17"/>
                <w:szCs w:val="17"/>
              </w:rPr>
            </w:pPr>
            <w:r>
              <w:rPr>
                <w:rFonts w:hint="eastAsia"/>
                <w:color w:val="000000"/>
                <w:sz w:val="17"/>
                <w:szCs w:val="17"/>
              </w:rPr>
              <w:t>1</w:t>
            </w:r>
          </w:p>
        </w:tc>
        <w:tc>
          <w:tcPr>
            <w:tcW w:w="664" w:type="pct"/>
            <w:vMerge w:val="restart"/>
            <w:tcBorders>
              <w:tl2br w:val="nil"/>
              <w:tr2bl w:val="nil"/>
            </w:tcBorders>
            <w:shd w:val="clear" w:color="auto" w:fill="auto"/>
            <w:vAlign w:val="center"/>
          </w:tcPr>
          <w:p w14:paraId="565227F5">
            <w:pPr>
              <w:pStyle w:val="185"/>
              <w:spacing w:line="240" w:lineRule="auto"/>
              <w:ind w:firstLine="0"/>
              <w:jc w:val="center"/>
              <w:rPr>
                <w:rFonts w:hint="eastAsia"/>
                <w:color w:val="000000"/>
                <w:sz w:val="17"/>
                <w:szCs w:val="17"/>
              </w:rPr>
            </w:pPr>
            <w:r>
              <w:rPr>
                <w:rFonts w:hint="eastAsia"/>
                <w:color w:val="000000"/>
                <w:sz w:val="17"/>
                <w:szCs w:val="17"/>
              </w:rPr>
              <w:t>机柜及通道系统要求</w:t>
            </w:r>
          </w:p>
        </w:tc>
        <w:tc>
          <w:tcPr>
            <w:tcW w:w="2560" w:type="pct"/>
            <w:tcBorders>
              <w:tl2br w:val="nil"/>
              <w:tr2bl w:val="nil"/>
            </w:tcBorders>
            <w:shd w:val="clear" w:color="auto" w:fill="auto"/>
          </w:tcPr>
          <w:p w14:paraId="28D3D805">
            <w:pPr>
              <w:pStyle w:val="185"/>
              <w:spacing w:line="240" w:lineRule="auto"/>
              <w:ind w:firstLine="0"/>
              <w:jc w:val="center"/>
              <w:rPr>
                <w:rFonts w:hint="eastAsia"/>
                <w:color w:val="000000"/>
                <w:sz w:val="17"/>
                <w:szCs w:val="17"/>
              </w:rPr>
            </w:pPr>
            <w:r>
              <w:rPr>
                <w:rFonts w:hint="eastAsia"/>
                <w:color w:val="000000"/>
                <w:sz w:val="17"/>
                <w:szCs w:val="17"/>
              </w:rPr>
              <w:t>机柜应符合GB/T 22690的相关要求</w:t>
            </w:r>
          </w:p>
        </w:tc>
        <w:tc>
          <w:tcPr>
            <w:tcW w:w="308" w:type="pct"/>
            <w:tcBorders>
              <w:tl2br w:val="nil"/>
              <w:tr2bl w:val="nil"/>
            </w:tcBorders>
            <w:shd w:val="clear" w:color="auto" w:fill="auto"/>
            <w:noWrap/>
            <w:vAlign w:val="center"/>
          </w:tcPr>
          <w:p w14:paraId="6212EE83">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0B55085C">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restart"/>
            <w:tcBorders>
              <w:tl2br w:val="nil"/>
              <w:tr2bl w:val="nil"/>
            </w:tcBorders>
            <w:shd w:val="clear" w:color="auto" w:fill="auto"/>
            <w:vAlign w:val="center"/>
          </w:tcPr>
          <w:p w14:paraId="582E730F">
            <w:pPr>
              <w:pStyle w:val="185"/>
              <w:spacing w:line="240" w:lineRule="auto"/>
              <w:ind w:firstLine="0"/>
              <w:jc w:val="center"/>
              <w:rPr>
                <w:rFonts w:hint="eastAsia"/>
                <w:color w:val="000000"/>
                <w:sz w:val="17"/>
                <w:szCs w:val="17"/>
              </w:rPr>
            </w:pPr>
            <w:r>
              <w:rPr>
                <w:rFonts w:hint="eastAsia"/>
                <w:color w:val="000000"/>
                <w:sz w:val="17"/>
                <w:szCs w:val="17"/>
              </w:rPr>
              <w:t>4.1.1</w:t>
            </w:r>
          </w:p>
        </w:tc>
        <w:tc>
          <w:tcPr>
            <w:tcW w:w="356" w:type="pct"/>
            <w:vMerge w:val="restart"/>
            <w:tcBorders>
              <w:tl2br w:val="nil"/>
              <w:tr2bl w:val="nil"/>
            </w:tcBorders>
            <w:shd w:val="clear" w:color="auto" w:fill="auto"/>
            <w:vAlign w:val="center"/>
          </w:tcPr>
          <w:p w14:paraId="0900E4CA">
            <w:pPr>
              <w:pStyle w:val="185"/>
              <w:spacing w:line="240" w:lineRule="auto"/>
              <w:ind w:firstLine="0"/>
              <w:jc w:val="center"/>
              <w:rPr>
                <w:rFonts w:hint="eastAsia"/>
                <w:color w:val="000000"/>
                <w:sz w:val="17"/>
                <w:szCs w:val="17"/>
              </w:rPr>
            </w:pPr>
            <w:r>
              <w:rPr>
                <w:rFonts w:hint="eastAsia"/>
                <w:color w:val="000000"/>
                <w:sz w:val="17"/>
                <w:szCs w:val="17"/>
              </w:rPr>
              <w:t>5.1.1</w:t>
            </w:r>
          </w:p>
        </w:tc>
      </w:tr>
      <w:tr w14:paraId="40CA7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2ED21A6B">
            <w:pPr>
              <w:pStyle w:val="185"/>
              <w:spacing w:line="240" w:lineRule="auto"/>
              <w:ind w:firstLine="0"/>
              <w:jc w:val="center"/>
              <w:rPr>
                <w:rFonts w:hint="eastAsia"/>
                <w:color w:val="000000"/>
                <w:sz w:val="17"/>
                <w:szCs w:val="17"/>
              </w:rPr>
            </w:pPr>
            <w:r>
              <w:rPr>
                <w:rFonts w:hint="eastAsia"/>
                <w:color w:val="000000"/>
                <w:sz w:val="17"/>
                <w:szCs w:val="17"/>
              </w:rPr>
              <w:t>2</w:t>
            </w:r>
          </w:p>
        </w:tc>
        <w:tc>
          <w:tcPr>
            <w:tcW w:w="664" w:type="pct"/>
            <w:vMerge w:val="continue"/>
            <w:tcBorders>
              <w:tl2br w:val="nil"/>
              <w:tr2bl w:val="nil"/>
            </w:tcBorders>
            <w:shd w:val="clear" w:color="auto" w:fill="auto"/>
            <w:vAlign w:val="center"/>
          </w:tcPr>
          <w:p w14:paraId="4D4C3937">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003BC242">
            <w:pPr>
              <w:pStyle w:val="185"/>
              <w:spacing w:line="240" w:lineRule="auto"/>
              <w:ind w:firstLine="0"/>
              <w:jc w:val="center"/>
              <w:rPr>
                <w:rFonts w:hint="eastAsia"/>
                <w:color w:val="000000"/>
                <w:sz w:val="17"/>
                <w:szCs w:val="17"/>
              </w:rPr>
            </w:pPr>
            <w:r>
              <w:rPr>
                <w:rFonts w:hint="eastAsia"/>
                <w:color w:val="000000"/>
                <w:sz w:val="17"/>
                <w:szCs w:val="17"/>
              </w:rPr>
              <w:t>模块化数据中心应采取冷热通道隔离措施</w:t>
            </w:r>
          </w:p>
        </w:tc>
        <w:tc>
          <w:tcPr>
            <w:tcW w:w="308" w:type="pct"/>
            <w:tcBorders>
              <w:tl2br w:val="nil"/>
              <w:tr2bl w:val="nil"/>
            </w:tcBorders>
            <w:shd w:val="clear" w:color="auto" w:fill="auto"/>
            <w:noWrap/>
            <w:vAlign w:val="center"/>
          </w:tcPr>
          <w:p w14:paraId="0F981833">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7" w:type="pct"/>
            <w:tcBorders>
              <w:tl2br w:val="nil"/>
              <w:tr2bl w:val="nil"/>
            </w:tcBorders>
            <w:shd w:val="clear" w:color="auto" w:fill="auto"/>
            <w:noWrap/>
            <w:vAlign w:val="center"/>
          </w:tcPr>
          <w:p w14:paraId="58E5152C">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18" w:type="pct"/>
            <w:vMerge w:val="continue"/>
            <w:tcBorders>
              <w:tl2br w:val="nil"/>
              <w:tr2bl w:val="nil"/>
            </w:tcBorders>
            <w:shd w:val="clear" w:color="auto" w:fill="auto"/>
            <w:vAlign w:val="center"/>
          </w:tcPr>
          <w:p w14:paraId="676A2D7A">
            <w:pPr>
              <w:pStyle w:val="185"/>
              <w:spacing w:line="240" w:lineRule="auto"/>
              <w:ind w:firstLine="0"/>
              <w:jc w:val="center"/>
              <w:rPr>
                <w:rFonts w:hint="eastAsia"/>
                <w:color w:val="000000"/>
                <w:sz w:val="17"/>
                <w:szCs w:val="17"/>
              </w:rPr>
            </w:pPr>
          </w:p>
        </w:tc>
        <w:tc>
          <w:tcPr>
            <w:tcW w:w="356" w:type="pct"/>
            <w:vMerge w:val="continue"/>
            <w:tcBorders>
              <w:tl2br w:val="nil"/>
              <w:tr2bl w:val="nil"/>
            </w:tcBorders>
            <w:shd w:val="clear" w:color="auto" w:fill="auto"/>
            <w:vAlign w:val="center"/>
          </w:tcPr>
          <w:p w14:paraId="6F5F9455">
            <w:pPr>
              <w:pStyle w:val="185"/>
              <w:spacing w:line="240" w:lineRule="auto"/>
              <w:ind w:firstLine="0"/>
              <w:jc w:val="center"/>
              <w:rPr>
                <w:rFonts w:hint="eastAsia"/>
                <w:color w:val="000000"/>
                <w:sz w:val="17"/>
                <w:szCs w:val="17"/>
              </w:rPr>
            </w:pPr>
          </w:p>
        </w:tc>
      </w:tr>
      <w:tr w14:paraId="31FC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32BB807B">
            <w:pPr>
              <w:pStyle w:val="185"/>
              <w:spacing w:line="240" w:lineRule="auto"/>
              <w:ind w:firstLine="0"/>
              <w:jc w:val="center"/>
              <w:rPr>
                <w:rFonts w:hint="eastAsia"/>
                <w:color w:val="000000"/>
                <w:sz w:val="17"/>
                <w:szCs w:val="17"/>
              </w:rPr>
            </w:pPr>
            <w:r>
              <w:rPr>
                <w:rFonts w:hint="eastAsia"/>
                <w:color w:val="000000"/>
                <w:sz w:val="17"/>
                <w:szCs w:val="17"/>
              </w:rPr>
              <w:t>3</w:t>
            </w:r>
          </w:p>
        </w:tc>
        <w:tc>
          <w:tcPr>
            <w:tcW w:w="664" w:type="pct"/>
            <w:vMerge w:val="continue"/>
            <w:tcBorders>
              <w:tl2br w:val="nil"/>
              <w:tr2bl w:val="nil"/>
            </w:tcBorders>
            <w:vAlign w:val="center"/>
          </w:tcPr>
          <w:p w14:paraId="5E3CAF45">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591CD9EF">
            <w:pPr>
              <w:pStyle w:val="185"/>
              <w:spacing w:line="240" w:lineRule="auto"/>
              <w:ind w:firstLine="0"/>
              <w:jc w:val="center"/>
              <w:rPr>
                <w:rFonts w:hint="eastAsia"/>
                <w:color w:val="000000"/>
                <w:sz w:val="17"/>
                <w:szCs w:val="17"/>
              </w:rPr>
            </w:pPr>
            <w:r>
              <w:rPr>
                <w:rFonts w:hint="eastAsia"/>
                <w:color w:val="000000"/>
                <w:sz w:val="17"/>
                <w:szCs w:val="17"/>
              </w:rPr>
              <w:t>通道密封件应包含通道门、通道顶窗、通道围板及其他气流密封组件（紧凑型模块化数据中心除外）</w:t>
            </w:r>
          </w:p>
        </w:tc>
        <w:tc>
          <w:tcPr>
            <w:tcW w:w="308" w:type="pct"/>
            <w:tcBorders>
              <w:tl2br w:val="nil"/>
              <w:tr2bl w:val="nil"/>
            </w:tcBorders>
            <w:shd w:val="clear" w:color="auto" w:fill="auto"/>
            <w:noWrap/>
            <w:vAlign w:val="center"/>
          </w:tcPr>
          <w:p w14:paraId="42E186EE">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610241E2">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2EA66ABF">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4159ED97">
            <w:pPr>
              <w:pStyle w:val="185"/>
              <w:spacing w:line="240" w:lineRule="auto"/>
              <w:ind w:firstLine="0"/>
              <w:jc w:val="center"/>
              <w:rPr>
                <w:rFonts w:hint="eastAsia"/>
                <w:color w:val="000000"/>
                <w:sz w:val="17"/>
                <w:szCs w:val="17"/>
              </w:rPr>
            </w:pPr>
          </w:p>
        </w:tc>
      </w:tr>
      <w:tr w14:paraId="15397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402B5750">
            <w:pPr>
              <w:pStyle w:val="185"/>
              <w:spacing w:line="240" w:lineRule="auto"/>
              <w:ind w:firstLine="0"/>
              <w:jc w:val="center"/>
              <w:rPr>
                <w:rFonts w:hint="eastAsia"/>
                <w:color w:val="000000"/>
                <w:sz w:val="17"/>
                <w:szCs w:val="17"/>
              </w:rPr>
            </w:pPr>
            <w:r>
              <w:rPr>
                <w:rFonts w:hint="eastAsia"/>
                <w:color w:val="000000"/>
                <w:sz w:val="17"/>
                <w:szCs w:val="17"/>
              </w:rPr>
              <w:t>4</w:t>
            </w:r>
          </w:p>
        </w:tc>
        <w:tc>
          <w:tcPr>
            <w:tcW w:w="664" w:type="pct"/>
            <w:vMerge w:val="continue"/>
            <w:tcBorders>
              <w:tl2br w:val="nil"/>
              <w:tr2bl w:val="nil"/>
            </w:tcBorders>
            <w:vAlign w:val="center"/>
          </w:tcPr>
          <w:p w14:paraId="59C16ED4">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6CC5A1E4">
            <w:pPr>
              <w:pStyle w:val="185"/>
              <w:spacing w:line="240" w:lineRule="auto"/>
              <w:ind w:firstLine="0"/>
              <w:jc w:val="center"/>
              <w:rPr>
                <w:rFonts w:hint="eastAsia"/>
                <w:color w:val="000000"/>
                <w:sz w:val="17"/>
                <w:szCs w:val="17"/>
              </w:rPr>
            </w:pPr>
            <w:r>
              <w:rPr>
                <w:rFonts w:hint="eastAsia"/>
                <w:color w:val="000000"/>
                <w:sz w:val="17"/>
                <w:szCs w:val="17"/>
              </w:rPr>
              <w:t>通道密封件搭建完成，当活动天窗开启后通道内部净高度应不低于机柜高度</w:t>
            </w:r>
          </w:p>
        </w:tc>
        <w:tc>
          <w:tcPr>
            <w:tcW w:w="308" w:type="pct"/>
            <w:tcBorders>
              <w:tl2br w:val="nil"/>
              <w:tr2bl w:val="nil"/>
            </w:tcBorders>
            <w:shd w:val="clear" w:color="auto" w:fill="auto"/>
            <w:noWrap/>
            <w:vAlign w:val="center"/>
          </w:tcPr>
          <w:p w14:paraId="74E090BA">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661D14CC">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04B3BF3D">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7EBC3490">
            <w:pPr>
              <w:pStyle w:val="185"/>
              <w:spacing w:line="240" w:lineRule="auto"/>
              <w:ind w:firstLine="0"/>
              <w:jc w:val="center"/>
              <w:rPr>
                <w:rFonts w:hint="eastAsia"/>
                <w:color w:val="000000"/>
                <w:sz w:val="17"/>
                <w:szCs w:val="17"/>
              </w:rPr>
            </w:pPr>
          </w:p>
        </w:tc>
      </w:tr>
      <w:tr w14:paraId="0A65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593E6CC9">
            <w:pPr>
              <w:pStyle w:val="185"/>
              <w:spacing w:line="240" w:lineRule="auto"/>
              <w:ind w:firstLine="0"/>
              <w:jc w:val="center"/>
              <w:rPr>
                <w:rFonts w:hint="eastAsia"/>
                <w:color w:val="000000"/>
                <w:sz w:val="17"/>
                <w:szCs w:val="17"/>
              </w:rPr>
            </w:pPr>
            <w:r>
              <w:rPr>
                <w:rFonts w:hint="eastAsia"/>
                <w:color w:val="000000"/>
                <w:sz w:val="17"/>
                <w:szCs w:val="17"/>
              </w:rPr>
              <w:t>5</w:t>
            </w:r>
          </w:p>
        </w:tc>
        <w:tc>
          <w:tcPr>
            <w:tcW w:w="664" w:type="pct"/>
            <w:vMerge w:val="continue"/>
            <w:tcBorders>
              <w:tl2br w:val="nil"/>
              <w:tr2bl w:val="nil"/>
            </w:tcBorders>
            <w:vAlign w:val="center"/>
          </w:tcPr>
          <w:p w14:paraId="4AE0383B">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456916B0">
            <w:pPr>
              <w:pStyle w:val="185"/>
              <w:spacing w:line="240" w:lineRule="auto"/>
              <w:ind w:firstLine="0"/>
              <w:jc w:val="center"/>
              <w:rPr>
                <w:rFonts w:hint="eastAsia"/>
                <w:color w:val="000000"/>
                <w:sz w:val="17"/>
                <w:szCs w:val="17"/>
              </w:rPr>
            </w:pPr>
            <w:r>
              <w:rPr>
                <w:rFonts w:hint="eastAsia"/>
                <w:color w:val="000000"/>
                <w:sz w:val="17"/>
                <w:szCs w:val="17"/>
              </w:rPr>
              <w:t>通道活动顶窗应配有专用消防联动控制单元，控制单元具备与消防系统联动的信号接口</w:t>
            </w:r>
          </w:p>
        </w:tc>
        <w:tc>
          <w:tcPr>
            <w:tcW w:w="308" w:type="pct"/>
            <w:tcBorders>
              <w:tl2br w:val="nil"/>
              <w:tr2bl w:val="nil"/>
            </w:tcBorders>
            <w:shd w:val="clear" w:color="auto" w:fill="auto"/>
            <w:noWrap/>
            <w:vAlign w:val="center"/>
          </w:tcPr>
          <w:p w14:paraId="6B983D05">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4A69D5E9">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59403777">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0F9CB8AF">
            <w:pPr>
              <w:pStyle w:val="185"/>
              <w:spacing w:line="240" w:lineRule="auto"/>
              <w:ind w:firstLine="0"/>
              <w:jc w:val="center"/>
              <w:rPr>
                <w:rFonts w:hint="eastAsia"/>
                <w:color w:val="000000"/>
                <w:sz w:val="17"/>
                <w:szCs w:val="17"/>
              </w:rPr>
            </w:pPr>
          </w:p>
        </w:tc>
      </w:tr>
      <w:tr w14:paraId="5049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7E7607AF">
            <w:pPr>
              <w:pStyle w:val="185"/>
              <w:spacing w:line="240" w:lineRule="auto"/>
              <w:ind w:firstLine="0"/>
              <w:jc w:val="center"/>
              <w:rPr>
                <w:rFonts w:hint="eastAsia"/>
                <w:color w:val="000000"/>
                <w:sz w:val="17"/>
                <w:szCs w:val="17"/>
              </w:rPr>
            </w:pPr>
            <w:r>
              <w:rPr>
                <w:rFonts w:hint="eastAsia"/>
                <w:color w:val="000000"/>
                <w:sz w:val="17"/>
                <w:szCs w:val="17"/>
              </w:rPr>
              <w:t>6</w:t>
            </w:r>
          </w:p>
        </w:tc>
        <w:tc>
          <w:tcPr>
            <w:tcW w:w="664" w:type="pct"/>
            <w:vMerge w:val="continue"/>
            <w:tcBorders>
              <w:tl2br w:val="nil"/>
              <w:tr2bl w:val="nil"/>
            </w:tcBorders>
            <w:vAlign w:val="center"/>
          </w:tcPr>
          <w:p w14:paraId="1111B57F">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6F6C726B">
            <w:pPr>
              <w:pStyle w:val="185"/>
              <w:spacing w:line="240" w:lineRule="auto"/>
              <w:ind w:firstLine="0"/>
              <w:jc w:val="center"/>
              <w:rPr>
                <w:rFonts w:hint="eastAsia"/>
                <w:color w:val="000000"/>
                <w:sz w:val="17"/>
                <w:szCs w:val="17"/>
              </w:rPr>
            </w:pPr>
            <w:r>
              <w:rPr>
                <w:rFonts w:hint="eastAsia"/>
                <w:color w:val="000000"/>
                <w:sz w:val="17"/>
                <w:szCs w:val="17"/>
              </w:rPr>
              <w:t>通道内部应预留温湿度传感器、感烟传感器、监控摄像机等安装位置，安装孔应符合各类传感器固定及布线要求</w:t>
            </w:r>
          </w:p>
        </w:tc>
        <w:tc>
          <w:tcPr>
            <w:tcW w:w="308" w:type="pct"/>
            <w:tcBorders>
              <w:tl2br w:val="nil"/>
              <w:tr2bl w:val="nil"/>
            </w:tcBorders>
            <w:shd w:val="clear" w:color="auto" w:fill="auto"/>
            <w:noWrap/>
            <w:vAlign w:val="center"/>
          </w:tcPr>
          <w:p w14:paraId="2E6E764C">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5EBD0C29">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158876D6">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2F439F79">
            <w:pPr>
              <w:pStyle w:val="185"/>
              <w:spacing w:line="240" w:lineRule="auto"/>
              <w:ind w:firstLine="0"/>
              <w:jc w:val="center"/>
              <w:rPr>
                <w:rFonts w:hint="eastAsia"/>
                <w:color w:val="000000"/>
                <w:sz w:val="17"/>
                <w:szCs w:val="17"/>
              </w:rPr>
            </w:pPr>
          </w:p>
        </w:tc>
      </w:tr>
      <w:tr w14:paraId="4F885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36775D4F">
            <w:pPr>
              <w:pStyle w:val="185"/>
              <w:spacing w:line="240" w:lineRule="auto"/>
              <w:ind w:firstLine="0"/>
              <w:jc w:val="center"/>
              <w:rPr>
                <w:rFonts w:hint="eastAsia"/>
                <w:color w:val="000000"/>
                <w:sz w:val="17"/>
                <w:szCs w:val="17"/>
              </w:rPr>
            </w:pPr>
            <w:r>
              <w:rPr>
                <w:rFonts w:hint="eastAsia"/>
                <w:color w:val="000000"/>
                <w:sz w:val="17"/>
                <w:szCs w:val="17"/>
              </w:rPr>
              <w:t>7</w:t>
            </w:r>
          </w:p>
        </w:tc>
        <w:tc>
          <w:tcPr>
            <w:tcW w:w="664" w:type="pct"/>
            <w:vMerge w:val="restart"/>
            <w:tcBorders>
              <w:tl2br w:val="nil"/>
              <w:tr2bl w:val="nil"/>
            </w:tcBorders>
            <w:shd w:val="clear" w:color="auto" w:fill="auto"/>
            <w:vAlign w:val="center"/>
          </w:tcPr>
          <w:p w14:paraId="1C43818F">
            <w:pPr>
              <w:pStyle w:val="185"/>
              <w:spacing w:line="240" w:lineRule="auto"/>
              <w:ind w:firstLine="0"/>
              <w:jc w:val="center"/>
              <w:rPr>
                <w:rFonts w:hint="eastAsia"/>
                <w:color w:val="000000"/>
                <w:sz w:val="17"/>
                <w:szCs w:val="17"/>
              </w:rPr>
            </w:pPr>
            <w:r>
              <w:rPr>
                <w:rFonts w:hint="eastAsia"/>
                <w:color w:val="000000"/>
                <w:sz w:val="17"/>
                <w:szCs w:val="17"/>
              </w:rPr>
              <w:t>供配电系统要求</w:t>
            </w:r>
          </w:p>
        </w:tc>
        <w:tc>
          <w:tcPr>
            <w:tcW w:w="2560" w:type="pct"/>
            <w:tcBorders>
              <w:tl2br w:val="nil"/>
              <w:tr2bl w:val="nil"/>
            </w:tcBorders>
            <w:shd w:val="clear" w:color="auto" w:fill="auto"/>
          </w:tcPr>
          <w:p w14:paraId="64CE06F7">
            <w:pPr>
              <w:pStyle w:val="185"/>
              <w:spacing w:line="240" w:lineRule="auto"/>
              <w:ind w:firstLine="0"/>
              <w:jc w:val="center"/>
              <w:rPr>
                <w:rFonts w:hint="eastAsia"/>
                <w:color w:val="000000"/>
                <w:sz w:val="17"/>
                <w:szCs w:val="17"/>
              </w:rPr>
            </w:pPr>
            <w:r>
              <w:rPr>
                <w:rFonts w:hint="eastAsia"/>
                <w:color w:val="000000"/>
                <w:sz w:val="17"/>
                <w:szCs w:val="17"/>
              </w:rPr>
              <w:t>模块化数据中心中的交流不间断电源供电电源质量应符合</w:t>
            </w:r>
            <w:r>
              <w:rPr>
                <w:rFonts w:hint="eastAsia"/>
                <w:color w:val="000000"/>
                <w:sz w:val="17"/>
                <w:szCs w:val="17"/>
                <w:lang w:val="en-US" w:eastAsia="zh-CN"/>
              </w:rPr>
              <w:t>YD/T 1095Ⅰ类I类电源质量</w:t>
            </w:r>
            <w:r>
              <w:rPr>
                <w:rFonts w:hint="eastAsia"/>
                <w:color w:val="000000"/>
                <w:sz w:val="17"/>
                <w:szCs w:val="17"/>
              </w:rPr>
              <w:t>要求。当采用直流电源供电时，供电电电压应符合电子信息设备的要求</w:t>
            </w:r>
          </w:p>
        </w:tc>
        <w:tc>
          <w:tcPr>
            <w:tcW w:w="308" w:type="pct"/>
            <w:tcBorders>
              <w:tl2br w:val="nil"/>
              <w:tr2bl w:val="nil"/>
            </w:tcBorders>
            <w:shd w:val="clear" w:color="auto" w:fill="auto"/>
            <w:noWrap/>
            <w:vAlign w:val="center"/>
          </w:tcPr>
          <w:p w14:paraId="4EEE1E87">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7" w:type="pct"/>
            <w:tcBorders>
              <w:tl2br w:val="nil"/>
              <w:tr2bl w:val="nil"/>
            </w:tcBorders>
            <w:shd w:val="clear" w:color="auto" w:fill="auto"/>
            <w:noWrap/>
            <w:vAlign w:val="center"/>
          </w:tcPr>
          <w:p w14:paraId="2015F0FE">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18" w:type="pct"/>
            <w:vMerge w:val="restart"/>
            <w:tcBorders>
              <w:tl2br w:val="nil"/>
              <w:tr2bl w:val="nil"/>
            </w:tcBorders>
            <w:shd w:val="clear" w:color="auto" w:fill="auto"/>
            <w:vAlign w:val="center"/>
          </w:tcPr>
          <w:p w14:paraId="04CB12D9">
            <w:pPr>
              <w:pStyle w:val="185"/>
              <w:spacing w:line="240" w:lineRule="auto"/>
              <w:ind w:firstLine="0"/>
              <w:jc w:val="center"/>
              <w:rPr>
                <w:rFonts w:hint="eastAsia"/>
                <w:color w:val="000000"/>
                <w:sz w:val="17"/>
                <w:szCs w:val="17"/>
              </w:rPr>
            </w:pPr>
            <w:r>
              <w:rPr>
                <w:rFonts w:hint="eastAsia"/>
                <w:color w:val="000000"/>
                <w:sz w:val="17"/>
                <w:szCs w:val="17"/>
              </w:rPr>
              <w:t>4.1.2</w:t>
            </w:r>
          </w:p>
        </w:tc>
        <w:tc>
          <w:tcPr>
            <w:tcW w:w="356" w:type="pct"/>
            <w:vMerge w:val="restart"/>
            <w:tcBorders>
              <w:tl2br w:val="nil"/>
              <w:tr2bl w:val="nil"/>
            </w:tcBorders>
            <w:shd w:val="clear" w:color="auto" w:fill="auto"/>
            <w:vAlign w:val="center"/>
          </w:tcPr>
          <w:p w14:paraId="7D9EC8C0">
            <w:pPr>
              <w:pStyle w:val="185"/>
              <w:spacing w:line="240" w:lineRule="auto"/>
              <w:ind w:firstLine="0"/>
              <w:jc w:val="center"/>
              <w:rPr>
                <w:rFonts w:hint="eastAsia"/>
                <w:color w:val="000000"/>
                <w:sz w:val="17"/>
                <w:szCs w:val="17"/>
              </w:rPr>
            </w:pPr>
            <w:r>
              <w:rPr>
                <w:rFonts w:hint="eastAsia"/>
                <w:color w:val="000000"/>
                <w:sz w:val="17"/>
                <w:szCs w:val="17"/>
              </w:rPr>
              <w:t>5.1.2</w:t>
            </w:r>
          </w:p>
        </w:tc>
      </w:tr>
      <w:tr w14:paraId="7F7DC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3C880280">
            <w:pPr>
              <w:pStyle w:val="185"/>
              <w:spacing w:line="240" w:lineRule="auto"/>
              <w:ind w:firstLine="0"/>
              <w:jc w:val="center"/>
              <w:rPr>
                <w:rFonts w:hint="eastAsia"/>
                <w:color w:val="000000"/>
                <w:sz w:val="17"/>
                <w:szCs w:val="17"/>
              </w:rPr>
            </w:pPr>
            <w:r>
              <w:rPr>
                <w:rFonts w:hint="eastAsia"/>
                <w:color w:val="000000"/>
                <w:sz w:val="17"/>
                <w:szCs w:val="17"/>
              </w:rPr>
              <w:t>8</w:t>
            </w:r>
          </w:p>
        </w:tc>
        <w:tc>
          <w:tcPr>
            <w:tcW w:w="664" w:type="pct"/>
            <w:vMerge w:val="continue"/>
            <w:tcBorders>
              <w:tl2br w:val="nil"/>
              <w:tr2bl w:val="nil"/>
            </w:tcBorders>
            <w:shd w:val="clear" w:color="auto" w:fill="auto"/>
            <w:vAlign w:val="center"/>
          </w:tcPr>
          <w:p w14:paraId="48D4B095">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228713EE">
            <w:pPr>
              <w:pStyle w:val="185"/>
              <w:spacing w:line="240" w:lineRule="auto"/>
              <w:ind w:firstLine="0"/>
              <w:jc w:val="center"/>
              <w:rPr>
                <w:rFonts w:hint="eastAsia"/>
                <w:color w:val="000000"/>
                <w:sz w:val="17"/>
                <w:szCs w:val="17"/>
              </w:rPr>
            </w:pPr>
            <w:r>
              <w:rPr>
                <w:rFonts w:hint="eastAsia"/>
                <w:color w:val="000000"/>
                <w:sz w:val="17"/>
                <w:szCs w:val="17"/>
              </w:rPr>
              <w:t>模块化数据中心正常电源与备用电源之间的切换若采用自动转换开关设备，在自动转换开关电器检修或故障时不应影响系统的运行</w:t>
            </w:r>
          </w:p>
        </w:tc>
        <w:tc>
          <w:tcPr>
            <w:tcW w:w="308" w:type="pct"/>
            <w:tcBorders>
              <w:tl2br w:val="nil"/>
              <w:tr2bl w:val="nil"/>
            </w:tcBorders>
            <w:shd w:val="clear" w:color="auto" w:fill="auto"/>
            <w:noWrap/>
            <w:vAlign w:val="center"/>
          </w:tcPr>
          <w:p w14:paraId="33145619">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2E37BF3F">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shd w:val="clear" w:color="auto" w:fill="auto"/>
            <w:vAlign w:val="center"/>
          </w:tcPr>
          <w:p w14:paraId="2BB09646">
            <w:pPr>
              <w:pStyle w:val="185"/>
              <w:spacing w:line="240" w:lineRule="auto"/>
              <w:ind w:firstLine="0"/>
              <w:jc w:val="center"/>
              <w:rPr>
                <w:rFonts w:hint="eastAsia"/>
                <w:color w:val="000000"/>
                <w:sz w:val="17"/>
                <w:szCs w:val="17"/>
              </w:rPr>
            </w:pPr>
          </w:p>
        </w:tc>
        <w:tc>
          <w:tcPr>
            <w:tcW w:w="356" w:type="pct"/>
            <w:vMerge w:val="continue"/>
            <w:tcBorders>
              <w:tl2br w:val="nil"/>
              <w:tr2bl w:val="nil"/>
            </w:tcBorders>
            <w:shd w:val="clear" w:color="auto" w:fill="auto"/>
            <w:vAlign w:val="center"/>
          </w:tcPr>
          <w:p w14:paraId="3081D2B9">
            <w:pPr>
              <w:pStyle w:val="185"/>
              <w:spacing w:line="240" w:lineRule="auto"/>
              <w:ind w:firstLine="0"/>
              <w:jc w:val="center"/>
              <w:rPr>
                <w:rFonts w:hint="eastAsia"/>
                <w:color w:val="000000"/>
                <w:sz w:val="17"/>
                <w:szCs w:val="17"/>
              </w:rPr>
            </w:pPr>
          </w:p>
        </w:tc>
      </w:tr>
      <w:tr w14:paraId="26BF0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1859E0C5">
            <w:pPr>
              <w:pStyle w:val="185"/>
              <w:spacing w:line="240" w:lineRule="auto"/>
              <w:ind w:firstLine="0"/>
              <w:jc w:val="center"/>
              <w:rPr>
                <w:rFonts w:hint="eastAsia"/>
                <w:color w:val="000000"/>
                <w:sz w:val="17"/>
                <w:szCs w:val="17"/>
              </w:rPr>
            </w:pPr>
            <w:r>
              <w:rPr>
                <w:rFonts w:hint="eastAsia"/>
                <w:color w:val="000000"/>
                <w:sz w:val="17"/>
                <w:szCs w:val="17"/>
              </w:rPr>
              <w:t>9</w:t>
            </w:r>
          </w:p>
        </w:tc>
        <w:tc>
          <w:tcPr>
            <w:tcW w:w="664" w:type="pct"/>
            <w:vMerge w:val="continue"/>
            <w:tcBorders>
              <w:tl2br w:val="nil"/>
              <w:tr2bl w:val="nil"/>
            </w:tcBorders>
            <w:vAlign w:val="center"/>
          </w:tcPr>
          <w:p w14:paraId="4B10A721">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58E8745A">
            <w:pPr>
              <w:pStyle w:val="185"/>
              <w:spacing w:line="240" w:lineRule="auto"/>
              <w:ind w:firstLine="0"/>
              <w:jc w:val="center"/>
              <w:rPr>
                <w:rFonts w:hint="eastAsia"/>
                <w:color w:val="000000"/>
                <w:sz w:val="17"/>
                <w:szCs w:val="17"/>
              </w:rPr>
            </w:pPr>
            <w:r>
              <w:rPr>
                <w:rFonts w:hint="eastAsia"/>
                <w:color w:val="000000"/>
                <w:sz w:val="17"/>
                <w:szCs w:val="17"/>
              </w:rPr>
              <w:t>交流配电列头柜和交流专用末端母线、一体化UPS系统应配备瞬态电压浪涌保护器，并应提供通信接口</w:t>
            </w:r>
          </w:p>
        </w:tc>
        <w:tc>
          <w:tcPr>
            <w:tcW w:w="308" w:type="pct"/>
            <w:tcBorders>
              <w:tl2br w:val="nil"/>
              <w:tr2bl w:val="nil"/>
            </w:tcBorders>
            <w:shd w:val="clear" w:color="auto" w:fill="auto"/>
            <w:noWrap/>
            <w:vAlign w:val="center"/>
          </w:tcPr>
          <w:p w14:paraId="68C498F4">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592CB6EF">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2372D70D">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07B0DA9A">
            <w:pPr>
              <w:pStyle w:val="185"/>
              <w:spacing w:line="240" w:lineRule="auto"/>
              <w:ind w:firstLine="0"/>
              <w:jc w:val="center"/>
              <w:rPr>
                <w:rFonts w:hint="eastAsia"/>
                <w:color w:val="000000"/>
                <w:sz w:val="17"/>
                <w:szCs w:val="17"/>
              </w:rPr>
            </w:pPr>
          </w:p>
        </w:tc>
      </w:tr>
      <w:tr w14:paraId="6CA3B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098A1DDB">
            <w:pPr>
              <w:pStyle w:val="185"/>
              <w:spacing w:line="240" w:lineRule="auto"/>
              <w:ind w:firstLine="0"/>
              <w:jc w:val="center"/>
              <w:rPr>
                <w:rFonts w:hint="eastAsia"/>
                <w:color w:val="000000"/>
                <w:sz w:val="17"/>
                <w:szCs w:val="17"/>
              </w:rPr>
            </w:pPr>
            <w:r>
              <w:rPr>
                <w:rFonts w:hint="eastAsia"/>
                <w:color w:val="000000"/>
                <w:sz w:val="17"/>
                <w:szCs w:val="17"/>
              </w:rPr>
              <w:t>10</w:t>
            </w:r>
          </w:p>
        </w:tc>
        <w:tc>
          <w:tcPr>
            <w:tcW w:w="664" w:type="pct"/>
            <w:vMerge w:val="continue"/>
            <w:tcBorders>
              <w:tl2br w:val="nil"/>
              <w:tr2bl w:val="nil"/>
            </w:tcBorders>
            <w:vAlign w:val="center"/>
          </w:tcPr>
          <w:p w14:paraId="12A80E56">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543AC06C">
            <w:pPr>
              <w:pStyle w:val="185"/>
              <w:spacing w:line="240" w:lineRule="auto"/>
              <w:ind w:firstLine="0"/>
              <w:jc w:val="center"/>
              <w:rPr>
                <w:rFonts w:hint="eastAsia"/>
                <w:color w:val="000000"/>
                <w:sz w:val="17"/>
                <w:szCs w:val="17"/>
              </w:rPr>
            </w:pPr>
            <w:r>
              <w:rPr>
                <w:rFonts w:hint="eastAsia"/>
                <w:color w:val="000000"/>
                <w:sz w:val="17"/>
                <w:szCs w:val="17"/>
              </w:rPr>
              <w:t>模块化数据中心供电系统及备用电源容量应满足模块内的电子信息设备、空调、电池充电及其他负荷正常运行时的最大容量</w:t>
            </w:r>
          </w:p>
        </w:tc>
        <w:tc>
          <w:tcPr>
            <w:tcW w:w="308" w:type="pct"/>
            <w:tcBorders>
              <w:tl2br w:val="nil"/>
              <w:tr2bl w:val="nil"/>
            </w:tcBorders>
            <w:shd w:val="clear" w:color="auto" w:fill="auto"/>
            <w:noWrap/>
            <w:vAlign w:val="center"/>
          </w:tcPr>
          <w:p w14:paraId="6CF4DE80">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0908CA97">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3150C086">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01F69AF7">
            <w:pPr>
              <w:pStyle w:val="185"/>
              <w:spacing w:line="240" w:lineRule="auto"/>
              <w:ind w:firstLine="0"/>
              <w:jc w:val="center"/>
              <w:rPr>
                <w:rFonts w:hint="eastAsia"/>
                <w:color w:val="000000"/>
                <w:sz w:val="17"/>
                <w:szCs w:val="17"/>
              </w:rPr>
            </w:pPr>
          </w:p>
        </w:tc>
      </w:tr>
      <w:tr w14:paraId="218A1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5FCCCED6">
            <w:pPr>
              <w:pStyle w:val="185"/>
              <w:spacing w:line="240" w:lineRule="auto"/>
              <w:ind w:firstLine="0"/>
              <w:jc w:val="center"/>
              <w:rPr>
                <w:rFonts w:hint="eastAsia"/>
                <w:color w:val="000000"/>
                <w:sz w:val="17"/>
                <w:szCs w:val="17"/>
              </w:rPr>
            </w:pPr>
            <w:r>
              <w:rPr>
                <w:rFonts w:hint="eastAsia"/>
                <w:color w:val="000000"/>
                <w:sz w:val="17"/>
                <w:szCs w:val="17"/>
              </w:rPr>
              <w:t>11</w:t>
            </w:r>
          </w:p>
        </w:tc>
        <w:tc>
          <w:tcPr>
            <w:tcW w:w="664" w:type="pct"/>
            <w:vMerge w:val="continue"/>
            <w:tcBorders>
              <w:tl2br w:val="nil"/>
              <w:tr2bl w:val="nil"/>
            </w:tcBorders>
            <w:vAlign w:val="center"/>
          </w:tcPr>
          <w:p w14:paraId="4F27DE5A">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478A1124">
            <w:pPr>
              <w:pStyle w:val="185"/>
              <w:spacing w:line="240" w:lineRule="auto"/>
              <w:ind w:firstLine="0"/>
              <w:jc w:val="center"/>
              <w:rPr>
                <w:rFonts w:hint="eastAsia"/>
                <w:color w:val="000000"/>
                <w:sz w:val="17"/>
                <w:szCs w:val="17"/>
              </w:rPr>
            </w:pPr>
            <w:r>
              <w:rPr>
                <w:rFonts w:hint="eastAsia"/>
                <w:color w:val="000000"/>
                <w:sz w:val="17"/>
                <w:szCs w:val="17"/>
              </w:rPr>
              <w:t>模块化数据中心内的电子信息设备应由不间断电源系统供电</w:t>
            </w:r>
          </w:p>
        </w:tc>
        <w:tc>
          <w:tcPr>
            <w:tcW w:w="308" w:type="pct"/>
            <w:tcBorders>
              <w:tl2br w:val="nil"/>
              <w:tr2bl w:val="nil"/>
            </w:tcBorders>
            <w:shd w:val="clear" w:color="auto" w:fill="auto"/>
            <w:noWrap/>
            <w:vAlign w:val="center"/>
          </w:tcPr>
          <w:p w14:paraId="16C061E1">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6D77B95F">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250F5A0A">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58FDF418">
            <w:pPr>
              <w:pStyle w:val="185"/>
              <w:spacing w:line="240" w:lineRule="auto"/>
              <w:ind w:firstLine="0"/>
              <w:jc w:val="center"/>
              <w:rPr>
                <w:rFonts w:hint="eastAsia"/>
                <w:color w:val="000000"/>
                <w:sz w:val="17"/>
                <w:szCs w:val="17"/>
              </w:rPr>
            </w:pPr>
          </w:p>
        </w:tc>
      </w:tr>
      <w:tr w14:paraId="55A43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4A39D5FE">
            <w:pPr>
              <w:pStyle w:val="185"/>
              <w:spacing w:line="240" w:lineRule="auto"/>
              <w:ind w:firstLine="0"/>
              <w:jc w:val="center"/>
              <w:rPr>
                <w:rFonts w:hint="eastAsia"/>
                <w:color w:val="000000"/>
                <w:sz w:val="17"/>
                <w:szCs w:val="17"/>
              </w:rPr>
            </w:pPr>
            <w:r>
              <w:rPr>
                <w:rFonts w:hint="eastAsia"/>
                <w:color w:val="000000"/>
                <w:sz w:val="17"/>
                <w:szCs w:val="17"/>
              </w:rPr>
              <w:t>12</w:t>
            </w:r>
          </w:p>
        </w:tc>
        <w:tc>
          <w:tcPr>
            <w:tcW w:w="664" w:type="pct"/>
            <w:vMerge w:val="continue"/>
            <w:tcBorders>
              <w:tl2br w:val="nil"/>
              <w:tr2bl w:val="nil"/>
            </w:tcBorders>
            <w:vAlign w:val="center"/>
          </w:tcPr>
          <w:p w14:paraId="27D33DB4">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6DF2E05B">
            <w:pPr>
              <w:pStyle w:val="185"/>
              <w:spacing w:line="240" w:lineRule="auto"/>
              <w:ind w:firstLine="0"/>
              <w:jc w:val="center"/>
              <w:rPr>
                <w:rFonts w:hint="eastAsia"/>
                <w:color w:val="000000"/>
                <w:sz w:val="17"/>
                <w:szCs w:val="17"/>
              </w:rPr>
            </w:pPr>
            <w:r>
              <w:rPr>
                <w:rFonts w:hint="eastAsia"/>
                <w:color w:val="000000"/>
                <w:sz w:val="17"/>
                <w:szCs w:val="17"/>
              </w:rPr>
              <w:t>应确定不间断电源系统的基本容量留有余量</w:t>
            </w:r>
          </w:p>
        </w:tc>
        <w:tc>
          <w:tcPr>
            <w:tcW w:w="308" w:type="pct"/>
            <w:tcBorders>
              <w:tl2br w:val="nil"/>
              <w:tr2bl w:val="nil"/>
            </w:tcBorders>
            <w:shd w:val="clear" w:color="auto" w:fill="auto"/>
            <w:noWrap/>
            <w:vAlign w:val="center"/>
          </w:tcPr>
          <w:p w14:paraId="1995E538">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26874706">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2EBC7511">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0EE3D662">
            <w:pPr>
              <w:pStyle w:val="185"/>
              <w:spacing w:line="240" w:lineRule="auto"/>
              <w:ind w:firstLine="0"/>
              <w:jc w:val="center"/>
              <w:rPr>
                <w:rFonts w:hint="eastAsia"/>
                <w:color w:val="000000"/>
                <w:sz w:val="17"/>
                <w:szCs w:val="17"/>
              </w:rPr>
            </w:pPr>
          </w:p>
        </w:tc>
      </w:tr>
      <w:tr w14:paraId="40213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173F0F4A">
            <w:pPr>
              <w:pStyle w:val="185"/>
              <w:spacing w:line="240" w:lineRule="auto"/>
              <w:ind w:firstLine="0"/>
              <w:jc w:val="center"/>
              <w:rPr>
                <w:rFonts w:hint="eastAsia"/>
                <w:color w:val="000000"/>
                <w:sz w:val="17"/>
                <w:szCs w:val="17"/>
              </w:rPr>
            </w:pPr>
            <w:r>
              <w:rPr>
                <w:rFonts w:hint="eastAsia"/>
                <w:color w:val="000000"/>
                <w:sz w:val="17"/>
                <w:szCs w:val="17"/>
              </w:rPr>
              <w:t>13</w:t>
            </w:r>
          </w:p>
        </w:tc>
        <w:tc>
          <w:tcPr>
            <w:tcW w:w="664" w:type="pct"/>
            <w:vMerge w:val="continue"/>
            <w:tcBorders>
              <w:tl2br w:val="nil"/>
              <w:tr2bl w:val="nil"/>
            </w:tcBorders>
            <w:vAlign w:val="center"/>
          </w:tcPr>
          <w:p w14:paraId="693A51A9">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7D5BC10B">
            <w:pPr>
              <w:pStyle w:val="185"/>
              <w:spacing w:line="240" w:lineRule="auto"/>
              <w:ind w:firstLine="0"/>
              <w:jc w:val="center"/>
              <w:rPr>
                <w:rFonts w:hint="eastAsia"/>
                <w:color w:val="000000"/>
                <w:sz w:val="17"/>
                <w:szCs w:val="17"/>
              </w:rPr>
            </w:pPr>
            <w:r>
              <w:rPr>
                <w:rFonts w:hint="eastAsia"/>
                <w:color w:val="000000"/>
                <w:sz w:val="17"/>
                <w:szCs w:val="17"/>
              </w:rPr>
              <w:t>模块化数据中心供配电系统应设置铜排温度检测，提前预警铜排温度异常情况</w:t>
            </w:r>
          </w:p>
        </w:tc>
        <w:tc>
          <w:tcPr>
            <w:tcW w:w="308" w:type="pct"/>
            <w:tcBorders>
              <w:tl2br w:val="nil"/>
              <w:tr2bl w:val="nil"/>
            </w:tcBorders>
            <w:shd w:val="clear" w:color="auto" w:fill="auto"/>
            <w:noWrap/>
            <w:vAlign w:val="center"/>
          </w:tcPr>
          <w:p w14:paraId="4409BE7A">
            <w:pPr>
              <w:pStyle w:val="185"/>
              <w:spacing w:line="240" w:lineRule="auto"/>
              <w:ind w:firstLine="0"/>
              <w:jc w:val="center"/>
              <w:rPr>
                <w:rFonts w:hint="eastAsia"/>
                <w:color w:val="000000"/>
                <w:sz w:val="17"/>
                <w:szCs w:val="17"/>
              </w:rPr>
            </w:pPr>
          </w:p>
        </w:tc>
        <w:tc>
          <w:tcPr>
            <w:tcW w:w="397" w:type="pct"/>
            <w:tcBorders>
              <w:tl2br w:val="nil"/>
              <w:tr2bl w:val="nil"/>
            </w:tcBorders>
            <w:shd w:val="clear" w:color="auto" w:fill="auto"/>
            <w:noWrap/>
            <w:vAlign w:val="center"/>
          </w:tcPr>
          <w:p w14:paraId="44DD3559">
            <w:pPr>
              <w:pStyle w:val="185"/>
              <w:spacing w:line="240" w:lineRule="auto"/>
              <w:ind w:firstLine="0"/>
              <w:jc w:val="center"/>
              <w:rPr>
                <w:rFonts w:hint="eastAsia"/>
                <w:color w:val="000000"/>
                <w:sz w:val="17"/>
                <w:szCs w:val="17"/>
              </w:rPr>
            </w:pPr>
          </w:p>
        </w:tc>
        <w:tc>
          <w:tcPr>
            <w:tcW w:w="418" w:type="pct"/>
            <w:vMerge w:val="continue"/>
            <w:tcBorders>
              <w:tl2br w:val="nil"/>
              <w:tr2bl w:val="nil"/>
            </w:tcBorders>
            <w:vAlign w:val="center"/>
          </w:tcPr>
          <w:p w14:paraId="755467CD">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421F26D2">
            <w:pPr>
              <w:pStyle w:val="185"/>
              <w:spacing w:line="240" w:lineRule="auto"/>
              <w:ind w:firstLine="0"/>
              <w:jc w:val="center"/>
              <w:rPr>
                <w:rFonts w:hint="eastAsia"/>
                <w:color w:val="000000"/>
                <w:sz w:val="17"/>
                <w:szCs w:val="17"/>
              </w:rPr>
            </w:pPr>
          </w:p>
        </w:tc>
      </w:tr>
      <w:tr w14:paraId="4B5E9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544187FC">
            <w:pPr>
              <w:pStyle w:val="185"/>
              <w:spacing w:line="240" w:lineRule="auto"/>
              <w:ind w:firstLine="0"/>
              <w:jc w:val="center"/>
              <w:rPr>
                <w:rFonts w:hint="eastAsia"/>
                <w:color w:val="000000"/>
                <w:sz w:val="17"/>
                <w:szCs w:val="17"/>
              </w:rPr>
            </w:pPr>
            <w:r>
              <w:rPr>
                <w:rFonts w:hint="eastAsia"/>
                <w:color w:val="000000"/>
                <w:sz w:val="17"/>
                <w:szCs w:val="17"/>
              </w:rPr>
              <w:t>14</w:t>
            </w:r>
          </w:p>
        </w:tc>
        <w:tc>
          <w:tcPr>
            <w:tcW w:w="664" w:type="pct"/>
            <w:vMerge w:val="continue"/>
            <w:tcBorders>
              <w:tl2br w:val="nil"/>
              <w:tr2bl w:val="nil"/>
            </w:tcBorders>
            <w:vAlign w:val="center"/>
          </w:tcPr>
          <w:p w14:paraId="710AA862">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40EAAFA3">
            <w:pPr>
              <w:pStyle w:val="185"/>
              <w:spacing w:line="240" w:lineRule="auto"/>
              <w:ind w:firstLine="0"/>
              <w:jc w:val="center"/>
              <w:rPr>
                <w:rFonts w:hint="eastAsia"/>
                <w:color w:val="000000"/>
                <w:sz w:val="17"/>
                <w:szCs w:val="17"/>
              </w:rPr>
            </w:pPr>
            <w:r>
              <w:rPr>
                <w:rFonts w:hint="eastAsia"/>
                <w:color w:val="000000"/>
                <w:sz w:val="17"/>
                <w:szCs w:val="17"/>
              </w:rPr>
              <w:t>模块化数据中心配电系统应具备监测输出电压三相平衡状态的功能</w:t>
            </w:r>
          </w:p>
        </w:tc>
        <w:tc>
          <w:tcPr>
            <w:tcW w:w="308" w:type="pct"/>
            <w:tcBorders>
              <w:tl2br w:val="nil"/>
              <w:tr2bl w:val="nil"/>
            </w:tcBorders>
            <w:shd w:val="clear" w:color="auto" w:fill="auto"/>
            <w:noWrap/>
            <w:vAlign w:val="center"/>
          </w:tcPr>
          <w:p w14:paraId="0660D9C2">
            <w:pPr>
              <w:pStyle w:val="185"/>
              <w:spacing w:line="240" w:lineRule="auto"/>
              <w:ind w:firstLine="0"/>
              <w:jc w:val="center"/>
              <w:rPr>
                <w:rFonts w:hint="eastAsia"/>
                <w:color w:val="000000"/>
                <w:sz w:val="17"/>
                <w:szCs w:val="17"/>
              </w:rPr>
            </w:pPr>
          </w:p>
        </w:tc>
        <w:tc>
          <w:tcPr>
            <w:tcW w:w="397" w:type="pct"/>
            <w:tcBorders>
              <w:tl2br w:val="nil"/>
              <w:tr2bl w:val="nil"/>
            </w:tcBorders>
            <w:shd w:val="clear" w:color="auto" w:fill="auto"/>
            <w:noWrap/>
            <w:vAlign w:val="center"/>
          </w:tcPr>
          <w:p w14:paraId="4C8E9D46">
            <w:pPr>
              <w:pStyle w:val="185"/>
              <w:spacing w:line="240" w:lineRule="auto"/>
              <w:ind w:firstLine="0"/>
              <w:jc w:val="center"/>
              <w:rPr>
                <w:rFonts w:hint="eastAsia"/>
                <w:color w:val="000000"/>
                <w:sz w:val="17"/>
                <w:szCs w:val="17"/>
              </w:rPr>
            </w:pPr>
          </w:p>
        </w:tc>
        <w:tc>
          <w:tcPr>
            <w:tcW w:w="418" w:type="pct"/>
            <w:vMerge w:val="continue"/>
            <w:tcBorders>
              <w:tl2br w:val="nil"/>
              <w:tr2bl w:val="nil"/>
            </w:tcBorders>
            <w:vAlign w:val="center"/>
          </w:tcPr>
          <w:p w14:paraId="1634704E">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74C52D0F">
            <w:pPr>
              <w:pStyle w:val="185"/>
              <w:spacing w:line="240" w:lineRule="auto"/>
              <w:ind w:firstLine="0"/>
              <w:jc w:val="center"/>
              <w:rPr>
                <w:rFonts w:hint="eastAsia"/>
                <w:color w:val="000000"/>
                <w:sz w:val="17"/>
                <w:szCs w:val="17"/>
              </w:rPr>
            </w:pPr>
          </w:p>
        </w:tc>
      </w:tr>
      <w:tr w14:paraId="34104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0713106B">
            <w:pPr>
              <w:pStyle w:val="185"/>
              <w:spacing w:line="240" w:lineRule="auto"/>
              <w:ind w:firstLine="0"/>
              <w:jc w:val="center"/>
              <w:rPr>
                <w:rFonts w:hint="eastAsia"/>
                <w:color w:val="000000"/>
                <w:sz w:val="17"/>
                <w:szCs w:val="17"/>
              </w:rPr>
            </w:pPr>
            <w:r>
              <w:rPr>
                <w:rFonts w:hint="eastAsia"/>
                <w:color w:val="000000"/>
                <w:sz w:val="17"/>
                <w:szCs w:val="17"/>
              </w:rPr>
              <w:t>15</w:t>
            </w:r>
          </w:p>
        </w:tc>
        <w:tc>
          <w:tcPr>
            <w:tcW w:w="664" w:type="pct"/>
            <w:vMerge w:val="continue"/>
            <w:tcBorders>
              <w:tl2br w:val="nil"/>
              <w:tr2bl w:val="nil"/>
            </w:tcBorders>
            <w:vAlign w:val="center"/>
          </w:tcPr>
          <w:p w14:paraId="016992DF">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4A3418C1">
            <w:pPr>
              <w:pStyle w:val="185"/>
              <w:spacing w:line="240" w:lineRule="auto"/>
              <w:ind w:firstLine="0"/>
              <w:jc w:val="center"/>
              <w:rPr>
                <w:rFonts w:hint="eastAsia"/>
                <w:color w:val="000000"/>
                <w:sz w:val="17"/>
                <w:szCs w:val="17"/>
              </w:rPr>
            </w:pPr>
            <w:r>
              <w:rPr>
                <w:rFonts w:hint="eastAsia"/>
                <w:color w:val="000000"/>
                <w:sz w:val="17"/>
                <w:szCs w:val="17"/>
              </w:rPr>
              <w:t>电池汇流排及端子裸露部位应具有防护措施</w:t>
            </w:r>
          </w:p>
        </w:tc>
        <w:tc>
          <w:tcPr>
            <w:tcW w:w="308" w:type="pct"/>
            <w:tcBorders>
              <w:tl2br w:val="nil"/>
              <w:tr2bl w:val="nil"/>
            </w:tcBorders>
            <w:shd w:val="clear" w:color="auto" w:fill="auto"/>
            <w:noWrap/>
            <w:vAlign w:val="center"/>
          </w:tcPr>
          <w:p w14:paraId="4BA6703E">
            <w:pPr>
              <w:pStyle w:val="185"/>
              <w:spacing w:line="240" w:lineRule="auto"/>
              <w:ind w:firstLine="0"/>
              <w:jc w:val="center"/>
              <w:rPr>
                <w:rFonts w:hint="eastAsia"/>
                <w:color w:val="000000"/>
                <w:sz w:val="17"/>
                <w:szCs w:val="17"/>
              </w:rPr>
            </w:pPr>
          </w:p>
        </w:tc>
        <w:tc>
          <w:tcPr>
            <w:tcW w:w="397" w:type="pct"/>
            <w:tcBorders>
              <w:tl2br w:val="nil"/>
              <w:tr2bl w:val="nil"/>
            </w:tcBorders>
            <w:shd w:val="clear" w:color="auto" w:fill="auto"/>
            <w:noWrap/>
            <w:vAlign w:val="center"/>
          </w:tcPr>
          <w:p w14:paraId="4B2CCE71">
            <w:pPr>
              <w:pStyle w:val="185"/>
              <w:spacing w:line="240" w:lineRule="auto"/>
              <w:ind w:firstLine="0"/>
              <w:jc w:val="center"/>
              <w:rPr>
                <w:rFonts w:hint="eastAsia"/>
                <w:color w:val="000000"/>
                <w:sz w:val="17"/>
                <w:szCs w:val="17"/>
              </w:rPr>
            </w:pPr>
          </w:p>
        </w:tc>
        <w:tc>
          <w:tcPr>
            <w:tcW w:w="418" w:type="pct"/>
            <w:vMerge w:val="continue"/>
            <w:tcBorders>
              <w:tl2br w:val="nil"/>
              <w:tr2bl w:val="nil"/>
            </w:tcBorders>
            <w:vAlign w:val="center"/>
          </w:tcPr>
          <w:p w14:paraId="10F8AFAD">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2F784588">
            <w:pPr>
              <w:pStyle w:val="185"/>
              <w:spacing w:line="240" w:lineRule="auto"/>
              <w:ind w:firstLine="0"/>
              <w:jc w:val="center"/>
              <w:rPr>
                <w:rFonts w:hint="eastAsia"/>
                <w:color w:val="000000"/>
                <w:sz w:val="17"/>
                <w:szCs w:val="17"/>
              </w:rPr>
            </w:pPr>
          </w:p>
        </w:tc>
      </w:tr>
      <w:tr w14:paraId="1102A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448E44B3">
            <w:pPr>
              <w:pStyle w:val="185"/>
              <w:spacing w:line="240" w:lineRule="auto"/>
              <w:ind w:firstLine="0"/>
              <w:jc w:val="center"/>
              <w:rPr>
                <w:rFonts w:hint="default"/>
                <w:color w:val="000000"/>
                <w:sz w:val="17"/>
                <w:szCs w:val="17"/>
                <w:lang w:val="en-US" w:eastAsia="zh-CN"/>
              </w:rPr>
            </w:pPr>
            <w:r>
              <w:rPr>
                <w:rFonts w:hint="eastAsia"/>
                <w:color w:val="000000"/>
                <w:sz w:val="17"/>
                <w:szCs w:val="17"/>
                <w:lang w:val="en-US" w:eastAsia="zh-CN"/>
              </w:rPr>
              <w:t>16</w:t>
            </w:r>
          </w:p>
        </w:tc>
        <w:tc>
          <w:tcPr>
            <w:tcW w:w="664" w:type="pct"/>
            <w:vMerge w:val="continue"/>
            <w:tcBorders>
              <w:tl2br w:val="nil"/>
              <w:tr2bl w:val="nil"/>
            </w:tcBorders>
            <w:vAlign w:val="center"/>
          </w:tcPr>
          <w:p w14:paraId="035AA6B7">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5603F9EA">
            <w:pPr>
              <w:pStyle w:val="185"/>
              <w:spacing w:line="240" w:lineRule="auto"/>
              <w:ind w:firstLine="0"/>
              <w:jc w:val="center"/>
              <w:rPr>
                <w:rFonts w:hint="eastAsia"/>
                <w:color w:val="000000"/>
                <w:sz w:val="17"/>
                <w:szCs w:val="17"/>
              </w:rPr>
            </w:pPr>
            <w:r>
              <w:rPr>
                <w:rFonts w:hint="eastAsia"/>
                <w:color w:val="000000"/>
                <w:sz w:val="17"/>
                <w:szCs w:val="17"/>
              </w:rPr>
              <w:t>模块化数据中心配电设备应具备外部双路电源接入供电</w:t>
            </w:r>
          </w:p>
        </w:tc>
        <w:tc>
          <w:tcPr>
            <w:tcW w:w="308" w:type="pct"/>
            <w:tcBorders>
              <w:tl2br w:val="nil"/>
              <w:tr2bl w:val="nil"/>
            </w:tcBorders>
            <w:shd w:val="clear" w:color="auto" w:fill="auto"/>
            <w:noWrap/>
            <w:vAlign w:val="center"/>
          </w:tcPr>
          <w:p w14:paraId="4FE4643E">
            <w:pPr>
              <w:pStyle w:val="185"/>
              <w:spacing w:line="240" w:lineRule="auto"/>
              <w:ind w:firstLine="0"/>
              <w:jc w:val="center"/>
              <w:rPr>
                <w:rFonts w:hint="eastAsia"/>
                <w:color w:val="000000"/>
                <w:sz w:val="17"/>
                <w:szCs w:val="17"/>
              </w:rPr>
            </w:pPr>
          </w:p>
        </w:tc>
        <w:tc>
          <w:tcPr>
            <w:tcW w:w="397" w:type="pct"/>
            <w:tcBorders>
              <w:tl2br w:val="nil"/>
              <w:tr2bl w:val="nil"/>
            </w:tcBorders>
            <w:shd w:val="clear" w:color="auto" w:fill="auto"/>
            <w:noWrap/>
            <w:vAlign w:val="center"/>
          </w:tcPr>
          <w:p w14:paraId="46E52ADA">
            <w:pPr>
              <w:pStyle w:val="185"/>
              <w:spacing w:line="240" w:lineRule="auto"/>
              <w:ind w:firstLine="0"/>
              <w:jc w:val="center"/>
              <w:rPr>
                <w:rFonts w:hint="eastAsia"/>
                <w:color w:val="000000"/>
                <w:sz w:val="17"/>
                <w:szCs w:val="17"/>
              </w:rPr>
            </w:pPr>
          </w:p>
        </w:tc>
        <w:tc>
          <w:tcPr>
            <w:tcW w:w="418" w:type="pct"/>
            <w:vMerge w:val="continue"/>
            <w:tcBorders>
              <w:tl2br w:val="nil"/>
              <w:tr2bl w:val="nil"/>
            </w:tcBorders>
            <w:vAlign w:val="center"/>
          </w:tcPr>
          <w:p w14:paraId="1D0928DE">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4E01882E">
            <w:pPr>
              <w:pStyle w:val="185"/>
              <w:spacing w:line="240" w:lineRule="auto"/>
              <w:ind w:firstLine="0"/>
              <w:jc w:val="center"/>
              <w:rPr>
                <w:rFonts w:hint="eastAsia"/>
                <w:color w:val="000000"/>
                <w:sz w:val="17"/>
                <w:szCs w:val="17"/>
              </w:rPr>
            </w:pPr>
          </w:p>
        </w:tc>
      </w:tr>
      <w:tr w14:paraId="40C3D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6FDCA378">
            <w:pPr>
              <w:pStyle w:val="185"/>
              <w:spacing w:line="240" w:lineRule="auto"/>
              <w:ind w:firstLine="0"/>
              <w:jc w:val="center"/>
              <w:rPr>
                <w:rFonts w:hint="eastAsia"/>
                <w:color w:val="000000"/>
                <w:sz w:val="17"/>
                <w:szCs w:val="17"/>
              </w:rPr>
            </w:pPr>
            <w:r>
              <w:rPr>
                <w:rFonts w:hint="eastAsia"/>
                <w:color w:val="000000"/>
                <w:sz w:val="17"/>
                <w:szCs w:val="17"/>
                <w:lang w:val="en-US" w:eastAsia="zh-CN"/>
              </w:rPr>
              <w:t>17</w:t>
            </w:r>
          </w:p>
        </w:tc>
        <w:tc>
          <w:tcPr>
            <w:tcW w:w="664" w:type="pct"/>
            <w:vMerge w:val="restart"/>
            <w:tcBorders>
              <w:tl2br w:val="nil"/>
              <w:tr2bl w:val="nil"/>
            </w:tcBorders>
            <w:shd w:val="clear" w:color="auto" w:fill="auto"/>
            <w:vAlign w:val="center"/>
          </w:tcPr>
          <w:p w14:paraId="7E78357D">
            <w:pPr>
              <w:pStyle w:val="185"/>
              <w:spacing w:line="240" w:lineRule="auto"/>
              <w:ind w:firstLine="0"/>
              <w:jc w:val="center"/>
              <w:rPr>
                <w:rFonts w:hint="eastAsia"/>
                <w:color w:val="000000"/>
                <w:sz w:val="17"/>
                <w:szCs w:val="17"/>
                <w:lang w:val="en-US" w:eastAsia="zh-CN"/>
              </w:rPr>
            </w:pPr>
            <w:r>
              <w:rPr>
                <w:rFonts w:hint="eastAsia"/>
                <w:color w:val="000000"/>
                <w:sz w:val="17"/>
                <w:szCs w:val="17"/>
              </w:rPr>
              <w:t>制冷系统</w:t>
            </w:r>
            <w:r>
              <w:rPr>
                <w:rFonts w:hint="eastAsia"/>
                <w:color w:val="000000"/>
                <w:sz w:val="17"/>
                <w:szCs w:val="17"/>
                <w:lang w:val="en-US" w:eastAsia="zh-CN"/>
              </w:rPr>
              <w:t>要求</w:t>
            </w:r>
          </w:p>
        </w:tc>
        <w:tc>
          <w:tcPr>
            <w:tcW w:w="2560" w:type="pct"/>
            <w:tcBorders>
              <w:tl2br w:val="nil"/>
              <w:tr2bl w:val="nil"/>
            </w:tcBorders>
            <w:shd w:val="clear" w:color="auto" w:fill="auto"/>
          </w:tcPr>
          <w:p w14:paraId="64A90933">
            <w:pPr>
              <w:pStyle w:val="185"/>
              <w:spacing w:line="240" w:lineRule="auto"/>
              <w:ind w:firstLine="0"/>
              <w:jc w:val="center"/>
              <w:rPr>
                <w:rFonts w:hint="eastAsia"/>
                <w:color w:val="000000"/>
                <w:sz w:val="17"/>
                <w:szCs w:val="17"/>
              </w:rPr>
            </w:pPr>
            <w:r>
              <w:rPr>
                <w:rFonts w:hint="eastAsia"/>
                <w:color w:val="000000"/>
                <w:sz w:val="17"/>
                <w:szCs w:val="17"/>
              </w:rPr>
              <w:t>模块化数据中心内应有均匀的温度场，气流组织合理，冷通道与热通道间保持正压差</w:t>
            </w:r>
          </w:p>
        </w:tc>
        <w:tc>
          <w:tcPr>
            <w:tcW w:w="308" w:type="pct"/>
            <w:tcBorders>
              <w:tl2br w:val="nil"/>
              <w:tr2bl w:val="nil"/>
            </w:tcBorders>
            <w:shd w:val="clear" w:color="auto" w:fill="auto"/>
            <w:noWrap/>
            <w:vAlign w:val="center"/>
          </w:tcPr>
          <w:p w14:paraId="43D2CF0E">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095E2AA6">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restart"/>
            <w:tcBorders>
              <w:tl2br w:val="nil"/>
              <w:tr2bl w:val="nil"/>
            </w:tcBorders>
            <w:shd w:val="clear" w:color="auto" w:fill="auto"/>
            <w:vAlign w:val="center"/>
          </w:tcPr>
          <w:p w14:paraId="7C96DE9E">
            <w:pPr>
              <w:pStyle w:val="185"/>
              <w:spacing w:line="240" w:lineRule="auto"/>
              <w:ind w:firstLine="0"/>
              <w:jc w:val="center"/>
              <w:rPr>
                <w:rFonts w:hint="eastAsia"/>
                <w:color w:val="000000"/>
                <w:sz w:val="17"/>
                <w:szCs w:val="17"/>
              </w:rPr>
            </w:pPr>
            <w:r>
              <w:rPr>
                <w:rFonts w:hint="eastAsia"/>
                <w:color w:val="000000"/>
                <w:sz w:val="17"/>
                <w:szCs w:val="17"/>
              </w:rPr>
              <w:t>4.1.3</w:t>
            </w:r>
          </w:p>
        </w:tc>
        <w:tc>
          <w:tcPr>
            <w:tcW w:w="356" w:type="pct"/>
            <w:vMerge w:val="restart"/>
            <w:tcBorders>
              <w:tl2br w:val="nil"/>
              <w:tr2bl w:val="nil"/>
            </w:tcBorders>
            <w:shd w:val="clear" w:color="auto" w:fill="auto"/>
            <w:vAlign w:val="center"/>
          </w:tcPr>
          <w:p w14:paraId="42E75C11">
            <w:pPr>
              <w:pStyle w:val="185"/>
              <w:spacing w:line="240" w:lineRule="auto"/>
              <w:ind w:firstLine="0"/>
              <w:jc w:val="center"/>
              <w:rPr>
                <w:rFonts w:hint="eastAsia"/>
                <w:color w:val="000000"/>
                <w:sz w:val="17"/>
                <w:szCs w:val="17"/>
              </w:rPr>
            </w:pPr>
            <w:r>
              <w:rPr>
                <w:rFonts w:hint="eastAsia"/>
                <w:color w:val="000000"/>
                <w:sz w:val="17"/>
                <w:szCs w:val="17"/>
              </w:rPr>
              <w:t>5.1.3</w:t>
            </w:r>
          </w:p>
        </w:tc>
      </w:tr>
      <w:tr w14:paraId="1F252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3528A06F">
            <w:pPr>
              <w:pStyle w:val="185"/>
              <w:spacing w:line="240" w:lineRule="auto"/>
              <w:ind w:firstLine="0"/>
              <w:jc w:val="center"/>
              <w:rPr>
                <w:rFonts w:hint="eastAsia"/>
                <w:color w:val="000000"/>
                <w:sz w:val="17"/>
                <w:szCs w:val="17"/>
              </w:rPr>
            </w:pPr>
            <w:r>
              <w:rPr>
                <w:rFonts w:hint="eastAsia"/>
                <w:color w:val="000000"/>
                <w:sz w:val="17"/>
                <w:szCs w:val="17"/>
                <w:lang w:val="en-US" w:eastAsia="zh-CN"/>
              </w:rPr>
              <w:t>18</w:t>
            </w:r>
          </w:p>
        </w:tc>
        <w:tc>
          <w:tcPr>
            <w:tcW w:w="664" w:type="pct"/>
            <w:vMerge w:val="continue"/>
            <w:tcBorders>
              <w:tl2br w:val="nil"/>
              <w:tr2bl w:val="nil"/>
            </w:tcBorders>
            <w:vAlign w:val="center"/>
          </w:tcPr>
          <w:p w14:paraId="729F9485">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6F11961E">
            <w:pPr>
              <w:pStyle w:val="185"/>
              <w:spacing w:line="240" w:lineRule="auto"/>
              <w:ind w:firstLine="0"/>
              <w:jc w:val="center"/>
              <w:rPr>
                <w:rFonts w:hint="eastAsia"/>
                <w:color w:val="000000"/>
                <w:sz w:val="17"/>
                <w:szCs w:val="17"/>
              </w:rPr>
            </w:pPr>
            <w:r>
              <w:rPr>
                <w:rFonts w:hint="eastAsia"/>
                <w:color w:val="000000"/>
                <w:sz w:val="17"/>
                <w:szCs w:val="17"/>
              </w:rPr>
              <w:t>模块化数据中心应配置冷凝水收集/排放装置，当采用重力排水时，干管坡度应不小于0.8%，支管坡度应不小于1%；当无法符合重力排水时，应选配排水泵</w:t>
            </w:r>
          </w:p>
        </w:tc>
        <w:tc>
          <w:tcPr>
            <w:tcW w:w="308" w:type="pct"/>
            <w:tcBorders>
              <w:tl2br w:val="nil"/>
              <w:tr2bl w:val="nil"/>
            </w:tcBorders>
            <w:shd w:val="clear" w:color="auto" w:fill="auto"/>
            <w:noWrap/>
            <w:vAlign w:val="center"/>
          </w:tcPr>
          <w:p w14:paraId="10B8FB02">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238223D1">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52A4C338">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15E22153">
            <w:pPr>
              <w:pStyle w:val="185"/>
              <w:spacing w:line="240" w:lineRule="auto"/>
              <w:ind w:firstLine="0"/>
              <w:jc w:val="center"/>
              <w:rPr>
                <w:rFonts w:hint="eastAsia"/>
                <w:color w:val="000000"/>
                <w:sz w:val="17"/>
                <w:szCs w:val="17"/>
              </w:rPr>
            </w:pPr>
          </w:p>
        </w:tc>
      </w:tr>
      <w:tr w14:paraId="1F3F7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6F9AE410">
            <w:pPr>
              <w:pStyle w:val="185"/>
              <w:spacing w:line="240" w:lineRule="auto"/>
              <w:ind w:firstLine="0"/>
              <w:jc w:val="center"/>
              <w:rPr>
                <w:rFonts w:hint="eastAsia"/>
                <w:color w:val="000000"/>
                <w:sz w:val="17"/>
                <w:szCs w:val="17"/>
              </w:rPr>
            </w:pPr>
            <w:r>
              <w:rPr>
                <w:rFonts w:hint="eastAsia"/>
                <w:color w:val="000000"/>
                <w:sz w:val="17"/>
                <w:szCs w:val="17"/>
                <w:lang w:val="en-US" w:eastAsia="zh-CN"/>
              </w:rPr>
              <w:t>19</w:t>
            </w:r>
          </w:p>
        </w:tc>
        <w:tc>
          <w:tcPr>
            <w:tcW w:w="664" w:type="pct"/>
            <w:vMerge w:val="continue"/>
            <w:tcBorders>
              <w:tl2br w:val="nil"/>
              <w:tr2bl w:val="nil"/>
            </w:tcBorders>
            <w:vAlign w:val="center"/>
          </w:tcPr>
          <w:p w14:paraId="242C1E5E">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4B95CCFF">
            <w:pPr>
              <w:pStyle w:val="185"/>
              <w:spacing w:line="240" w:lineRule="auto"/>
              <w:ind w:firstLine="0"/>
              <w:jc w:val="center"/>
              <w:rPr>
                <w:rFonts w:hint="eastAsia"/>
                <w:color w:val="000000"/>
                <w:sz w:val="17"/>
                <w:szCs w:val="17"/>
              </w:rPr>
            </w:pPr>
            <w:r>
              <w:rPr>
                <w:rFonts w:hint="eastAsia"/>
                <w:color w:val="000000"/>
                <w:sz w:val="17"/>
                <w:szCs w:val="17"/>
              </w:rPr>
              <w:t>冷却设备应具备掉电记忆功能，供电复电后自动恢复到停电前的设置状态</w:t>
            </w:r>
          </w:p>
        </w:tc>
        <w:tc>
          <w:tcPr>
            <w:tcW w:w="308" w:type="pct"/>
            <w:tcBorders>
              <w:tl2br w:val="nil"/>
              <w:tr2bl w:val="nil"/>
            </w:tcBorders>
            <w:shd w:val="clear" w:color="auto" w:fill="auto"/>
            <w:noWrap/>
            <w:vAlign w:val="center"/>
          </w:tcPr>
          <w:p w14:paraId="4CE62C1A">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3536B6A4">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0F097936">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797BD8F7">
            <w:pPr>
              <w:pStyle w:val="185"/>
              <w:spacing w:line="240" w:lineRule="auto"/>
              <w:ind w:firstLine="0"/>
              <w:jc w:val="center"/>
              <w:rPr>
                <w:rFonts w:hint="eastAsia"/>
                <w:color w:val="000000"/>
                <w:sz w:val="17"/>
                <w:szCs w:val="17"/>
              </w:rPr>
            </w:pPr>
          </w:p>
        </w:tc>
      </w:tr>
      <w:tr w14:paraId="3BCDE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62096B91">
            <w:pPr>
              <w:pStyle w:val="185"/>
              <w:spacing w:line="240" w:lineRule="auto"/>
              <w:ind w:firstLine="0"/>
              <w:jc w:val="center"/>
              <w:rPr>
                <w:rFonts w:hint="eastAsia"/>
                <w:color w:val="000000"/>
                <w:sz w:val="17"/>
                <w:szCs w:val="17"/>
              </w:rPr>
            </w:pPr>
            <w:r>
              <w:rPr>
                <w:rFonts w:hint="eastAsia"/>
                <w:color w:val="000000"/>
                <w:sz w:val="17"/>
                <w:szCs w:val="17"/>
                <w:lang w:val="en-US" w:eastAsia="zh-CN"/>
              </w:rPr>
              <w:t>20</w:t>
            </w:r>
          </w:p>
        </w:tc>
        <w:tc>
          <w:tcPr>
            <w:tcW w:w="664" w:type="pct"/>
            <w:vMerge w:val="continue"/>
            <w:tcBorders>
              <w:tl2br w:val="nil"/>
              <w:tr2bl w:val="nil"/>
            </w:tcBorders>
            <w:vAlign w:val="center"/>
          </w:tcPr>
          <w:p w14:paraId="1E707F22">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5CC9EC94">
            <w:pPr>
              <w:pStyle w:val="185"/>
              <w:spacing w:line="240" w:lineRule="auto"/>
              <w:ind w:firstLine="0"/>
              <w:jc w:val="center"/>
              <w:rPr>
                <w:rFonts w:hint="eastAsia"/>
                <w:color w:val="000000"/>
                <w:sz w:val="17"/>
                <w:szCs w:val="17"/>
              </w:rPr>
            </w:pPr>
            <w:r>
              <w:rPr>
                <w:rFonts w:hint="eastAsia"/>
                <w:color w:val="000000"/>
                <w:sz w:val="17"/>
                <w:szCs w:val="17"/>
              </w:rPr>
              <w:t>冷却设备中的空气过滤器应高于粗效过滤器标准，空调滤网的进风风量和风速应符合所选用滤网的标称要求，空气过滤器应符合GB/T 14295的相关要求</w:t>
            </w:r>
          </w:p>
        </w:tc>
        <w:tc>
          <w:tcPr>
            <w:tcW w:w="308" w:type="pct"/>
            <w:tcBorders>
              <w:tl2br w:val="nil"/>
              <w:tr2bl w:val="nil"/>
            </w:tcBorders>
            <w:shd w:val="clear" w:color="auto" w:fill="auto"/>
            <w:noWrap/>
            <w:vAlign w:val="center"/>
          </w:tcPr>
          <w:p w14:paraId="4985D091">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2D9F2C9C">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4E7F1FA8">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7DEE58B4">
            <w:pPr>
              <w:pStyle w:val="185"/>
              <w:spacing w:line="240" w:lineRule="auto"/>
              <w:ind w:firstLine="0"/>
              <w:jc w:val="center"/>
              <w:rPr>
                <w:rFonts w:hint="eastAsia"/>
                <w:color w:val="000000"/>
                <w:sz w:val="17"/>
                <w:szCs w:val="17"/>
              </w:rPr>
            </w:pPr>
          </w:p>
        </w:tc>
      </w:tr>
      <w:tr w14:paraId="1E29F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295" w:type="pct"/>
            <w:tcBorders>
              <w:tl2br w:val="nil"/>
              <w:tr2bl w:val="nil"/>
            </w:tcBorders>
            <w:shd w:val="clear" w:color="auto" w:fill="auto"/>
            <w:vAlign w:val="center"/>
          </w:tcPr>
          <w:p w14:paraId="654D1650">
            <w:pPr>
              <w:pStyle w:val="185"/>
              <w:spacing w:line="240" w:lineRule="auto"/>
              <w:ind w:firstLine="0"/>
              <w:jc w:val="center"/>
              <w:rPr>
                <w:rFonts w:hint="eastAsia"/>
                <w:color w:val="000000"/>
                <w:sz w:val="17"/>
                <w:szCs w:val="17"/>
              </w:rPr>
            </w:pPr>
            <w:r>
              <w:rPr>
                <w:rFonts w:hint="eastAsia"/>
                <w:color w:val="000000"/>
                <w:sz w:val="17"/>
                <w:szCs w:val="17"/>
                <w:lang w:val="en-US" w:eastAsia="zh-CN"/>
              </w:rPr>
              <w:t>21</w:t>
            </w:r>
          </w:p>
        </w:tc>
        <w:tc>
          <w:tcPr>
            <w:tcW w:w="664" w:type="pct"/>
            <w:vMerge w:val="continue"/>
            <w:tcBorders>
              <w:tl2br w:val="nil"/>
              <w:tr2bl w:val="nil"/>
            </w:tcBorders>
            <w:vAlign w:val="center"/>
          </w:tcPr>
          <w:p w14:paraId="595DED1A">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035DE9D2">
            <w:pPr>
              <w:pStyle w:val="185"/>
              <w:spacing w:line="240" w:lineRule="auto"/>
              <w:ind w:firstLine="0"/>
              <w:jc w:val="center"/>
              <w:rPr>
                <w:rFonts w:hint="eastAsia"/>
                <w:color w:val="000000"/>
                <w:sz w:val="17"/>
                <w:szCs w:val="17"/>
              </w:rPr>
            </w:pPr>
            <w:r>
              <w:rPr>
                <w:rFonts w:hint="eastAsia"/>
                <w:color w:val="000000"/>
                <w:sz w:val="17"/>
                <w:szCs w:val="17"/>
              </w:rPr>
              <w:t>模块化数据中心采用冷冻水制冷方式时，应采取水电隔离措施，同时在水管走线区域应具有水浸报警装置、联动控制装置和排水装置，当意外情况发生时，应能及时报警和排水</w:t>
            </w:r>
          </w:p>
        </w:tc>
        <w:tc>
          <w:tcPr>
            <w:tcW w:w="308" w:type="pct"/>
            <w:tcBorders>
              <w:tl2br w:val="nil"/>
              <w:tr2bl w:val="nil"/>
            </w:tcBorders>
            <w:shd w:val="clear" w:color="auto" w:fill="auto"/>
            <w:noWrap/>
            <w:vAlign w:val="center"/>
          </w:tcPr>
          <w:p w14:paraId="44DFDBEE">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5B050D9B">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6BE7CC79">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369C1DA4">
            <w:pPr>
              <w:pStyle w:val="185"/>
              <w:spacing w:line="240" w:lineRule="auto"/>
              <w:ind w:firstLine="0"/>
              <w:jc w:val="center"/>
              <w:rPr>
                <w:rFonts w:hint="eastAsia"/>
                <w:color w:val="000000"/>
                <w:sz w:val="17"/>
                <w:szCs w:val="17"/>
              </w:rPr>
            </w:pPr>
          </w:p>
        </w:tc>
      </w:tr>
      <w:tr w14:paraId="63D1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4A9FFB63">
            <w:pPr>
              <w:pStyle w:val="185"/>
              <w:spacing w:line="240" w:lineRule="auto"/>
              <w:ind w:firstLine="0"/>
              <w:jc w:val="center"/>
              <w:rPr>
                <w:rFonts w:hint="eastAsia"/>
                <w:color w:val="000000"/>
                <w:sz w:val="17"/>
                <w:szCs w:val="17"/>
              </w:rPr>
            </w:pPr>
            <w:r>
              <w:rPr>
                <w:rFonts w:hint="eastAsia"/>
                <w:color w:val="000000"/>
                <w:sz w:val="17"/>
                <w:szCs w:val="17"/>
                <w:lang w:val="en-US" w:eastAsia="zh-CN"/>
              </w:rPr>
              <w:t>22</w:t>
            </w:r>
          </w:p>
        </w:tc>
        <w:tc>
          <w:tcPr>
            <w:tcW w:w="664" w:type="pct"/>
            <w:vMerge w:val="continue"/>
            <w:tcBorders>
              <w:tl2br w:val="nil"/>
              <w:tr2bl w:val="nil"/>
            </w:tcBorders>
            <w:vAlign w:val="center"/>
          </w:tcPr>
          <w:p w14:paraId="767BEC4A">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0B24BF3C">
            <w:pPr>
              <w:pStyle w:val="185"/>
              <w:spacing w:line="240" w:lineRule="auto"/>
              <w:ind w:firstLine="0"/>
              <w:jc w:val="center"/>
              <w:rPr>
                <w:rFonts w:hint="eastAsia"/>
                <w:color w:val="000000"/>
                <w:sz w:val="17"/>
                <w:szCs w:val="17"/>
              </w:rPr>
            </w:pPr>
            <w:r>
              <w:rPr>
                <w:rFonts w:hint="eastAsia"/>
                <w:color w:val="000000"/>
                <w:sz w:val="17"/>
                <w:szCs w:val="17"/>
              </w:rPr>
              <w:t>制冷系统中的冷媒管、供回水管、冷凝水管应做保温处理，管道及保温材料均应采用非燃A级或难燃B1级材料，并符合GB 8624的相关要求</w:t>
            </w:r>
          </w:p>
        </w:tc>
        <w:tc>
          <w:tcPr>
            <w:tcW w:w="308" w:type="pct"/>
            <w:tcBorders>
              <w:tl2br w:val="nil"/>
              <w:tr2bl w:val="nil"/>
            </w:tcBorders>
            <w:shd w:val="clear" w:color="auto" w:fill="auto"/>
            <w:noWrap/>
            <w:vAlign w:val="center"/>
          </w:tcPr>
          <w:p w14:paraId="1BC90716">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0A21A9DE">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487E5914">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322C2D48">
            <w:pPr>
              <w:pStyle w:val="185"/>
              <w:spacing w:line="240" w:lineRule="auto"/>
              <w:ind w:firstLine="0"/>
              <w:jc w:val="center"/>
              <w:rPr>
                <w:rFonts w:hint="eastAsia"/>
                <w:color w:val="000000"/>
                <w:sz w:val="17"/>
                <w:szCs w:val="17"/>
              </w:rPr>
            </w:pPr>
          </w:p>
        </w:tc>
      </w:tr>
      <w:tr w14:paraId="74546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08AD2248">
            <w:pPr>
              <w:pStyle w:val="185"/>
              <w:spacing w:line="240" w:lineRule="auto"/>
              <w:ind w:firstLine="0"/>
              <w:jc w:val="center"/>
              <w:rPr>
                <w:rFonts w:hint="eastAsia"/>
                <w:color w:val="000000"/>
                <w:sz w:val="17"/>
                <w:szCs w:val="17"/>
              </w:rPr>
            </w:pPr>
            <w:r>
              <w:rPr>
                <w:rFonts w:hint="eastAsia"/>
                <w:color w:val="000000"/>
                <w:sz w:val="17"/>
                <w:szCs w:val="17"/>
                <w:lang w:val="en-US" w:eastAsia="zh-CN"/>
              </w:rPr>
              <w:t>23</w:t>
            </w:r>
          </w:p>
        </w:tc>
        <w:tc>
          <w:tcPr>
            <w:tcW w:w="664" w:type="pct"/>
            <w:vMerge w:val="continue"/>
            <w:tcBorders>
              <w:tl2br w:val="nil"/>
              <w:tr2bl w:val="nil"/>
            </w:tcBorders>
            <w:vAlign w:val="center"/>
          </w:tcPr>
          <w:p w14:paraId="7508C7E5">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6CE98EAE">
            <w:pPr>
              <w:pStyle w:val="185"/>
              <w:spacing w:line="240" w:lineRule="auto"/>
              <w:ind w:firstLine="0"/>
              <w:jc w:val="center"/>
              <w:rPr>
                <w:rFonts w:hint="eastAsia"/>
                <w:color w:val="000000"/>
                <w:sz w:val="17"/>
                <w:szCs w:val="17"/>
              </w:rPr>
            </w:pPr>
            <w:r>
              <w:rPr>
                <w:rFonts w:hint="eastAsia"/>
                <w:color w:val="000000"/>
                <w:sz w:val="17"/>
                <w:szCs w:val="17"/>
              </w:rPr>
              <w:t>对于水进模块化数据中心，漏水风险点应采用结构防护措施</w:t>
            </w:r>
          </w:p>
        </w:tc>
        <w:tc>
          <w:tcPr>
            <w:tcW w:w="308" w:type="pct"/>
            <w:tcBorders>
              <w:tl2br w:val="nil"/>
              <w:tr2bl w:val="nil"/>
            </w:tcBorders>
            <w:shd w:val="clear" w:color="auto" w:fill="auto"/>
            <w:noWrap/>
            <w:vAlign w:val="center"/>
          </w:tcPr>
          <w:p w14:paraId="57139807">
            <w:pPr>
              <w:pStyle w:val="185"/>
              <w:spacing w:line="240" w:lineRule="auto"/>
              <w:ind w:firstLine="0"/>
              <w:jc w:val="center"/>
              <w:rPr>
                <w:rFonts w:hint="eastAsia"/>
                <w:color w:val="000000"/>
                <w:sz w:val="17"/>
                <w:szCs w:val="17"/>
              </w:rPr>
            </w:pPr>
          </w:p>
        </w:tc>
        <w:tc>
          <w:tcPr>
            <w:tcW w:w="397" w:type="pct"/>
            <w:tcBorders>
              <w:tl2br w:val="nil"/>
              <w:tr2bl w:val="nil"/>
            </w:tcBorders>
            <w:shd w:val="clear" w:color="auto" w:fill="auto"/>
            <w:noWrap/>
            <w:vAlign w:val="center"/>
          </w:tcPr>
          <w:p w14:paraId="25BC3743">
            <w:pPr>
              <w:pStyle w:val="185"/>
              <w:spacing w:line="240" w:lineRule="auto"/>
              <w:ind w:firstLine="0"/>
              <w:jc w:val="center"/>
              <w:rPr>
                <w:rFonts w:hint="eastAsia"/>
                <w:color w:val="000000"/>
                <w:sz w:val="17"/>
                <w:szCs w:val="17"/>
              </w:rPr>
            </w:pPr>
          </w:p>
        </w:tc>
        <w:tc>
          <w:tcPr>
            <w:tcW w:w="418" w:type="pct"/>
            <w:vMerge w:val="continue"/>
            <w:tcBorders>
              <w:tl2br w:val="nil"/>
              <w:tr2bl w:val="nil"/>
            </w:tcBorders>
            <w:vAlign w:val="center"/>
          </w:tcPr>
          <w:p w14:paraId="40A0BC56">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71661584">
            <w:pPr>
              <w:pStyle w:val="185"/>
              <w:spacing w:line="240" w:lineRule="auto"/>
              <w:ind w:firstLine="0"/>
              <w:jc w:val="center"/>
              <w:rPr>
                <w:rFonts w:hint="eastAsia"/>
                <w:color w:val="000000"/>
                <w:sz w:val="17"/>
                <w:szCs w:val="17"/>
              </w:rPr>
            </w:pPr>
          </w:p>
        </w:tc>
      </w:tr>
      <w:tr w14:paraId="3E9A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64F9D936">
            <w:pPr>
              <w:pStyle w:val="185"/>
              <w:spacing w:line="240" w:lineRule="auto"/>
              <w:ind w:firstLine="0"/>
              <w:jc w:val="center"/>
              <w:rPr>
                <w:rFonts w:hint="eastAsia"/>
                <w:color w:val="000000"/>
                <w:sz w:val="17"/>
                <w:szCs w:val="17"/>
              </w:rPr>
            </w:pPr>
            <w:r>
              <w:rPr>
                <w:rFonts w:hint="eastAsia"/>
                <w:color w:val="000000"/>
                <w:sz w:val="17"/>
                <w:szCs w:val="17"/>
                <w:lang w:val="en-US" w:eastAsia="zh-CN"/>
              </w:rPr>
              <w:t>24</w:t>
            </w:r>
          </w:p>
        </w:tc>
        <w:tc>
          <w:tcPr>
            <w:tcW w:w="664" w:type="pct"/>
            <w:vMerge w:val="restart"/>
            <w:tcBorders>
              <w:tl2br w:val="nil"/>
              <w:tr2bl w:val="nil"/>
            </w:tcBorders>
            <w:shd w:val="clear" w:color="auto" w:fill="auto"/>
            <w:vAlign w:val="center"/>
          </w:tcPr>
          <w:p w14:paraId="600ED2BE">
            <w:pPr>
              <w:pStyle w:val="185"/>
              <w:spacing w:line="240" w:lineRule="auto"/>
              <w:ind w:firstLine="0"/>
              <w:jc w:val="center"/>
              <w:rPr>
                <w:rFonts w:hint="eastAsia"/>
                <w:color w:val="000000"/>
                <w:sz w:val="17"/>
                <w:szCs w:val="17"/>
              </w:rPr>
            </w:pPr>
            <w:r>
              <w:rPr>
                <w:rFonts w:hint="eastAsia"/>
                <w:color w:val="000000"/>
                <w:sz w:val="17"/>
                <w:szCs w:val="17"/>
              </w:rPr>
              <w:t>动力环境监控系统要求</w:t>
            </w:r>
          </w:p>
        </w:tc>
        <w:tc>
          <w:tcPr>
            <w:tcW w:w="2560" w:type="pct"/>
            <w:tcBorders>
              <w:tl2br w:val="nil"/>
              <w:tr2bl w:val="nil"/>
            </w:tcBorders>
            <w:shd w:val="clear" w:color="auto" w:fill="auto"/>
          </w:tcPr>
          <w:p w14:paraId="33B7B2F8">
            <w:pPr>
              <w:pStyle w:val="185"/>
              <w:spacing w:line="240" w:lineRule="auto"/>
              <w:ind w:firstLine="0"/>
              <w:jc w:val="center"/>
              <w:rPr>
                <w:rFonts w:hint="eastAsia"/>
                <w:color w:val="000000"/>
                <w:sz w:val="17"/>
                <w:szCs w:val="17"/>
              </w:rPr>
            </w:pPr>
            <w:r>
              <w:rPr>
                <w:rFonts w:hint="eastAsia"/>
                <w:color w:val="000000"/>
                <w:sz w:val="17"/>
                <w:szCs w:val="17"/>
              </w:rPr>
              <w:t>模块化数据中心动力环境监控系统应实时监测模块内环境参数、供配电系统参数、安防信息及消防报警等信息，并可对模块实现联动控制</w:t>
            </w:r>
          </w:p>
        </w:tc>
        <w:tc>
          <w:tcPr>
            <w:tcW w:w="308" w:type="pct"/>
            <w:tcBorders>
              <w:tl2br w:val="nil"/>
              <w:tr2bl w:val="nil"/>
            </w:tcBorders>
            <w:shd w:val="clear" w:color="auto" w:fill="auto"/>
            <w:noWrap/>
            <w:vAlign w:val="center"/>
          </w:tcPr>
          <w:p w14:paraId="295995CF">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6CD4E523">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restart"/>
            <w:tcBorders>
              <w:tl2br w:val="nil"/>
              <w:tr2bl w:val="nil"/>
            </w:tcBorders>
            <w:shd w:val="clear" w:color="auto" w:fill="auto"/>
            <w:vAlign w:val="center"/>
          </w:tcPr>
          <w:p w14:paraId="3E675FBC">
            <w:pPr>
              <w:pStyle w:val="185"/>
              <w:spacing w:line="240" w:lineRule="auto"/>
              <w:ind w:firstLine="0"/>
              <w:jc w:val="center"/>
              <w:rPr>
                <w:rFonts w:hint="eastAsia"/>
                <w:color w:val="000000"/>
                <w:sz w:val="17"/>
                <w:szCs w:val="17"/>
              </w:rPr>
            </w:pPr>
            <w:r>
              <w:rPr>
                <w:rFonts w:hint="eastAsia"/>
                <w:color w:val="000000"/>
                <w:sz w:val="17"/>
                <w:szCs w:val="17"/>
              </w:rPr>
              <w:t>4.1.4</w:t>
            </w:r>
          </w:p>
        </w:tc>
        <w:tc>
          <w:tcPr>
            <w:tcW w:w="356" w:type="pct"/>
            <w:vMerge w:val="restart"/>
            <w:tcBorders>
              <w:tl2br w:val="nil"/>
              <w:tr2bl w:val="nil"/>
            </w:tcBorders>
            <w:shd w:val="clear" w:color="auto" w:fill="auto"/>
            <w:vAlign w:val="center"/>
          </w:tcPr>
          <w:p w14:paraId="1ED0780E">
            <w:pPr>
              <w:pStyle w:val="185"/>
              <w:spacing w:line="240" w:lineRule="auto"/>
              <w:ind w:firstLine="0"/>
              <w:jc w:val="center"/>
              <w:rPr>
                <w:rFonts w:hint="eastAsia"/>
                <w:color w:val="000000"/>
                <w:sz w:val="17"/>
                <w:szCs w:val="17"/>
              </w:rPr>
            </w:pPr>
            <w:r>
              <w:rPr>
                <w:rFonts w:hint="eastAsia"/>
                <w:color w:val="000000"/>
                <w:sz w:val="17"/>
                <w:szCs w:val="17"/>
              </w:rPr>
              <w:t>5.1.4</w:t>
            </w:r>
          </w:p>
        </w:tc>
      </w:tr>
      <w:tr w14:paraId="255C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4635C148">
            <w:pPr>
              <w:pStyle w:val="185"/>
              <w:spacing w:line="240" w:lineRule="auto"/>
              <w:ind w:firstLine="0"/>
              <w:jc w:val="center"/>
              <w:rPr>
                <w:rFonts w:hint="eastAsia"/>
                <w:color w:val="000000"/>
                <w:sz w:val="17"/>
                <w:szCs w:val="17"/>
              </w:rPr>
            </w:pPr>
            <w:r>
              <w:rPr>
                <w:rFonts w:hint="eastAsia"/>
                <w:color w:val="000000"/>
                <w:sz w:val="17"/>
                <w:szCs w:val="17"/>
                <w:lang w:val="en-US" w:eastAsia="zh-CN"/>
              </w:rPr>
              <w:t>25</w:t>
            </w:r>
          </w:p>
        </w:tc>
        <w:tc>
          <w:tcPr>
            <w:tcW w:w="664" w:type="pct"/>
            <w:vMerge w:val="continue"/>
            <w:tcBorders>
              <w:tl2br w:val="nil"/>
              <w:tr2bl w:val="nil"/>
            </w:tcBorders>
            <w:vAlign w:val="center"/>
          </w:tcPr>
          <w:p w14:paraId="1744D30E">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46618924">
            <w:pPr>
              <w:pStyle w:val="185"/>
              <w:spacing w:line="240" w:lineRule="auto"/>
              <w:ind w:firstLine="0"/>
              <w:jc w:val="center"/>
              <w:rPr>
                <w:rFonts w:hint="eastAsia"/>
                <w:color w:val="000000"/>
                <w:sz w:val="17"/>
                <w:szCs w:val="17"/>
              </w:rPr>
            </w:pPr>
            <w:r>
              <w:rPr>
                <w:rFonts w:hint="eastAsia"/>
                <w:color w:val="000000"/>
                <w:sz w:val="17"/>
                <w:szCs w:val="17"/>
              </w:rPr>
              <w:t>应具有身份鉴别和访问控制策略，针对监控的数据，应具有备份和输出功能</w:t>
            </w:r>
          </w:p>
        </w:tc>
        <w:tc>
          <w:tcPr>
            <w:tcW w:w="308" w:type="pct"/>
            <w:tcBorders>
              <w:tl2br w:val="nil"/>
              <w:tr2bl w:val="nil"/>
            </w:tcBorders>
            <w:shd w:val="clear" w:color="auto" w:fill="auto"/>
            <w:noWrap/>
            <w:vAlign w:val="center"/>
          </w:tcPr>
          <w:p w14:paraId="26D707BE">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2250B973">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0DE737D0">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7A54E187">
            <w:pPr>
              <w:pStyle w:val="185"/>
              <w:spacing w:line="240" w:lineRule="auto"/>
              <w:ind w:firstLine="0"/>
              <w:jc w:val="center"/>
              <w:rPr>
                <w:rFonts w:hint="eastAsia"/>
                <w:color w:val="000000"/>
                <w:sz w:val="17"/>
                <w:szCs w:val="17"/>
              </w:rPr>
            </w:pPr>
          </w:p>
        </w:tc>
      </w:tr>
      <w:tr w14:paraId="76E62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7A647DF0">
            <w:pPr>
              <w:pStyle w:val="185"/>
              <w:spacing w:line="240" w:lineRule="auto"/>
              <w:ind w:firstLine="0"/>
              <w:jc w:val="center"/>
              <w:rPr>
                <w:rFonts w:hint="eastAsia"/>
                <w:color w:val="000000"/>
                <w:sz w:val="17"/>
                <w:szCs w:val="17"/>
              </w:rPr>
            </w:pPr>
            <w:r>
              <w:rPr>
                <w:rFonts w:hint="eastAsia"/>
                <w:color w:val="000000"/>
                <w:sz w:val="17"/>
                <w:szCs w:val="17"/>
                <w:lang w:val="en-US" w:eastAsia="zh-CN"/>
              </w:rPr>
              <w:t>26</w:t>
            </w:r>
          </w:p>
        </w:tc>
        <w:tc>
          <w:tcPr>
            <w:tcW w:w="664" w:type="pct"/>
            <w:vMerge w:val="continue"/>
            <w:tcBorders>
              <w:tl2br w:val="nil"/>
              <w:tr2bl w:val="nil"/>
            </w:tcBorders>
            <w:vAlign w:val="center"/>
          </w:tcPr>
          <w:p w14:paraId="7C4061CF">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4CF54BB1">
            <w:pPr>
              <w:pStyle w:val="185"/>
              <w:spacing w:line="240" w:lineRule="auto"/>
              <w:ind w:firstLine="0"/>
              <w:jc w:val="center"/>
              <w:rPr>
                <w:rFonts w:hint="eastAsia"/>
                <w:color w:val="000000"/>
                <w:sz w:val="17"/>
                <w:szCs w:val="17"/>
              </w:rPr>
            </w:pPr>
            <w:r>
              <w:rPr>
                <w:rFonts w:hint="eastAsia"/>
                <w:color w:val="000000"/>
                <w:sz w:val="17"/>
                <w:szCs w:val="17"/>
              </w:rPr>
              <w:t>应具故障报警功能</w:t>
            </w:r>
          </w:p>
        </w:tc>
        <w:tc>
          <w:tcPr>
            <w:tcW w:w="308" w:type="pct"/>
            <w:tcBorders>
              <w:tl2br w:val="nil"/>
              <w:tr2bl w:val="nil"/>
            </w:tcBorders>
            <w:shd w:val="clear" w:color="auto" w:fill="auto"/>
            <w:noWrap/>
            <w:vAlign w:val="center"/>
          </w:tcPr>
          <w:p w14:paraId="7965AB20">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4C62E50F">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08FA42CD">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03E1577E">
            <w:pPr>
              <w:pStyle w:val="185"/>
              <w:spacing w:line="240" w:lineRule="auto"/>
              <w:ind w:firstLine="0"/>
              <w:jc w:val="center"/>
              <w:rPr>
                <w:rFonts w:hint="eastAsia"/>
                <w:color w:val="000000"/>
                <w:sz w:val="17"/>
                <w:szCs w:val="17"/>
              </w:rPr>
            </w:pPr>
          </w:p>
        </w:tc>
      </w:tr>
      <w:tr w14:paraId="240A6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76492AC4">
            <w:pPr>
              <w:pStyle w:val="185"/>
              <w:spacing w:line="240" w:lineRule="auto"/>
              <w:ind w:firstLine="0"/>
              <w:jc w:val="center"/>
              <w:rPr>
                <w:rFonts w:hint="eastAsia"/>
                <w:color w:val="000000"/>
                <w:sz w:val="17"/>
                <w:szCs w:val="17"/>
              </w:rPr>
            </w:pPr>
            <w:r>
              <w:rPr>
                <w:rFonts w:hint="eastAsia"/>
                <w:color w:val="000000"/>
                <w:sz w:val="17"/>
                <w:szCs w:val="17"/>
                <w:lang w:val="en-US" w:eastAsia="zh-CN"/>
              </w:rPr>
              <w:t>27</w:t>
            </w:r>
          </w:p>
        </w:tc>
        <w:tc>
          <w:tcPr>
            <w:tcW w:w="664" w:type="pct"/>
            <w:vMerge w:val="continue"/>
            <w:tcBorders>
              <w:tl2br w:val="nil"/>
              <w:tr2bl w:val="nil"/>
            </w:tcBorders>
            <w:vAlign w:val="center"/>
          </w:tcPr>
          <w:p w14:paraId="6FFA9A36">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7BFAF0F1">
            <w:pPr>
              <w:pStyle w:val="185"/>
              <w:spacing w:line="240" w:lineRule="auto"/>
              <w:ind w:firstLine="0"/>
              <w:jc w:val="center"/>
              <w:rPr>
                <w:rFonts w:hint="eastAsia"/>
                <w:color w:val="000000"/>
                <w:sz w:val="17"/>
                <w:szCs w:val="17"/>
              </w:rPr>
            </w:pPr>
            <w:r>
              <w:rPr>
                <w:rFonts w:hint="eastAsia"/>
                <w:color w:val="000000"/>
                <w:sz w:val="17"/>
                <w:szCs w:val="17"/>
              </w:rPr>
              <w:t>动力环境监控系统应具备显示、记录、统计、控制、分析、管理、提示和报警功能，应具备网络管理接口，采用集散或分布式网络结构</w:t>
            </w:r>
          </w:p>
        </w:tc>
        <w:tc>
          <w:tcPr>
            <w:tcW w:w="308" w:type="pct"/>
            <w:tcBorders>
              <w:tl2br w:val="nil"/>
              <w:tr2bl w:val="nil"/>
            </w:tcBorders>
            <w:shd w:val="clear" w:color="auto" w:fill="auto"/>
            <w:noWrap/>
            <w:vAlign w:val="center"/>
          </w:tcPr>
          <w:p w14:paraId="64FA39F8">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6E8ED900">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7927C324">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05763CE2">
            <w:pPr>
              <w:pStyle w:val="185"/>
              <w:spacing w:line="240" w:lineRule="auto"/>
              <w:ind w:firstLine="0"/>
              <w:jc w:val="center"/>
              <w:rPr>
                <w:rFonts w:hint="eastAsia"/>
                <w:color w:val="000000"/>
                <w:sz w:val="17"/>
                <w:szCs w:val="17"/>
              </w:rPr>
            </w:pPr>
          </w:p>
        </w:tc>
      </w:tr>
      <w:tr w14:paraId="18F7C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3E193867">
            <w:pPr>
              <w:pStyle w:val="185"/>
              <w:spacing w:line="240" w:lineRule="auto"/>
              <w:ind w:firstLine="0"/>
              <w:jc w:val="center"/>
              <w:rPr>
                <w:rFonts w:hint="eastAsia"/>
                <w:color w:val="000000"/>
                <w:sz w:val="17"/>
                <w:szCs w:val="17"/>
              </w:rPr>
            </w:pPr>
            <w:r>
              <w:rPr>
                <w:rFonts w:hint="eastAsia"/>
                <w:color w:val="000000"/>
                <w:sz w:val="17"/>
                <w:szCs w:val="17"/>
                <w:lang w:val="en-US" w:eastAsia="zh-CN"/>
              </w:rPr>
              <w:t>28</w:t>
            </w:r>
          </w:p>
        </w:tc>
        <w:tc>
          <w:tcPr>
            <w:tcW w:w="664" w:type="pct"/>
            <w:vMerge w:val="continue"/>
            <w:tcBorders>
              <w:tl2br w:val="nil"/>
              <w:tr2bl w:val="nil"/>
            </w:tcBorders>
            <w:vAlign w:val="center"/>
          </w:tcPr>
          <w:p w14:paraId="68959484">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4D6F88A2">
            <w:pPr>
              <w:pStyle w:val="185"/>
              <w:spacing w:line="240" w:lineRule="auto"/>
              <w:ind w:firstLine="0"/>
              <w:jc w:val="center"/>
              <w:rPr>
                <w:rFonts w:hint="eastAsia"/>
                <w:color w:val="000000"/>
                <w:sz w:val="17"/>
                <w:szCs w:val="17"/>
              </w:rPr>
            </w:pPr>
            <w:r>
              <w:rPr>
                <w:rFonts w:hint="eastAsia"/>
                <w:color w:val="000000"/>
                <w:sz w:val="17"/>
                <w:szCs w:val="17"/>
              </w:rPr>
              <w:t>模块化数据中心内动力环境监控系统，可不依赖于上级平台，在网络出现中断时应独立提供本设备监控服务</w:t>
            </w:r>
          </w:p>
        </w:tc>
        <w:tc>
          <w:tcPr>
            <w:tcW w:w="308" w:type="pct"/>
            <w:tcBorders>
              <w:tl2br w:val="nil"/>
              <w:tr2bl w:val="nil"/>
            </w:tcBorders>
            <w:shd w:val="clear" w:color="auto" w:fill="auto"/>
            <w:noWrap/>
            <w:vAlign w:val="center"/>
          </w:tcPr>
          <w:p w14:paraId="4AD99248">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7" w:type="pct"/>
            <w:tcBorders>
              <w:tl2br w:val="nil"/>
              <w:tr2bl w:val="nil"/>
            </w:tcBorders>
            <w:shd w:val="clear" w:color="auto" w:fill="auto"/>
            <w:noWrap/>
            <w:vAlign w:val="center"/>
          </w:tcPr>
          <w:p w14:paraId="17CDAF6C">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18" w:type="pct"/>
            <w:vMerge w:val="continue"/>
            <w:tcBorders>
              <w:tl2br w:val="nil"/>
              <w:tr2bl w:val="nil"/>
            </w:tcBorders>
            <w:vAlign w:val="center"/>
          </w:tcPr>
          <w:p w14:paraId="48CF7EDA">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5B424903">
            <w:pPr>
              <w:pStyle w:val="185"/>
              <w:spacing w:line="240" w:lineRule="auto"/>
              <w:ind w:firstLine="0"/>
              <w:jc w:val="center"/>
              <w:rPr>
                <w:rFonts w:hint="eastAsia"/>
                <w:color w:val="000000"/>
                <w:sz w:val="17"/>
                <w:szCs w:val="17"/>
              </w:rPr>
            </w:pPr>
          </w:p>
        </w:tc>
      </w:tr>
      <w:tr w14:paraId="4B0D8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3796E9F9">
            <w:pPr>
              <w:pStyle w:val="185"/>
              <w:spacing w:line="240" w:lineRule="auto"/>
              <w:ind w:firstLine="0"/>
              <w:jc w:val="center"/>
              <w:rPr>
                <w:rFonts w:hint="eastAsia"/>
                <w:color w:val="000000"/>
                <w:sz w:val="17"/>
                <w:szCs w:val="17"/>
              </w:rPr>
            </w:pPr>
            <w:r>
              <w:rPr>
                <w:rFonts w:hint="eastAsia"/>
                <w:color w:val="000000"/>
                <w:sz w:val="17"/>
                <w:szCs w:val="17"/>
                <w:lang w:val="en-US" w:eastAsia="zh-CN"/>
              </w:rPr>
              <w:t>29</w:t>
            </w:r>
          </w:p>
        </w:tc>
        <w:tc>
          <w:tcPr>
            <w:tcW w:w="664" w:type="pct"/>
            <w:vMerge w:val="continue"/>
            <w:tcBorders>
              <w:tl2br w:val="nil"/>
              <w:tr2bl w:val="nil"/>
            </w:tcBorders>
            <w:vAlign w:val="center"/>
          </w:tcPr>
          <w:p w14:paraId="38E42002">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22ACCB83">
            <w:pPr>
              <w:pStyle w:val="185"/>
              <w:spacing w:line="240" w:lineRule="auto"/>
              <w:ind w:firstLine="0"/>
              <w:jc w:val="center"/>
              <w:rPr>
                <w:rFonts w:hint="eastAsia"/>
                <w:color w:val="000000"/>
                <w:sz w:val="17"/>
                <w:szCs w:val="17"/>
              </w:rPr>
            </w:pPr>
            <w:r>
              <w:rPr>
                <w:rFonts w:hint="eastAsia"/>
                <w:color w:val="000000"/>
                <w:sz w:val="17"/>
                <w:szCs w:val="17"/>
              </w:rPr>
              <w:t>动环监控系统所用服务器，其处理器、数据库、操作系统应满足安全可靠测试要求</w:t>
            </w:r>
          </w:p>
        </w:tc>
        <w:tc>
          <w:tcPr>
            <w:tcW w:w="308" w:type="pct"/>
            <w:tcBorders>
              <w:tl2br w:val="nil"/>
              <w:tr2bl w:val="nil"/>
            </w:tcBorders>
            <w:shd w:val="clear" w:color="auto" w:fill="auto"/>
            <w:noWrap/>
            <w:vAlign w:val="center"/>
          </w:tcPr>
          <w:p w14:paraId="5A0831D0">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076BCE82">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4DDE11D0">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5B5E486E">
            <w:pPr>
              <w:pStyle w:val="185"/>
              <w:spacing w:line="240" w:lineRule="auto"/>
              <w:ind w:firstLine="0"/>
              <w:jc w:val="center"/>
              <w:rPr>
                <w:rFonts w:hint="eastAsia"/>
                <w:color w:val="000000"/>
                <w:sz w:val="17"/>
                <w:szCs w:val="17"/>
              </w:rPr>
            </w:pPr>
          </w:p>
        </w:tc>
      </w:tr>
      <w:tr w14:paraId="4E23E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60B6C699">
            <w:pPr>
              <w:pStyle w:val="185"/>
              <w:spacing w:line="240" w:lineRule="auto"/>
              <w:ind w:firstLine="0"/>
              <w:jc w:val="center"/>
              <w:rPr>
                <w:rFonts w:hint="eastAsia"/>
                <w:color w:val="000000"/>
                <w:sz w:val="17"/>
                <w:szCs w:val="17"/>
              </w:rPr>
            </w:pPr>
            <w:r>
              <w:rPr>
                <w:rFonts w:hint="eastAsia"/>
                <w:color w:val="000000"/>
                <w:sz w:val="17"/>
                <w:szCs w:val="17"/>
                <w:lang w:val="en-US" w:eastAsia="zh-CN"/>
              </w:rPr>
              <w:t>30</w:t>
            </w:r>
          </w:p>
        </w:tc>
        <w:tc>
          <w:tcPr>
            <w:tcW w:w="664" w:type="pct"/>
            <w:vMerge w:val="restart"/>
            <w:tcBorders>
              <w:tl2br w:val="nil"/>
              <w:tr2bl w:val="nil"/>
            </w:tcBorders>
            <w:shd w:val="clear" w:color="auto" w:fill="auto"/>
            <w:vAlign w:val="center"/>
          </w:tcPr>
          <w:p w14:paraId="5EEDCB39">
            <w:pPr>
              <w:pStyle w:val="185"/>
              <w:spacing w:line="240" w:lineRule="auto"/>
              <w:ind w:firstLine="0"/>
              <w:jc w:val="center"/>
              <w:rPr>
                <w:rFonts w:hint="eastAsia"/>
                <w:color w:val="000000"/>
                <w:sz w:val="17"/>
                <w:szCs w:val="17"/>
                <w:lang w:val="en-US" w:eastAsia="zh-CN"/>
              </w:rPr>
            </w:pPr>
            <w:r>
              <w:rPr>
                <w:rFonts w:hint="eastAsia"/>
                <w:color w:val="000000"/>
                <w:sz w:val="17"/>
                <w:szCs w:val="17"/>
              </w:rPr>
              <w:t>安全防范系统</w:t>
            </w:r>
            <w:r>
              <w:rPr>
                <w:rFonts w:hint="eastAsia"/>
                <w:color w:val="000000"/>
                <w:sz w:val="17"/>
                <w:szCs w:val="17"/>
                <w:lang w:val="en-US" w:eastAsia="zh-CN"/>
              </w:rPr>
              <w:t>要求</w:t>
            </w:r>
          </w:p>
        </w:tc>
        <w:tc>
          <w:tcPr>
            <w:tcW w:w="2560" w:type="pct"/>
            <w:tcBorders>
              <w:tl2br w:val="nil"/>
              <w:tr2bl w:val="nil"/>
            </w:tcBorders>
            <w:shd w:val="clear" w:color="auto" w:fill="auto"/>
          </w:tcPr>
          <w:p w14:paraId="639A3C45">
            <w:pPr>
              <w:pStyle w:val="185"/>
              <w:spacing w:line="240" w:lineRule="auto"/>
              <w:ind w:firstLine="0"/>
              <w:jc w:val="center"/>
              <w:rPr>
                <w:rFonts w:hint="eastAsia"/>
                <w:color w:val="000000"/>
                <w:sz w:val="17"/>
                <w:szCs w:val="17"/>
              </w:rPr>
            </w:pPr>
            <w:r>
              <w:rPr>
                <w:rFonts w:hint="eastAsia"/>
                <w:color w:val="000000"/>
                <w:sz w:val="17"/>
                <w:szCs w:val="17"/>
              </w:rPr>
              <w:t>出入口控制系统应设置紧急解锁装置</w:t>
            </w:r>
          </w:p>
        </w:tc>
        <w:tc>
          <w:tcPr>
            <w:tcW w:w="308" w:type="pct"/>
            <w:tcBorders>
              <w:tl2br w:val="nil"/>
              <w:tr2bl w:val="nil"/>
            </w:tcBorders>
            <w:shd w:val="clear" w:color="auto" w:fill="auto"/>
            <w:noWrap/>
            <w:vAlign w:val="center"/>
          </w:tcPr>
          <w:p w14:paraId="2F0718DB">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3E5151B7">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50B8B03F">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584E47C3">
            <w:pPr>
              <w:pStyle w:val="185"/>
              <w:spacing w:line="240" w:lineRule="auto"/>
              <w:ind w:firstLine="0"/>
              <w:jc w:val="center"/>
              <w:rPr>
                <w:rFonts w:hint="eastAsia"/>
                <w:color w:val="000000"/>
                <w:sz w:val="17"/>
                <w:szCs w:val="17"/>
              </w:rPr>
            </w:pPr>
          </w:p>
        </w:tc>
      </w:tr>
      <w:tr w14:paraId="0858D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533DF3E3">
            <w:pPr>
              <w:pStyle w:val="185"/>
              <w:spacing w:line="240" w:lineRule="auto"/>
              <w:ind w:firstLine="0"/>
              <w:jc w:val="center"/>
              <w:rPr>
                <w:rFonts w:hint="eastAsia"/>
                <w:color w:val="000000"/>
                <w:sz w:val="17"/>
                <w:szCs w:val="17"/>
              </w:rPr>
            </w:pPr>
            <w:r>
              <w:rPr>
                <w:rFonts w:hint="eastAsia"/>
                <w:color w:val="000000"/>
                <w:sz w:val="17"/>
                <w:szCs w:val="17"/>
                <w:lang w:val="en-US" w:eastAsia="zh-CN"/>
              </w:rPr>
              <w:t>31</w:t>
            </w:r>
          </w:p>
        </w:tc>
        <w:tc>
          <w:tcPr>
            <w:tcW w:w="664" w:type="pct"/>
            <w:vMerge w:val="continue"/>
            <w:tcBorders>
              <w:tl2br w:val="nil"/>
              <w:tr2bl w:val="nil"/>
            </w:tcBorders>
            <w:vAlign w:val="center"/>
          </w:tcPr>
          <w:p w14:paraId="0AC23485">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576578C1">
            <w:pPr>
              <w:pStyle w:val="185"/>
              <w:spacing w:line="240" w:lineRule="auto"/>
              <w:ind w:firstLine="0"/>
              <w:jc w:val="center"/>
              <w:rPr>
                <w:rFonts w:hint="eastAsia"/>
                <w:color w:val="000000"/>
                <w:sz w:val="17"/>
                <w:szCs w:val="17"/>
              </w:rPr>
            </w:pPr>
            <w:r>
              <w:rPr>
                <w:rFonts w:hint="eastAsia"/>
                <w:color w:val="000000"/>
                <w:sz w:val="17"/>
                <w:szCs w:val="17"/>
              </w:rPr>
              <w:t>视频安防监控系统应覆盖重点部位、主要通道，视频存储时间应不少于180天</w:t>
            </w:r>
          </w:p>
        </w:tc>
        <w:tc>
          <w:tcPr>
            <w:tcW w:w="308" w:type="pct"/>
            <w:tcBorders>
              <w:tl2br w:val="nil"/>
              <w:tr2bl w:val="nil"/>
            </w:tcBorders>
            <w:shd w:val="clear" w:color="auto" w:fill="auto"/>
            <w:noWrap/>
            <w:vAlign w:val="center"/>
          </w:tcPr>
          <w:p w14:paraId="6AD664EB">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3DEA7F49">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6821ED5B">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789BB417">
            <w:pPr>
              <w:pStyle w:val="185"/>
              <w:spacing w:line="240" w:lineRule="auto"/>
              <w:ind w:firstLine="0"/>
              <w:jc w:val="center"/>
              <w:rPr>
                <w:rFonts w:hint="eastAsia"/>
                <w:color w:val="000000"/>
                <w:sz w:val="17"/>
                <w:szCs w:val="17"/>
              </w:rPr>
            </w:pPr>
          </w:p>
        </w:tc>
      </w:tr>
      <w:tr w14:paraId="448BA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531ABE79">
            <w:pPr>
              <w:pStyle w:val="185"/>
              <w:spacing w:line="240" w:lineRule="auto"/>
              <w:ind w:firstLine="0"/>
              <w:jc w:val="center"/>
              <w:rPr>
                <w:rFonts w:hint="eastAsia"/>
                <w:color w:val="000000"/>
                <w:sz w:val="17"/>
                <w:szCs w:val="17"/>
              </w:rPr>
            </w:pPr>
            <w:r>
              <w:rPr>
                <w:rFonts w:hint="eastAsia"/>
                <w:color w:val="000000"/>
                <w:sz w:val="17"/>
                <w:szCs w:val="17"/>
                <w:lang w:val="en-US" w:eastAsia="zh-CN"/>
              </w:rPr>
              <w:t>32</w:t>
            </w:r>
          </w:p>
        </w:tc>
        <w:tc>
          <w:tcPr>
            <w:tcW w:w="664" w:type="pct"/>
            <w:vMerge w:val="continue"/>
            <w:tcBorders>
              <w:tl2br w:val="nil"/>
              <w:tr2bl w:val="nil"/>
            </w:tcBorders>
            <w:vAlign w:val="center"/>
          </w:tcPr>
          <w:p w14:paraId="4409FAAE">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4DE2AD11">
            <w:pPr>
              <w:pStyle w:val="185"/>
              <w:spacing w:line="240" w:lineRule="auto"/>
              <w:ind w:firstLine="0"/>
              <w:jc w:val="center"/>
              <w:rPr>
                <w:rFonts w:hint="eastAsia"/>
                <w:color w:val="000000"/>
                <w:sz w:val="17"/>
                <w:szCs w:val="17"/>
              </w:rPr>
            </w:pPr>
            <w:r>
              <w:rPr>
                <w:rFonts w:hint="eastAsia"/>
                <w:color w:val="000000"/>
                <w:sz w:val="17"/>
                <w:szCs w:val="17"/>
              </w:rPr>
              <w:t>安全防范系统应具有与建筑内消防系统联动的接口，消防防范区域内发生火灾时，建筑消防系统联动模块化数据中心的安全防范系统自动释放门禁权限、开启活动天窗</w:t>
            </w:r>
          </w:p>
        </w:tc>
        <w:tc>
          <w:tcPr>
            <w:tcW w:w="308" w:type="pct"/>
            <w:tcBorders>
              <w:tl2br w:val="nil"/>
              <w:tr2bl w:val="nil"/>
            </w:tcBorders>
            <w:shd w:val="clear" w:color="auto" w:fill="auto"/>
            <w:noWrap/>
            <w:vAlign w:val="center"/>
          </w:tcPr>
          <w:p w14:paraId="0C164670">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4D98E152">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7D08EE30">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5AA69AC0">
            <w:pPr>
              <w:pStyle w:val="185"/>
              <w:spacing w:line="240" w:lineRule="auto"/>
              <w:ind w:firstLine="0"/>
              <w:jc w:val="center"/>
              <w:rPr>
                <w:rFonts w:hint="eastAsia"/>
                <w:color w:val="000000"/>
                <w:sz w:val="17"/>
                <w:szCs w:val="17"/>
              </w:rPr>
            </w:pPr>
          </w:p>
        </w:tc>
      </w:tr>
      <w:tr w14:paraId="58C31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3C81FB51">
            <w:pPr>
              <w:pStyle w:val="185"/>
              <w:spacing w:line="240" w:lineRule="auto"/>
              <w:ind w:firstLine="0"/>
              <w:jc w:val="center"/>
              <w:rPr>
                <w:rFonts w:hint="eastAsia"/>
                <w:color w:val="000000"/>
                <w:sz w:val="17"/>
                <w:szCs w:val="17"/>
              </w:rPr>
            </w:pPr>
            <w:r>
              <w:rPr>
                <w:rFonts w:hint="eastAsia"/>
                <w:color w:val="000000"/>
                <w:sz w:val="17"/>
                <w:szCs w:val="17"/>
                <w:lang w:val="en-US" w:eastAsia="zh-CN"/>
              </w:rPr>
              <w:t>33</w:t>
            </w:r>
          </w:p>
        </w:tc>
        <w:tc>
          <w:tcPr>
            <w:tcW w:w="664" w:type="pct"/>
            <w:vMerge w:val="restart"/>
            <w:tcBorders>
              <w:tl2br w:val="nil"/>
              <w:tr2bl w:val="nil"/>
            </w:tcBorders>
            <w:shd w:val="clear" w:color="auto" w:fill="auto"/>
            <w:noWrap/>
            <w:vAlign w:val="center"/>
          </w:tcPr>
          <w:p w14:paraId="619328D1">
            <w:pPr>
              <w:pStyle w:val="185"/>
              <w:spacing w:line="240" w:lineRule="auto"/>
              <w:ind w:firstLine="0"/>
              <w:jc w:val="center"/>
              <w:rPr>
                <w:rFonts w:hint="eastAsia"/>
                <w:color w:val="000000"/>
                <w:sz w:val="17"/>
                <w:szCs w:val="17"/>
                <w:lang w:val="en-US" w:eastAsia="zh-CN"/>
              </w:rPr>
            </w:pPr>
            <w:r>
              <w:rPr>
                <w:rFonts w:hint="eastAsia"/>
                <w:color w:val="000000"/>
                <w:sz w:val="17"/>
                <w:szCs w:val="17"/>
              </w:rPr>
              <w:t>照明系统</w:t>
            </w:r>
            <w:r>
              <w:rPr>
                <w:rFonts w:hint="eastAsia"/>
                <w:color w:val="000000"/>
                <w:sz w:val="17"/>
                <w:szCs w:val="17"/>
                <w:lang w:val="en-US" w:eastAsia="zh-CN"/>
              </w:rPr>
              <w:t>要求</w:t>
            </w:r>
          </w:p>
        </w:tc>
        <w:tc>
          <w:tcPr>
            <w:tcW w:w="2560" w:type="pct"/>
            <w:tcBorders>
              <w:tl2br w:val="nil"/>
              <w:tr2bl w:val="nil"/>
            </w:tcBorders>
            <w:shd w:val="clear" w:color="auto" w:fill="auto"/>
          </w:tcPr>
          <w:p w14:paraId="6591C452">
            <w:pPr>
              <w:pStyle w:val="185"/>
              <w:spacing w:line="240" w:lineRule="auto"/>
              <w:ind w:firstLine="0"/>
              <w:jc w:val="center"/>
              <w:rPr>
                <w:rFonts w:hint="eastAsia"/>
                <w:color w:val="000000"/>
                <w:sz w:val="17"/>
                <w:szCs w:val="17"/>
              </w:rPr>
            </w:pPr>
            <w:r>
              <w:rPr>
                <w:rFonts w:hint="eastAsia"/>
                <w:color w:val="000000"/>
                <w:sz w:val="17"/>
                <w:szCs w:val="17"/>
              </w:rPr>
              <w:t>模块化数据中心照明灯具应符合GB 7000.1的I类灯具的要求</w:t>
            </w:r>
          </w:p>
        </w:tc>
        <w:tc>
          <w:tcPr>
            <w:tcW w:w="308" w:type="pct"/>
            <w:tcBorders>
              <w:tl2br w:val="nil"/>
              <w:tr2bl w:val="nil"/>
            </w:tcBorders>
            <w:shd w:val="clear" w:color="auto" w:fill="auto"/>
            <w:noWrap/>
            <w:vAlign w:val="center"/>
          </w:tcPr>
          <w:p w14:paraId="24257B4C">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4CF7CF9A">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restart"/>
            <w:tcBorders>
              <w:tl2br w:val="nil"/>
              <w:tr2bl w:val="nil"/>
            </w:tcBorders>
            <w:shd w:val="clear" w:color="auto" w:fill="auto"/>
            <w:noWrap/>
            <w:vAlign w:val="center"/>
          </w:tcPr>
          <w:p w14:paraId="59E41B3D">
            <w:pPr>
              <w:pStyle w:val="185"/>
              <w:spacing w:line="240" w:lineRule="auto"/>
              <w:ind w:firstLine="0"/>
              <w:jc w:val="center"/>
              <w:rPr>
                <w:rFonts w:hint="eastAsia"/>
                <w:color w:val="000000"/>
                <w:sz w:val="17"/>
                <w:szCs w:val="17"/>
              </w:rPr>
            </w:pPr>
            <w:r>
              <w:rPr>
                <w:rFonts w:hint="eastAsia"/>
                <w:color w:val="000000"/>
                <w:sz w:val="17"/>
                <w:szCs w:val="17"/>
              </w:rPr>
              <w:t>4.1.5</w:t>
            </w:r>
          </w:p>
        </w:tc>
        <w:tc>
          <w:tcPr>
            <w:tcW w:w="356" w:type="pct"/>
            <w:vMerge w:val="restart"/>
            <w:tcBorders>
              <w:tl2br w:val="nil"/>
              <w:tr2bl w:val="nil"/>
            </w:tcBorders>
            <w:shd w:val="clear" w:color="auto" w:fill="auto"/>
            <w:noWrap/>
            <w:vAlign w:val="center"/>
          </w:tcPr>
          <w:p w14:paraId="1EF5DA44">
            <w:pPr>
              <w:pStyle w:val="185"/>
              <w:spacing w:line="240" w:lineRule="auto"/>
              <w:ind w:firstLine="0"/>
              <w:jc w:val="center"/>
              <w:rPr>
                <w:rFonts w:hint="eastAsia"/>
                <w:color w:val="000000"/>
                <w:sz w:val="17"/>
                <w:szCs w:val="17"/>
              </w:rPr>
            </w:pPr>
            <w:r>
              <w:rPr>
                <w:rFonts w:hint="eastAsia"/>
                <w:color w:val="000000"/>
                <w:sz w:val="17"/>
                <w:szCs w:val="17"/>
              </w:rPr>
              <w:t>5.1.5</w:t>
            </w:r>
          </w:p>
        </w:tc>
      </w:tr>
      <w:tr w14:paraId="448B4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4EDAB885">
            <w:pPr>
              <w:pStyle w:val="185"/>
              <w:spacing w:line="240" w:lineRule="auto"/>
              <w:ind w:firstLine="0"/>
              <w:jc w:val="center"/>
              <w:rPr>
                <w:rFonts w:hint="eastAsia"/>
                <w:color w:val="000000"/>
                <w:sz w:val="17"/>
                <w:szCs w:val="17"/>
              </w:rPr>
            </w:pPr>
            <w:r>
              <w:rPr>
                <w:rFonts w:hint="eastAsia"/>
                <w:color w:val="000000"/>
                <w:sz w:val="17"/>
                <w:szCs w:val="17"/>
                <w:lang w:val="en-US" w:eastAsia="zh-CN"/>
              </w:rPr>
              <w:t>34</w:t>
            </w:r>
          </w:p>
        </w:tc>
        <w:tc>
          <w:tcPr>
            <w:tcW w:w="664" w:type="pct"/>
            <w:vMerge w:val="continue"/>
            <w:tcBorders>
              <w:tl2br w:val="nil"/>
              <w:tr2bl w:val="nil"/>
            </w:tcBorders>
            <w:vAlign w:val="center"/>
          </w:tcPr>
          <w:p w14:paraId="37E5B07E">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01B09404">
            <w:pPr>
              <w:pStyle w:val="185"/>
              <w:spacing w:line="240" w:lineRule="auto"/>
              <w:ind w:firstLine="0"/>
              <w:jc w:val="center"/>
              <w:rPr>
                <w:rFonts w:hint="eastAsia"/>
                <w:color w:val="000000"/>
                <w:sz w:val="17"/>
                <w:szCs w:val="17"/>
              </w:rPr>
            </w:pPr>
            <w:r>
              <w:rPr>
                <w:rFonts w:hint="eastAsia"/>
                <w:color w:val="000000"/>
                <w:sz w:val="17"/>
                <w:szCs w:val="17"/>
              </w:rPr>
              <w:t>模块化数据中心内部正常照明照度应按GB 55015的相关要求，无人工作时照度应满足视频监控系统要求</w:t>
            </w:r>
          </w:p>
        </w:tc>
        <w:tc>
          <w:tcPr>
            <w:tcW w:w="308" w:type="pct"/>
            <w:tcBorders>
              <w:tl2br w:val="nil"/>
              <w:tr2bl w:val="nil"/>
            </w:tcBorders>
            <w:shd w:val="clear" w:color="auto" w:fill="auto"/>
            <w:noWrap/>
            <w:vAlign w:val="center"/>
          </w:tcPr>
          <w:p w14:paraId="6E2B0071">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02BCE897">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continue"/>
            <w:tcBorders>
              <w:tl2br w:val="nil"/>
              <w:tr2bl w:val="nil"/>
            </w:tcBorders>
            <w:vAlign w:val="center"/>
          </w:tcPr>
          <w:p w14:paraId="2433A4E0">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6C48EBCF">
            <w:pPr>
              <w:pStyle w:val="185"/>
              <w:spacing w:line="240" w:lineRule="auto"/>
              <w:ind w:firstLine="0"/>
              <w:jc w:val="center"/>
              <w:rPr>
                <w:rFonts w:hint="eastAsia"/>
                <w:color w:val="000000"/>
                <w:sz w:val="17"/>
                <w:szCs w:val="17"/>
              </w:rPr>
            </w:pPr>
          </w:p>
        </w:tc>
      </w:tr>
      <w:tr w14:paraId="0B0F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95" w:type="pct"/>
            <w:tcBorders>
              <w:tl2br w:val="nil"/>
              <w:tr2bl w:val="nil"/>
            </w:tcBorders>
            <w:shd w:val="clear" w:color="auto" w:fill="auto"/>
            <w:vAlign w:val="center"/>
          </w:tcPr>
          <w:p w14:paraId="2ECEE0D3">
            <w:pPr>
              <w:pStyle w:val="185"/>
              <w:spacing w:line="240" w:lineRule="auto"/>
              <w:ind w:firstLine="0"/>
              <w:jc w:val="center"/>
              <w:rPr>
                <w:rFonts w:hint="eastAsia"/>
                <w:color w:val="000000"/>
                <w:sz w:val="17"/>
                <w:szCs w:val="17"/>
              </w:rPr>
            </w:pPr>
            <w:r>
              <w:rPr>
                <w:rFonts w:hint="eastAsia"/>
                <w:color w:val="000000"/>
                <w:sz w:val="17"/>
                <w:szCs w:val="17"/>
                <w:lang w:val="en-US" w:eastAsia="zh-CN"/>
              </w:rPr>
              <w:t>35</w:t>
            </w:r>
          </w:p>
        </w:tc>
        <w:tc>
          <w:tcPr>
            <w:tcW w:w="664" w:type="pct"/>
            <w:vMerge w:val="continue"/>
            <w:tcBorders>
              <w:tl2br w:val="nil"/>
              <w:tr2bl w:val="nil"/>
            </w:tcBorders>
            <w:vAlign w:val="center"/>
          </w:tcPr>
          <w:p w14:paraId="5193C755">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2D52E910">
            <w:pPr>
              <w:pStyle w:val="185"/>
              <w:spacing w:line="240" w:lineRule="auto"/>
              <w:ind w:firstLine="0"/>
              <w:jc w:val="center"/>
              <w:rPr>
                <w:rFonts w:hint="eastAsia"/>
                <w:color w:val="000000"/>
                <w:sz w:val="17"/>
                <w:szCs w:val="17"/>
              </w:rPr>
            </w:pPr>
            <w:r>
              <w:rPr>
                <w:rFonts w:hint="eastAsia"/>
                <w:color w:val="000000"/>
                <w:sz w:val="17"/>
                <w:szCs w:val="17"/>
              </w:rPr>
              <w:t>照明灯具的能效水平应高于能效限定值或能效等级3级的要求</w:t>
            </w:r>
          </w:p>
        </w:tc>
        <w:tc>
          <w:tcPr>
            <w:tcW w:w="308" w:type="pct"/>
            <w:tcBorders>
              <w:tl2br w:val="nil"/>
              <w:tr2bl w:val="nil"/>
            </w:tcBorders>
            <w:shd w:val="clear" w:color="auto" w:fill="auto"/>
            <w:noWrap/>
            <w:vAlign w:val="center"/>
          </w:tcPr>
          <w:p w14:paraId="60C3D4D7">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7" w:type="pct"/>
            <w:tcBorders>
              <w:tl2br w:val="nil"/>
              <w:tr2bl w:val="nil"/>
            </w:tcBorders>
            <w:shd w:val="clear" w:color="auto" w:fill="auto"/>
            <w:noWrap/>
            <w:vAlign w:val="center"/>
          </w:tcPr>
          <w:p w14:paraId="53C927A0">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18" w:type="pct"/>
            <w:vMerge w:val="continue"/>
            <w:tcBorders>
              <w:tl2br w:val="nil"/>
              <w:tr2bl w:val="nil"/>
            </w:tcBorders>
            <w:vAlign w:val="center"/>
          </w:tcPr>
          <w:p w14:paraId="67021810">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56621014">
            <w:pPr>
              <w:pStyle w:val="185"/>
              <w:spacing w:line="240" w:lineRule="auto"/>
              <w:ind w:firstLine="0"/>
              <w:jc w:val="center"/>
              <w:rPr>
                <w:rFonts w:hint="eastAsia"/>
                <w:color w:val="000000"/>
                <w:sz w:val="17"/>
                <w:szCs w:val="17"/>
              </w:rPr>
            </w:pPr>
          </w:p>
        </w:tc>
      </w:tr>
      <w:tr w14:paraId="58B7F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72DA2259">
            <w:pPr>
              <w:pStyle w:val="185"/>
              <w:spacing w:line="240" w:lineRule="auto"/>
              <w:ind w:firstLine="0"/>
              <w:jc w:val="center"/>
              <w:rPr>
                <w:rFonts w:hint="eastAsia"/>
                <w:color w:val="000000"/>
                <w:sz w:val="17"/>
                <w:szCs w:val="17"/>
              </w:rPr>
            </w:pPr>
            <w:r>
              <w:rPr>
                <w:rFonts w:hint="eastAsia"/>
                <w:color w:val="000000"/>
                <w:sz w:val="17"/>
                <w:szCs w:val="17"/>
                <w:lang w:val="en-US" w:eastAsia="zh-CN"/>
              </w:rPr>
              <w:t>36</w:t>
            </w:r>
          </w:p>
        </w:tc>
        <w:tc>
          <w:tcPr>
            <w:tcW w:w="664" w:type="pct"/>
            <w:vMerge w:val="restart"/>
            <w:tcBorders>
              <w:tl2br w:val="nil"/>
              <w:tr2bl w:val="nil"/>
            </w:tcBorders>
            <w:shd w:val="clear" w:color="auto" w:fill="auto"/>
            <w:vAlign w:val="center"/>
          </w:tcPr>
          <w:p w14:paraId="3564ABF7">
            <w:pPr>
              <w:pStyle w:val="185"/>
              <w:spacing w:line="240" w:lineRule="auto"/>
              <w:ind w:firstLine="0"/>
              <w:jc w:val="center"/>
              <w:rPr>
                <w:rFonts w:hint="eastAsia"/>
                <w:color w:val="000000"/>
                <w:sz w:val="17"/>
                <w:szCs w:val="17"/>
                <w:lang w:val="en-US" w:eastAsia="zh-CN"/>
              </w:rPr>
            </w:pPr>
            <w:r>
              <w:rPr>
                <w:rFonts w:hint="eastAsia"/>
                <w:color w:val="000000"/>
                <w:sz w:val="17"/>
                <w:szCs w:val="17"/>
              </w:rPr>
              <w:t>防雷与接地系统</w:t>
            </w:r>
            <w:r>
              <w:rPr>
                <w:rFonts w:hint="eastAsia"/>
                <w:color w:val="000000"/>
                <w:sz w:val="17"/>
                <w:szCs w:val="17"/>
                <w:lang w:val="en-US" w:eastAsia="zh-CN"/>
              </w:rPr>
              <w:t>要求</w:t>
            </w:r>
          </w:p>
        </w:tc>
        <w:tc>
          <w:tcPr>
            <w:tcW w:w="2560" w:type="pct"/>
            <w:tcBorders>
              <w:tl2br w:val="nil"/>
              <w:tr2bl w:val="nil"/>
            </w:tcBorders>
            <w:shd w:val="clear" w:color="auto" w:fill="auto"/>
          </w:tcPr>
          <w:p w14:paraId="7225F17A">
            <w:pPr>
              <w:pStyle w:val="185"/>
              <w:spacing w:line="240" w:lineRule="auto"/>
              <w:ind w:firstLine="0"/>
              <w:jc w:val="center"/>
              <w:rPr>
                <w:rFonts w:hint="eastAsia"/>
                <w:color w:val="000000"/>
                <w:sz w:val="17"/>
                <w:szCs w:val="17"/>
              </w:rPr>
            </w:pPr>
            <w:r>
              <w:rPr>
                <w:rFonts w:hint="eastAsia"/>
                <w:color w:val="000000"/>
                <w:sz w:val="17"/>
                <w:szCs w:val="17"/>
              </w:rPr>
              <w:t>模块化数据中心内所有设备的金属外壳、各类金属管道、金属线槽、建筑物金属结构应进行等电位联结并接地</w:t>
            </w:r>
          </w:p>
        </w:tc>
        <w:tc>
          <w:tcPr>
            <w:tcW w:w="308" w:type="pct"/>
            <w:tcBorders>
              <w:tl2br w:val="nil"/>
              <w:tr2bl w:val="nil"/>
            </w:tcBorders>
            <w:shd w:val="clear" w:color="auto" w:fill="auto"/>
            <w:noWrap/>
            <w:vAlign w:val="center"/>
          </w:tcPr>
          <w:p w14:paraId="34ADD1DA">
            <w:pPr>
              <w:pStyle w:val="185"/>
              <w:spacing w:line="240" w:lineRule="auto"/>
              <w:ind w:firstLine="0"/>
              <w:jc w:val="center"/>
              <w:rPr>
                <w:rFonts w:hint="eastAsia"/>
                <w:color w:val="000000"/>
                <w:sz w:val="17"/>
                <w:szCs w:val="17"/>
              </w:rPr>
            </w:pPr>
            <w:r>
              <w:rPr>
                <w:rFonts w:hint="eastAsia"/>
                <w:color w:val="000000"/>
                <w:sz w:val="17"/>
                <w:szCs w:val="17"/>
              </w:rPr>
              <w:t>　</w:t>
            </w:r>
          </w:p>
        </w:tc>
        <w:tc>
          <w:tcPr>
            <w:tcW w:w="397" w:type="pct"/>
            <w:tcBorders>
              <w:tl2br w:val="nil"/>
              <w:tr2bl w:val="nil"/>
            </w:tcBorders>
            <w:shd w:val="clear" w:color="auto" w:fill="auto"/>
            <w:noWrap/>
            <w:vAlign w:val="center"/>
          </w:tcPr>
          <w:p w14:paraId="0B586DD8">
            <w:pPr>
              <w:pStyle w:val="185"/>
              <w:spacing w:line="240" w:lineRule="auto"/>
              <w:ind w:firstLine="0"/>
              <w:jc w:val="center"/>
              <w:rPr>
                <w:rFonts w:hint="eastAsia"/>
                <w:color w:val="000000"/>
                <w:sz w:val="17"/>
                <w:szCs w:val="17"/>
              </w:rPr>
            </w:pPr>
            <w:r>
              <w:rPr>
                <w:rFonts w:hint="eastAsia"/>
                <w:color w:val="000000"/>
                <w:sz w:val="17"/>
                <w:szCs w:val="17"/>
              </w:rPr>
              <w:t>　</w:t>
            </w:r>
          </w:p>
        </w:tc>
        <w:tc>
          <w:tcPr>
            <w:tcW w:w="418" w:type="pct"/>
            <w:vMerge w:val="restart"/>
            <w:tcBorders>
              <w:tl2br w:val="nil"/>
              <w:tr2bl w:val="nil"/>
            </w:tcBorders>
            <w:shd w:val="clear" w:color="auto" w:fill="auto"/>
            <w:vAlign w:val="center"/>
          </w:tcPr>
          <w:p w14:paraId="5A7A9C2F">
            <w:pPr>
              <w:pStyle w:val="185"/>
              <w:spacing w:line="240" w:lineRule="auto"/>
              <w:ind w:firstLine="0"/>
              <w:jc w:val="center"/>
              <w:rPr>
                <w:rFonts w:hint="eastAsia"/>
                <w:color w:val="000000"/>
                <w:sz w:val="17"/>
                <w:szCs w:val="17"/>
              </w:rPr>
            </w:pPr>
            <w:r>
              <w:rPr>
                <w:rFonts w:hint="eastAsia"/>
                <w:color w:val="000000"/>
                <w:sz w:val="17"/>
                <w:szCs w:val="17"/>
              </w:rPr>
              <w:t>4.1.6</w:t>
            </w:r>
          </w:p>
        </w:tc>
        <w:tc>
          <w:tcPr>
            <w:tcW w:w="356" w:type="pct"/>
            <w:vMerge w:val="restart"/>
            <w:tcBorders>
              <w:tl2br w:val="nil"/>
              <w:tr2bl w:val="nil"/>
            </w:tcBorders>
            <w:shd w:val="clear" w:color="auto" w:fill="auto"/>
            <w:vAlign w:val="center"/>
          </w:tcPr>
          <w:p w14:paraId="2CC69111">
            <w:pPr>
              <w:pStyle w:val="185"/>
              <w:spacing w:line="240" w:lineRule="auto"/>
              <w:ind w:firstLine="0"/>
              <w:jc w:val="center"/>
              <w:rPr>
                <w:rFonts w:hint="eastAsia"/>
                <w:color w:val="000000"/>
                <w:sz w:val="17"/>
                <w:szCs w:val="17"/>
              </w:rPr>
            </w:pPr>
            <w:r>
              <w:rPr>
                <w:rFonts w:hint="eastAsia"/>
                <w:color w:val="000000"/>
                <w:sz w:val="17"/>
                <w:szCs w:val="17"/>
              </w:rPr>
              <w:t>5.1.6</w:t>
            </w:r>
          </w:p>
        </w:tc>
      </w:tr>
      <w:tr w14:paraId="3C639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23DBEA62">
            <w:pPr>
              <w:pStyle w:val="185"/>
              <w:spacing w:line="240" w:lineRule="auto"/>
              <w:ind w:firstLine="0"/>
              <w:jc w:val="center"/>
              <w:rPr>
                <w:rFonts w:hint="eastAsia"/>
                <w:color w:val="000000"/>
                <w:sz w:val="17"/>
                <w:szCs w:val="17"/>
              </w:rPr>
            </w:pPr>
            <w:r>
              <w:rPr>
                <w:rFonts w:hint="eastAsia"/>
                <w:color w:val="000000"/>
                <w:sz w:val="17"/>
                <w:szCs w:val="17"/>
                <w:lang w:val="en-US" w:eastAsia="zh-CN"/>
              </w:rPr>
              <w:t>37</w:t>
            </w:r>
          </w:p>
        </w:tc>
        <w:tc>
          <w:tcPr>
            <w:tcW w:w="664" w:type="pct"/>
            <w:vMerge w:val="continue"/>
            <w:tcBorders>
              <w:tl2br w:val="nil"/>
              <w:tr2bl w:val="nil"/>
            </w:tcBorders>
            <w:shd w:val="clear" w:color="auto" w:fill="auto"/>
            <w:vAlign w:val="center"/>
          </w:tcPr>
          <w:p w14:paraId="46BB8093">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2240727A">
            <w:pPr>
              <w:pStyle w:val="185"/>
              <w:spacing w:line="240" w:lineRule="auto"/>
              <w:ind w:firstLine="0"/>
              <w:jc w:val="center"/>
              <w:rPr>
                <w:rFonts w:hint="eastAsia"/>
                <w:color w:val="000000"/>
                <w:sz w:val="17"/>
                <w:szCs w:val="17"/>
              </w:rPr>
            </w:pPr>
            <w:r>
              <w:rPr>
                <w:rFonts w:hint="eastAsia"/>
                <w:color w:val="000000"/>
                <w:sz w:val="17"/>
                <w:szCs w:val="17"/>
              </w:rPr>
              <w:t>模块化数据中心产品内应有可靠的接地措施，所有设备接地均汇于接地铜排，应通过接地端子至少两处与外部接地预留点连接</w:t>
            </w:r>
          </w:p>
        </w:tc>
        <w:tc>
          <w:tcPr>
            <w:tcW w:w="308" w:type="pct"/>
            <w:tcBorders>
              <w:tl2br w:val="nil"/>
              <w:tr2bl w:val="nil"/>
            </w:tcBorders>
            <w:shd w:val="clear" w:color="auto" w:fill="auto"/>
            <w:noWrap/>
            <w:vAlign w:val="center"/>
          </w:tcPr>
          <w:p w14:paraId="1D747B74">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7" w:type="pct"/>
            <w:tcBorders>
              <w:tl2br w:val="nil"/>
              <w:tr2bl w:val="nil"/>
            </w:tcBorders>
            <w:shd w:val="clear" w:color="auto" w:fill="auto"/>
            <w:noWrap/>
            <w:vAlign w:val="center"/>
          </w:tcPr>
          <w:p w14:paraId="18B0CF69">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18" w:type="pct"/>
            <w:vMerge w:val="continue"/>
            <w:tcBorders>
              <w:tl2br w:val="nil"/>
              <w:tr2bl w:val="nil"/>
            </w:tcBorders>
            <w:shd w:val="clear" w:color="auto" w:fill="auto"/>
            <w:vAlign w:val="center"/>
          </w:tcPr>
          <w:p w14:paraId="5211A072">
            <w:pPr>
              <w:pStyle w:val="185"/>
              <w:spacing w:line="240" w:lineRule="auto"/>
              <w:ind w:firstLine="0"/>
              <w:jc w:val="center"/>
              <w:rPr>
                <w:rFonts w:hint="eastAsia"/>
                <w:color w:val="000000"/>
                <w:sz w:val="17"/>
                <w:szCs w:val="17"/>
              </w:rPr>
            </w:pPr>
          </w:p>
        </w:tc>
        <w:tc>
          <w:tcPr>
            <w:tcW w:w="356" w:type="pct"/>
            <w:vMerge w:val="continue"/>
            <w:tcBorders>
              <w:tl2br w:val="nil"/>
              <w:tr2bl w:val="nil"/>
            </w:tcBorders>
            <w:shd w:val="clear" w:color="auto" w:fill="auto"/>
            <w:vAlign w:val="center"/>
          </w:tcPr>
          <w:p w14:paraId="09452330">
            <w:pPr>
              <w:pStyle w:val="185"/>
              <w:spacing w:line="240" w:lineRule="auto"/>
              <w:ind w:firstLine="0"/>
              <w:jc w:val="center"/>
              <w:rPr>
                <w:rFonts w:hint="eastAsia"/>
                <w:color w:val="000000"/>
                <w:sz w:val="17"/>
                <w:szCs w:val="17"/>
              </w:rPr>
            </w:pPr>
          </w:p>
        </w:tc>
      </w:tr>
      <w:tr w14:paraId="09D2D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54F98AD3">
            <w:pPr>
              <w:pStyle w:val="185"/>
              <w:spacing w:line="240" w:lineRule="auto"/>
              <w:ind w:firstLine="0"/>
              <w:jc w:val="center"/>
              <w:rPr>
                <w:rFonts w:hint="eastAsia"/>
                <w:color w:val="000000"/>
                <w:sz w:val="17"/>
                <w:szCs w:val="17"/>
              </w:rPr>
            </w:pPr>
            <w:r>
              <w:rPr>
                <w:rFonts w:hint="eastAsia"/>
                <w:color w:val="000000"/>
                <w:sz w:val="17"/>
                <w:szCs w:val="17"/>
                <w:lang w:val="en-US" w:eastAsia="zh-CN"/>
              </w:rPr>
              <w:t>38</w:t>
            </w:r>
          </w:p>
        </w:tc>
        <w:tc>
          <w:tcPr>
            <w:tcW w:w="664" w:type="pct"/>
            <w:vMerge w:val="continue"/>
            <w:tcBorders>
              <w:tl2br w:val="nil"/>
              <w:tr2bl w:val="nil"/>
            </w:tcBorders>
            <w:shd w:val="clear" w:color="auto" w:fill="auto"/>
            <w:vAlign w:val="center"/>
          </w:tcPr>
          <w:p w14:paraId="044FA5CF">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tcPr>
          <w:p w14:paraId="7E98B1EA">
            <w:pPr>
              <w:pStyle w:val="185"/>
              <w:spacing w:line="240" w:lineRule="auto"/>
              <w:ind w:firstLine="0"/>
              <w:jc w:val="center"/>
              <w:rPr>
                <w:rFonts w:hint="eastAsia"/>
                <w:color w:val="000000"/>
                <w:sz w:val="17"/>
                <w:szCs w:val="17"/>
              </w:rPr>
            </w:pPr>
            <w:r>
              <w:rPr>
                <w:rFonts w:hint="eastAsia"/>
                <w:color w:val="000000"/>
                <w:sz w:val="17"/>
                <w:szCs w:val="17"/>
              </w:rPr>
              <w:t>等电位联结带、接地线和等电位联结导体的材料和最小截面积应符合GB 50174的规定</w:t>
            </w:r>
          </w:p>
        </w:tc>
        <w:tc>
          <w:tcPr>
            <w:tcW w:w="308" w:type="pct"/>
            <w:tcBorders>
              <w:tl2br w:val="nil"/>
              <w:tr2bl w:val="nil"/>
            </w:tcBorders>
            <w:shd w:val="clear" w:color="auto" w:fill="auto"/>
            <w:noWrap/>
            <w:vAlign w:val="center"/>
          </w:tcPr>
          <w:p w14:paraId="42EE554B">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7" w:type="pct"/>
            <w:tcBorders>
              <w:tl2br w:val="nil"/>
              <w:tr2bl w:val="nil"/>
            </w:tcBorders>
            <w:shd w:val="clear" w:color="auto" w:fill="auto"/>
            <w:noWrap/>
            <w:vAlign w:val="center"/>
          </w:tcPr>
          <w:p w14:paraId="4C4AFEAE">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18" w:type="pct"/>
            <w:vMerge w:val="continue"/>
            <w:tcBorders>
              <w:tl2br w:val="nil"/>
              <w:tr2bl w:val="nil"/>
            </w:tcBorders>
            <w:shd w:val="clear" w:color="auto" w:fill="auto"/>
            <w:vAlign w:val="center"/>
          </w:tcPr>
          <w:p w14:paraId="74192A48">
            <w:pPr>
              <w:pStyle w:val="185"/>
              <w:spacing w:line="240" w:lineRule="auto"/>
              <w:ind w:firstLine="0"/>
              <w:jc w:val="center"/>
              <w:rPr>
                <w:rFonts w:hint="eastAsia"/>
                <w:color w:val="000000"/>
                <w:sz w:val="17"/>
                <w:szCs w:val="17"/>
              </w:rPr>
            </w:pPr>
          </w:p>
        </w:tc>
        <w:tc>
          <w:tcPr>
            <w:tcW w:w="356" w:type="pct"/>
            <w:vMerge w:val="continue"/>
            <w:tcBorders>
              <w:tl2br w:val="nil"/>
              <w:tr2bl w:val="nil"/>
            </w:tcBorders>
            <w:shd w:val="clear" w:color="auto" w:fill="auto"/>
            <w:vAlign w:val="center"/>
          </w:tcPr>
          <w:p w14:paraId="0477FA88">
            <w:pPr>
              <w:pStyle w:val="185"/>
              <w:spacing w:line="240" w:lineRule="auto"/>
              <w:ind w:firstLine="0"/>
              <w:jc w:val="center"/>
              <w:rPr>
                <w:rFonts w:hint="eastAsia"/>
                <w:color w:val="000000"/>
                <w:sz w:val="17"/>
                <w:szCs w:val="17"/>
              </w:rPr>
            </w:pPr>
          </w:p>
        </w:tc>
      </w:tr>
      <w:tr w14:paraId="6D6F7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78669AFF">
            <w:pPr>
              <w:pStyle w:val="185"/>
              <w:spacing w:line="240" w:lineRule="auto"/>
              <w:ind w:firstLine="0"/>
              <w:jc w:val="center"/>
              <w:rPr>
                <w:rFonts w:hint="eastAsia"/>
                <w:color w:val="000000"/>
                <w:sz w:val="17"/>
                <w:szCs w:val="17"/>
              </w:rPr>
            </w:pPr>
            <w:r>
              <w:rPr>
                <w:rFonts w:hint="eastAsia"/>
                <w:color w:val="000000"/>
                <w:sz w:val="17"/>
                <w:szCs w:val="17"/>
                <w:lang w:val="en-US" w:eastAsia="zh-CN"/>
              </w:rPr>
              <w:t>39</w:t>
            </w:r>
          </w:p>
        </w:tc>
        <w:tc>
          <w:tcPr>
            <w:tcW w:w="664" w:type="pct"/>
            <w:tcBorders>
              <w:tl2br w:val="nil"/>
              <w:tr2bl w:val="nil"/>
            </w:tcBorders>
            <w:shd w:val="clear" w:color="auto" w:fill="auto"/>
            <w:vAlign w:val="center"/>
          </w:tcPr>
          <w:p w14:paraId="13553308">
            <w:pPr>
              <w:pStyle w:val="185"/>
              <w:spacing w:line="240" w:lineRule="auto"/>
              <w:ind w:firstLine="0"/>
              <w:jc w:val="center"/>
              <w:rPr>
                <w:rFonts w:hint="eastAsia"/>
                <w:color w:val="000000"/>
                <w:sz w:val="17"/>
                <w:szCs w:val="17"/>
              </w:rPr>
            </w:pPr>
            <w:r>
              <w:rPr>
                <w:rFonts w:hint="eastAsia"/>
                <w:color w:val="000000"/>
                <w:sz w:val="17"/>
                <w:szCs w:val="17"/>
                <w:lang w:val="en-US" w:eastAsia="zh-CN"/>
              </w:rPr>
              <w:t>产品</w:t>
            </w:r>
            <w:r>
              <w:rPr>
                <w:rFonts w:hint="eastAsia"/>
                <w:color w:val="000000"/>
                <w:sz w:val="17"/>
                <w:szCs w:val="17"/>
              </w:rPr>
              <w:t>能效要求</w:t>
            </w:r>
          </w:p>
        </w:tc>
        <w:tc>
          <w:tcPr>
            <w:tcW w:w="2560" w:type="pct"/>
            <w:tcBorders>
              <w:tl2br w:val="nil"/>
              <w:tr2bl w:val="nil"/>
            </w:tcBorders>
            <w:shd w:val="clear" w:color="auto" w:fill="auto"/>
            <w:vAlign w:val="center"/>
          </w:tcPr>
          <w:p w14:paraId="46938044">
            <w:pPr>
              <w:pStyle w:val="185"/>
              <w:spacing w:line="240" w:lineRule="auto"/>
              <w:ind w:firstLine="0"/>
              <w:jc w:val="center"/>
              <w:rPr>
                <w:rFonts w:hint="eastAsia"/>
                <w:color w:val="000000"/>
                <w:sz w:val="17"/>
                <w:szCs w:val="17"/>
              </w:rPr>
            </w:pPr>
            <w:r>
              <w:rPr>
                <w:rFonts w:hint="eastAsia"/>
                <w:color w:val="000000"/>
                <w:sz w:val="17"/>
                <w:szCs w:val="17"/>
              </w:rPr>
              <w:t>模块化数据中心产品电能使用效率采用mpPUE衡量，对模块化数据中心内各系统的能耗应进行能效测试</w:t>
            </w:r>
          </w:p>
        </w:tc>
        <w:tc>
          <w:tcPr>
            <w:tcW w:w="705" w:type="pct"/>
            <w:gridSpan w:val="2"/>
            <w:tcBorders>
              <w:tl2br w:val="nil"/>
              <w:tr2bl w:val="nil"/>
            </w:tcBorders>
            <w:shd w:val="clear" w:color="auto" w:fill="auto"/>
            <w:noWrap/>
            <w:vAlign w:val="center"/>
          </w:tcPr>
          <w:p w14:paraId="23AC79AF">
            <w:pPr>
              <w:pStyle w:val="185"/>
              <w:spacing w:line="240" w:lineRule="auto"/>
              <w:ind w:firstLine="0"/>
              <w:jc w:val="center"/>
              <w:rPr>
                <w:rFonts w:hint="eastAsia"/>
                <w:color w:val="000000"/>
                <w:sz w:val="17"/>
                <w:szCs w:val="17"/>
              </w:rPr>
            </w:pPr>
            <w:r>
              <w:rPr>
                <w:rFonts w:hint="eastAsia"/>
                <w:color w:val="000000"/>
                <w:sz w:val="17"/>
                <w:szCs w:val="17"/>
              </w:rPr>
              <w:t>能效级别是每</w:t>
            </w:r>
          </w:p>
          <w:p w14:paraId="2AC50545">
            <w:pPr>
              <w:pStyle w:val="185"/>
              <w:spacing w:line="240" w:lineRule="auto"/>
              <w:ind w:firstLine="0"/>
              <w:jc w:val="center"/>
              <w:rPr>
                <w:rFonts w:hint="eastAsia"/>
                <w:color w:val="000000"/>
                <w:sz w:val="17"/>
                <w:szCs w:val="17"/>
              </w:rPr>
            </w:pPr>
            <w:r>
              <w:rPr>
                <w:rFonts w:hint="eastAsia"/>
                <w:color w:val="000000"/>
                <w:sz w:val="17"/>
                <w:szCs w:val="17"/>
              </w:rPr>
              <w:t>个等级评价的</w:t>
            </w:r>
          </w:p>
          <w:p w14:paraId="6367E19C">
            <w:pPr>
              <w:pStyle w:val="185"/>
              <w:spacing w:line="240" w:lineRule="auto"/>
              <w:ind w:firstLine="0"/>
              <w:jc w:val="center"/>
              <w:rPr>
                <w:rFonts w:hint="eastAsia"/>
                <w:color w:val="000000"/>
                <w:sz w:val="17"/>
                <w:szCs w:val="17"/>
              </w:rPr>
            </w:pPr>
            <w:r>
              <w:rPr>
                <w:rFonts w:hint="eastAsia"/>
                <w:color w:val="000000"/>
                <w:sz w:val="17"/>
                <w:szCs w:val="17"/>
              </w:rPr>
              <w:t>准入要求　</w:t>
            </w:r>
          </w:p>
        </w:tc>
        <w:tc>
          <w:tcPr>
            <w:tcW w:w="418" w:type="pct"/>
            <w:tcBorders>
              <w:tl2br w:val="nil"/>
              <w:tr2bl w:val="nil"/>
            </w:tcBorders>
            <w:shd w:val="clear" w:color="auto" w:fill="auto"/>
            <w:vAlign w:val="center"/>
          </w:tcPr>
          <w:p w14:paraId="23470AB2">
            <w:pPr>
              <w:pStyle w:val="185"/>
              <w:spacing w:line="240" w:lineRule="auto"/>
              <w:ind w:firstLine="0"/>
              <w:jc w:val="center"/>
              <w:rPr>
                <w:rFonts w:hint="eastAsia"/>
                <w:color w:val="000000"/>
                <w:sz w:val="17"/>
                <w:szCs w:val="17"/>
              </w:rPr>
            </w:pPr>
            <w:r>
              <w:rPr>
                <w:rFonts w:hint="eastAsia"/>
                <w:color w:val="000000"/>
                <w:sz w:val="17"/>
                <w:szCs w:val="17"/>
              </w:rPr>
              <w:t>4.2</w:t>
            </w:r>
          </w:p>
        </w:tc>
        <w:tc>
          <w:tcPr>
            <w:tcW w:w="356" w:type="pct"/>
            <w:tcBorders>
              <w:tl2br w:val="nil"/>
              <w:tr2bl w:val="nil"/>
            </w:tcBorders>
            <w:shd w:val="clear" w:color="auto" w:fill="auto"/>
            <w:vAlign w:val="center"/>
          </w:tcPr>
          <w:p w14:paraId="77720D27">
            <w:pPr>
              <w:pStyle w:val="185"/>
              <w:spacing w:line="240" w:lineRule="auto"/>
              <w:ind w:firstLine="0"/>
              <w:jc w:val="center"/>
              <w:rPr>
                <w:rFonts w:hint="eastAsia"/>
                <w:color w:val="000000"/>
                <w:sz w:val="17"/>
                <w:szCs w:val="17"/>
              </w:rPr>
            </w:pPr>
            <w:r>
              <w:rPr>
                <w:rFonts w:hint="eastAsia"/>
                <w:color w:val="000000"/>
                <w:sz w:val="17"/>
                <w:szCs w:val="17"/>
              </w:rPr>
              <w:t>5.2</w:t>
            </w:r>
          </w:p>
        </w:tc>
      </w:tr>
      <w:tr w14:paraId="4947A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69379D24">
            <w:pPr>
              <w:pStyle w:val="185"/>
              <w:spacing w:line="240" w:lineRule="auto"/>
              <w:ind w:firstLine="0"/>
              <w:jc w:val="center"/>
              <w:rPr>
                <w:rFonts w:hint="eastAsia"/>
                <w:color w:val="000000"/>
                <w:sz w:val="17"/>
                <w:szCs w:val="17"/>
              </w:rPr>
            </w:pPr>
            <w:r>
              <w:rPr>
                <w:rFonts w:hint="eastAsia"/>
                <w:color w:val="000000"/>
                <w:sz w:val="17"/>
                <w:szCs w:val="17"/>
                <w:lang w:val="en-US" w:eastAsia="zh-CN"/>
              </w:rPr>
              <w:t>40</w:t>
            </w:r>
          </w:p>
        </w:tc>
        <w:tc>
          <w:tcPr>
            <w:tcW w:w="664" w:type="pct"/>
            <w:vMerge w:val="restart"/>
            <w:tcBorders>
              <w:tl2br w:val="nil"/>
              <w:tr2bl w:val="nil"/>
            </w:tcBorders>
            <w:shd w:val="clear" w:color="auto" w:fill="auto"/>
            <w:vAlign w:val="center"/>
          </w:tcPr>
          <w:p w14:paraId="1594540F">
            <w:pPr>
              <w:pStyle w:val="185"/>
              <w:spacing w:line="240" w:lineRule="auto"/>
              <w:ind w:firstLine="0"/>
              <w:jc w:val="center"/>
              <w:rPr>
                <w:rFonts w:hint="eastAsia"/>
                <w:color w:val="000000"/>
                <w:sz w:val="17"/>
                <w:szCs w:val="17"/>
                <w:lang w:val="en-US" w:eastAsia="zh-CN"/>
              </w:rPr>
            </w:pPr>
            <w:r>
              <w:rPr>
                <w:rFonts w:hint="eastAsia"/>
                <w:color w:val="000000"/>
                <w:sz w:val="17"/>
                <w:szCs w:val="17"/>
                <w:lang w:val="en-US" w:eastAsia="zh-CN"/>
              </w:rPr>
              <w:t>产品</w:t>
            </w:r>
            <w:r>
              <w:rPr>
                <w:rFonts w:hint="eastAsia"/>
                <w:color w:val="000000"/>
                <w:sz w:val="17"/>
                <w:szCs w:val="17"/>
              </w:rPr>
              <w:t>外观与体验一致性</w:t>
            </w:r>
            <w:r>
              <w:rPr>
                <w:rFonts w:hint="eastAsia"/>
                <w:color w:val="000000"/>
                <w:sz w:val="17"/>
                <w:szCs w:val="17"/>
                <w:lang w:val="en-US" w:eastAsia="zh-CN"/>
              </w:rPr>
              <w:t>要求</w:t>
            </w:r>
          </w:p>
        </w:tc>
        <w:tc>
          <w:tcPr>
            <w:tcW w:w="2560" w:type="pct"/>
            <w:tcBorders>
              <w:tl2br w:val="nil"/>
              <w:tr2bl w:val="nil"/>
            </w:tcBorders>
            <w:shd w:val="clear" w:color="auto" w:fill="auto"/>
            <w:vAlign w:val="center"/>
          </w:tcPr>
          <w:p w14:paraId="76697F17">
            <w:pPr>
              <w:pStyle w:val="185"/>
              <w:spacing w:line="240" w:lineRule="auto"/>
              <w:ind w:firstLine="0"/>
              <w:jc w:val="center"/>
              <w:rPr>
                <w:rFonts w:hint="eastAsia"/>
                <w:color w:val="000000"/>
                <w:sz w:val="17"/>
                <w:szCs w:val="17"/>
              </w:rPr>
            </w:pPr>
            <w:r>
              <w:rPr>
                <w:rFonts w:hint="eastAsia"/>
                <w:color w:val="000000"/>
                <w:sz w:val="17"/>
                <w:szCs w:val="17"/>
              </w:rPr>
              <w:t>模块化数据中心各连接件、紧固件、焊缝不应存在松动、裂纹、损伤等现象</w:t>
            </w:r>
          </w:p>
        </w:tc>
        <w:tc>
          <w:tcPr>
            <w:tcW w:w="308" w:type="pct"/>
            <w:tcBorders>
              <w:tl2br w:val="nil"/>
              <w:tr2bl w:val="nil"/>
            </w:tcBorders>
            <w:shd w:val="clear" w:color="auto" w:fill="auto"/>
            <w:noWrap/>
            <w:vAlign w:val="center"/>
          </w:tcPr>
          <w:p w14:paraId="483D85AC">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7" w:type="pct"/>
            <w:tcBorders>
              <w:tl2br w:val="nil"/>
              <w:tr2bl w:val="nil"/>
            </w:tcBorders>
            <w:shd w:val="clear" w:color="auto" w:fill="auto"/>
            <w:vAlign w:val="center"/>
          </w:tcPr>
          <w:p w14:paraId="7B3DFC1C">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18" w:type="pct"/>
            <w:vMerge w:val="restart"/>
            <w:tcBorders>
              <w:tl2br w:val="nil"/>
              <w:tr2bl w:val="nil"/>
            </w:tcBorders>
            <w:shd w:val="clear" w:color="auto" w:fill="auto"/>
            <w:vAlign w:val="center"/>
          </w:tcPr>
          <w:p w14:paraId="13FDBC34">
            <w:pPr>
              <w:pStyle w:val="185"/>
              <w:spacing w:line="240" w:lineRule="auto"/>
              <w:ind w:firstLine="0"/>
              <w:jc w:val="center"/>
              <w:rPr>
                <w:rFonts w:hint="eastAsia"/>
                <w:color w:val="000000"/>
                <w:sz w:val="17"/>
                <w:szCs w:val="17"/>
              </w:rPr>
            </w:pPr>
            <w:r>
              <w:rPr>
                <w:rFonts w:hint="eastAsia"/>
                <w:color w:val="000000"/>
                <w:sz w:val="17"/>
                <w:szCs w:val="17"/>
              </w:rPr>
              <w:t>4.3</w:t>
            </w:r>
          </w:p>
        </w:tc>
        <w:tc>
          <w:tcPr>
            <w:tcW w:w="356" w:type="pct"/>
            <w:vMerge w:val="restart"/>
            <w:tcBorders>
              <w:tl2br w:val="nil"/>
              <w:tr2bl w:val="nil"/>
            </w:tcBorders>
            <w:shd w:val="clear" w:color="auto" w:fill="auto"/>
            <w:vAlign w:val="center"/>
          </w:tcPr>
          <w:p w14:paraId="0829DE73">
            <w:pPr>
              <w:pStyle w:val="185"/>
              <w:spacing w:line="240" w:lineRule="auto"/>
              <w:ind w:firstLine="0"/>
              <w:jc w:val="center"/>
              <w:rPr>
                <w:rFonts w:hint="eastAsia"/>
                <w:color w:val="000000"/>
                <w:sz w:val="17"/>
                <w:szCs w:val="17"/>
              </w:rPr>
            </w:pPr>
            <w:r>
              <w:rPr>
                <w:rFonts w:hint="eastAsia"/>
                <w:color w:val="000000"/>
                <w:sz w:val="17"/>
                <w:szCs w:val="17"/>
              </w:rPr>
              <w:t>5.3</w:t>
            </w:r>
          </w:p>
        </w:tc>
      </w:tr>
      <w:tr w14:paraId="6B52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5CE4B160">
            <w:pPr>
              <w:pStyle w:val="185"/>
              <w:spacing w:line="240" w:lineRule="auto"/>
              <w:ind w:firstLine="0"/>
              <w:jc w:val="center"/>
              <w:rPr>
                <w:rFonts w:hint="eastAsia"/>
                <w:color w:val="000000"/>
                <w:sz w:val="17"/>
                <w:szCs w:val="17"/>
              </w:rPr>
            </w:pPr>
            <w:r>
              <w:rPr>
                <w:rFonts w:hint="eastAsia"/>
                <w:color w:val="000000"/>
                <w:sz w:val="17"/>
                <w:szCs w:val="17"/>
                <w:lang w:val="en-US" w:eastAsia="zh-CN"/>
              </w:rPr>
              <w:t>41</w:t>
            </w:r>
          </w:p>
        </w:tc>
        <w:tc>
          <w:tcPr>
            <w:tcW w:w="664" w:type="pct"/>
            <w:vMerge w:val="continue"/>
            <w:tcBorders>
              <w:tl2br w:val="nil"/>
              <w:tr2bl w:val="nil"/>
            </w:tcBorders>
            <w:shd w:val="clear" w:color="auto" w:fill="auto"/>
            <w:vAlign w:val="center"/>
          </w:tcPr>
          <w:p w14:paraId="4C7595C7">
            <w:pPr>
              <w:pStyle w:val="185"/>
              <w:spacing w:line="240" w:lineRule="auto"/>
              <w:ind w:firstLine="0"/>
              <w:jc w:val="center"/>
              <w:rPr>
                <w:rFonts w:hint="eastAsia"/>
                <w:color w:val="000000"/>
                <w:sz w:val="17"/>
                <w:szCs w:val="17"/>
              </w:rPr>
            </w:pPr>
          </w:p>
        </w:tc>
        <w:tc>
          <w:tcPr>
            <w:tcW w:w="2560" w:type="pct"/>
            <w:tcBorders>
              <w:tl2br w:val="nil"/>
              <w:tr2bl w:val="nil"/>
            </w:tcBorders>
            <w:shd w:val="clear" w:color="auto" w:fill="auto"/>
            <w:vAlign w:val="center"/>
          </w:tcPr>
          <w:p w14:paraId="55FFCE54">
            <w:pPr>
              <w:pStyle w:val="185"/>
              <w:spacing w:line="240" w:lineRule="auto"/>
              <w:ind w:firstLine="0"/>
              <w:jc w:val="center"/>
              <w:rPr>
                <w:rFonts w:hint="eastAsia"/>
                <w:color w:val="000000"/>
                <w:sz w:val="17"/>
                <w:szCs w:val="17"/>
              </w:rPr>
            </w:pPr>
            <w:r>
              <w:rPr>
                <w:rFonts w:hint="eastAsia"/>
                <w:color w:val="000000"/>
                <w:sz w:val="17"/>
                <w:szCs w:val="17"/>
              </w:rPr>
              <w:t>模块化数据中心金属件应无毛刺、裂边、卷边、锈蚀，非金属件应无毛刺，龟裂</w:t>
            </w:r>
          </w:p>
        </w:tc>
        <w:tc>
          <w:tcPr>
            <w:tcW w:w="308" w:type="pct"/>
            <w:tcBorders>
              <w:tl2br w:val="nil"/>
              <w:tr2bl w:val="nil"/>
            </w:tcBorders>
            <w:shd w:val="clear" w:color="auto" w:fill="auto"/>
            <w:noWrap/>
            <w:vAlign w:val="center"/>
          </w:tcPr>
          <w:p w14:paraId="519B60F4">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7" w:type="pct"/>
            <w:tcBorders>
              <w:tl2br w:val="nil"/>
              <w:tr2bl w:val="nil"/>
            </w:tcBorders>
            <w:shd w:val="clear" w:color="auto" w:fill="auto"/>
            <w:vAlign w:val="center"/>
          </w:tcPr>
          <w:p w14:paraId="50E354D2">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18" w:type="pct"/>
            <w:vMerge w:val="continue"/>
            <w:tcBorders>
              <w:tl2br w:val="nil"/>
              <w:tr2bl w:val="nil"/>
            </w:tcBorders>
            <w:shd w:val="clear" w:color="auto" w:fill="auto"/>
            <w:vAlign w:val="center"/>
          </w:tcPr>
          <w:p w14:paraId="3C39D082">
            <w:pPr>
              <w:pStyle w:val="185"/>
              <w:spacing w:line="240" w:lineRule="auto"/>
              <w:ind w:firstLine="0"/>
              <w:jc w:val="center"/>
              <w:rPr>
                <w:rFonts w:hint="eastAsia"/>
                <w:color w:val="000000"/>
                <w:sz w:val="17"/>
                <w:szCs w:val="17"/>
              </w:rPr>
            </w:pPr>
          </w:p>
        </w:tc>
        <w:tc>
          <w:tcPr>
            <w:tcW w:w="356" w:type="pct"/>
            <w:vMerge w:val="continue"/>
            <w:tcBorders>
              <w:tl2br w:val="nil"/>
              <w:tr2bl w:val="nil"/>
            </w:tcBorders>
            <w:shd w:val="clear" w:color="auto" w:fill="auto"/>
            <w:vAlign w:val="center"/>
          </w:tcPr>
          <w:p w14:paraId="1100EB5D">
            <w:pPr>
              <w:pStyle w:val="185"/>
              <w:spacing w:line="240" w:lineRule="auto"/>
              <w:ind w:firstLine="0"/>
              <w:jc w:val="center"/>
              <w:rPr>
                <w:rFonts w:hint="eastAsia"/>
                <w:color w:val="000000"/>
                <w:sz w:val="17"/>
                <w:szCs w:val="17"/>
              </w:rPr>
            </w:pPr>
          </w:p>
        </w:tc>
      </w:tr>
      <w:tr w14:paraId="0CCC0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446FB30A">
            <w:pPr>
              <w:pStyle w:val="185"/>
              <w:spacing w:line="240" w:lineRule="auto"/>
              <w:ind w:firstLine="0"/>
              <w:jc w:val="center"/>
              <w:rPr>
                <w:rFonts w:hint="eastAsia"/>
                <w:color w:val="000000"/>
                <w:sz w:val="17"/>
                <w:szCs w:val="17"/>
              </w:rPr>
            </w:pPr>
            <w:r>
              <w:rPr>
                <w:rFonts w:hint="eastAsia"/>
                <w:color w:val="000000"/>
                <w:sz w:val="17"/>
                <w:szCs w:val="17"/>
                <w:lang w:val="en-US" w:eastAsia="zh-CN"/>
              </w:rPr>
              <w:t>42</w:t>
            </w:r>
          </w:p>
        </w:tc>
        <w:tc>
          <w:tcPr>
            <w:tcW w:w="664" w:type="pct"/>
            <w:tcBorders>
              <w:tl2br w:val="nil"/>
              <w:tr2bl w:val="nil"/>
            </w:tcBorders>
            <w:shd w:val="clear" w:color="auto" w:fill="auto"/>
            <w:vAlign w:val="center"/>
          </w:tcPr>
          <w:p w14:paraId="0C344E0B">
            <w:pPr>
              <w:pStyle w:val="185"/>
              <w:spacing w:line="240" w:lineRule="auto"/>
              <w:ind w:firstLine="0"/>
              <w:jc w:val="center"/>
              <w:rPr>
                <w:rFonts w:hint="eastAsia"/>
                <w:color w:val="000000"/>
                <w:sz w:val="17"/>
                <w:szCs w:val="17"/>
                <w:lang w:val="en-US" w:eastAsia="zh-CN"/>
              </w:rPr>
            </w:pPr>
            <w:r>
              <w:rPr>
                <w:rFonts w:hint="eastAsia"/>
                <w:color w:val="000000"/>
                <w:sz w:val="17"/>
                <w:szCs w:val="17"/>
                <w:lang w:val="en-US" w:eastAsia="zh-CN"/>
              </w:rPr>
              <w:t>产品</w:t>
            </w:r>
            <w:r>
              <w:rPr>
                <w:rFonts w:hint="eastAsia"/>
                <w:color w:val="000000"/>
                <w:sz w:val="17"/>
                <w:szCs w:val="17"/>
              </w:rPr>
              <w:t>智能化</w:t>
            </w:r>
            <w:r>
              <w:rPr>
                <w:rFonts w:hint="eastAsia"/>
                <w:color w:val="000000"/>
                <w:sz w:val="17"/>
                <w:szCs w:val="17"/>
                <w:lang w:val="en-US" w:eastAsia="zh-CN"/>
              </w:rPr>
              <w:t>要求</w:t>
            </w:r>
          </w:p>
        </w:tc>
        <w:tc>
          <w:tcPr>
            <w:tcW w:w="2560" w:type="pct"/>
            <w:tcBorders>
              <w:tl2br w:val="nil"/>
              <w:tr2bl w:val="nil"/>
            </w:tcBorders>
            <w:shd w:val="clear" w:color="auto" w:fill="auto"/>
            <w:vAlign w:val="center"/>
          </w:tcPr>
          <w:p w14:paraId="549439CD">
            <w:pPr>
              <w:pStyle w:val="185"/>
              <w:spacing w:line="240" w:lineRule="auto"/>
              <w:ind w:firstLine="0"/>
              <w:jc w:val="center"/>
              <w:rPr>
                <w:rFonts w:hint="eastAsia"/>
                <w:color w:val="000000"/>
                <w:sz w:val="17"/>
                <w:szCs w:val="17"/>
              </w:rPr>
            </w:pPr>
            <w:r>
              <w:rPr>
                <w:rFonts w:hint="eastAsia"/>
                <w:color w:val="000000"/>
                <w:sz w:val="17"/>
                <w:szCs w:val="17"/>
              </w:rPr>
              <w:t>模块化数据中心产品应能与消防系统联动，在紧急情况时可支持消防系统与通道、精密空调等设备联动控制</w:t>
            </w:r>
          </w:p>
        </w:tc>
        <w:tc>
          <w:tcPr>
            <w:tcW w:w="308" w:type="pct"/>
            <w:tcBorders>
              <w:tl2br w:val="nil"/>
              <w:tr2bl w:val="nil"/>
            </w:tcBorders>
            <w:shd w:val="clear" w:color="auto" w:fill="auto"/>
            <w:noWrap/>
            <w:vAlign w:val="center"/>
          </w:tcPr>
          <w:p w14:paraId="75CADFC6">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7" w:type="pct"/>
            <w:tcBorders>
              <w:tl2br w:val="nil"/>
              <w:tr2bl w:val="nil"/>
            </w:tcBorders>
            <w:shd w:val="clear" w:color="auto" w:fill="auto"/>
            <w:vAlign w:val="center"/>
          </w:tcPr>
          <w:p w14:paraId="02F79416">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18" w:type="pct"/>
            <w:tcBorders>
              <w:tl2br w:val="nil"/>
              <w:tr2bl w:val="nil"/>
            </w:tcBorders>
            <w:shd w:val="clear" w:color="auto" w:fill="auto"/>
            <w:vAlign w:val="center"/>
          </w:tcPr>
          <w:p w14:paraId="6EF8CBDB">
            <w:pPr>
              <w:pStyle w:val="185"/>
              <w:spacing w:line="240" w:lineRule="auto"/>
              <w:ind w:firstLine="0"/>
              <w:jc w:val="center"/>
              <w:rPr>
                <w:rFonts w:hint="eastAsia"/>
                <w:color w:val="000000"/>
                <w:sz w:val="17"/>
                <w:szCs w:val="17"/>
              </w:rPr>
            </w:pPr>
            <w:r>
              <w:rPr>
                <w:rFonts w:hint="eastAsia"/>
                <w:color w:val="000000"/>
                <w:sz w:val="17"/>
                <w:szCs w:val="17"/>
              </w:rPr>
              <w:t>4.4</w:t>
            </w:r>
          </w:p>
        </w:tc>
        <w:tc>
          <w:tcPr>
            <w:tcW w:w="356" w:type="pct"/>
            <w:tcBorders>
              <w:tl2br w:val="nil"/>
              <w:tr2bl w:val="nil"/>
            </w:tcBorders>
            <w:shd w:val="clear" w:color="auto" w:fill="auto"/>
            <w:vAlign w:val="center"/>
          </w:tcPr>
          <w:p w14:paraId="59B195C8">
            <w:pPr>
              <w:pStyle w:val="185"/>
              <w:spacing w:line="240" w:lineRule="auto"/>
              <w:ind w:firstLine="0"/>
              <w:jc w:val="center"/>
              <w:rPr>
                <w:rFonts w:hint="eastAsia"/>
                <w:color w:val="000000"/>
                <w:sz w:val="17"/>
                <w:szCs w:val="17"/>
              </w:rPr>
            </w:pPr>
            <w:r>
              <w:rPr>
                <w:rFonts w:hint="eastAsia"/>
                <w:color w:val="000000"/>
                <w:sz w:val="17"/>
                <w:szCs w:val="17"/>
              </w:rPr>
              <w:t>5.4</w:t>
            </w:r>
          </w:p>
        </w:tc>
      </w:tr>
      <w:tr w14:paraId="37337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5" w:type="pct"/>
            <w:tcBorders>
              <w:tl2br w:val="nil"/>
              <w:tr2bl w:val="nil"/>
            </w:tcBorders>
            <w:shd w:val="clear" w:color="auto" w:fill="auto"/>
            <w:vAlign w:val="center"/>
          </w:tcPr>
          <w:p w14:paraId="35B0E3B2">
            <w:pPr>
              <w:pStyle w:val="185"/>
              <w:spacing w:line="240" w:lineRule="auto"/>
              <w:ind w:firstLine="0"/>
              <w:jc w:val="center"/>
              <w:rPr>
                <w:rFonts w:hint="default"/>
                <w:color w:val="000000"/>
                <w:sz w:val="17"/>
                <w:szCs w:val="17"/>
                <w:lang w:val="en-US" w:eastAsia="zh-CN"/>
              </w:rPr>
            </w:pPr>
            <w:r>
              <w:rPr>
                <w:rFonts w:hint="eastAsia"/>
                <w:color w:val="000000"/>
                <w:sz w:val="17"/>
                <w:szCs w:val="17"/>
                <w:lang w:val="en-US" w:eastAsia="zh-CN"/>
              </w:rPr>
              <w:t>43</w:t>
            </w:r>
          </w:p>
        </w:tc>
        <w:tc>
          <w:tcPr>
            <w:tcW w:w="664" w:type="pct"/>
            <w:tcBorders>
              <w:tl2br w:val="nil"/>
              <w:tr2bl w:val="nil"/>
            </w:tcBorders>
            <w:shd w:val="clear" w:color="auto" w:fill="auto"/>
            <w:vAlign w:val="center"/>
          </w:tcPr>
          <w:p w14:paraId="33E69DB1">
            <w:pPr>
              <w:pStyle w:val="185"/>
              <w:spacing w:line="240" w:lineRule="auto"/>
              <w:ind w:firstLine="0"/>
              <w:jc w:val="center"/>
              <w:rPr>
                <w:rFonts w:hint="eastAsia"/>
                <w:color w:val="000000"/>
                <w:sz w:val="17"/>
                <w:szCs w:val="17"/>
                <w:lang w:val="en-US" w:eastAsia="zh-CN"/>
              </w:rPr>
            </w:pPr>
            <w:r>
              <w:rPr>
                <w:rFonts w:hint="eastAsia"/>
                <w:color w:val="000000"/>
                <w:sz w:val="17"/>
                <w:szCs w:val="17"/>
                <w:lang w:val="en-US" w:eastAsia="zh-CN"/>
              </w:rPr>
              <w:t>产品网络安全要求</w:t>
            </w:r>
          </w:p>
        </w:tc>
        <w:tc>
          <w:tcPr>
            <w:tcW w:w="2560" w:type="pct"/>
            <w:tcBorders>
              <w:tl2br w:val="nil"/>
              <w:tr2bl w:val="nil"/>
            </w:tcBorders>
            <w:shd w:val="clear" w:color="auto" w:fill="auto"/>
            <w:vAlign w:val="center"/>
          </w:tcPr>
          <w:p w14:paraId="6A0EC83A">
            <w:pPr>
              <w:pStyle w:val="185"/>
              <w:spacing w:line="240" w:lineRule="auto"/>
              <w:ind w:firstLine="0"/>
              <w:jc w:val="center"/>
              <w:rPr>
                <w:rFonts w:hint="eastAsia"/>
                <w:color w:val="000000"/>
                <w:sz w:val="17"/>
                <w:szCs w:val="17"/>
              </w:rPr>
            </w:pPr>
            <w:r>
              <w:rPr>
                <w:rFonts w:hint="eastAsia"/>
                <w:color w:val="000000"/>
                <w:sz w:val="17"/>
                <w:szCs w:val="17"/>
              </w:rPr>
              <w:t>动力环境监控系统的控制器应采用满足TRIMPS-ZY04-001《社会公主共安全领域自愿性认证实施规则智能联网产品（网络安全）》（终端增强级）要求的产品</w:t>
            </w:r>
          </w:p>
        </w:tc>
        <w:tc>
          <w:tcPr>
            <w:tcW w:w="308" w:type="pct"/>
            <w:tcBorders>
              <w:tl2br w:val="nil"/>
              <w:tr2bl w:val="nil"/>
            </w:tcBorders>
            <w:shd w:val="clear" w:color="auto" w:fill="auto"/>
            <w:noWrap/>
            <w:vAlign w:val="center"/>
          </w:tcPr>
          <w:p w14:paraId="5EE965F4">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7" w:type="pct"/>
            <w:tcBorders>
              <w:tl2br w:val="nil"/>
              <w:tr2bl w:val="nil"/>
            </w:tcBorders>
            <w:shd w:val="clear" w:color="auto" w:fill="auto"/>
            <w:vAlign w:val="center"/>
          </w:tcPr>
          <w:p w14:paraId="3DBACB25">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18" w:type="pct"/>
            <w:tcBorders>
              <w:tl2br w:val="nil"/>
              <w:tr2bl w:val="nil"/>
            </w:tcBorders>
            <w:shd w:val="clear" w:color="auto" w:fill="auto"/>
            <w:vAlign w:val="center"/>
          </w:tcPr>
          <w:p w14:paraId="72647CE3">
            <w:pPr>
              <w:pStyle w:val="185"/>
              <w:spacing w:line="240" w:lineRule="auto"/>
              <w:ind w:firstLine="0"/>
              <w:jc w:val="center"/>
              <w:rPr>
                <w:rFonts w:hint="default"/>
                <w:color w:val="000000"/>
                <w:sz w:val="17"/>
                <w:szCs w:val="17"/>
                <w:lang w:val="en-US" w:eastAsia="zh-CN"/>
              </w:rPr>
            </w:pPr>
            <w:r>
              <w:rPr>
                <w:rFonts w:hint="eastAsia"/>
                <w:color w:val="000000"/>
                <w:sz w:val="17"/>
                <w:szCs w:val="17"/>
                <w:lang w:val="en-US" w:eastAsia="zh-CN"/>
              </w:rPr>
              <w:t>4.5</w:t>
            </w:r>
          </w:p>
        </w:tc>
        <w:tc>
          <w:tcPr>
            <w:tcW w:w="356" w:type="pct"/>
            <w:tcBorders>
              <w:tl2br w:val="nil"/>
              <w:tr2bl w:val="nil"/>
            </w:tcBorders>
            <w:shd w:val="clear" w:color="auto" w:fill="auto"/>
            <w:vAlign w:val="center"/>
          </w:tcPr>
          <w:p w14:paraId="170F27FC">
            <w:pPr>
              <w:pStyle w:val="185"/>
              <w:spacing w:line="240" w:lineRule="auto"/>
              <w:ind w:firstLine="0"/>
              <w:jc w:val="center"/>
              <w:rPr>
                <w:rFonts w:hint="default"/>
                <w:color w:val="000000"/>
                <w:sz w:val="17"/>
                <w:szCs w:val="17"/>
                <w:lang w:val="en-US" w:eastAsia="zh-CN"/>
              </w:rPr>
            </w:pPr>
            <w:r>
              <w:rPr>
                <w:rFonts w:hint="eastAsia"/>
                <w:color w:val="000000"/>
                <w:sz w:val="17"/>
                <w:szCs w:val="17"/>
                <w:lang w:val="en-US" w:eastAsia="zh-CN"/>
              </w:rPr>
              <w:t>5.5</w:t>
            </w:r>
          </w:p>
        </w:tc>
      </w:tr>
    </w:tbl>
    <w:p w14:paraId="5A471328">
      <w:pPr>
        <w:jc w:val="center"/>
      </w:pPr>
    </w:p>
    <w:p w14:paraId="4E26CB51">
      <w:pPr>
        <w:jc w:val="center"/>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附录B</w:t>
      </w:r>
      <w:r>
        <w:rPr>
          <w:rFonts w:hint="eastAsia" w:ascii="宋体" w:cs="Times New Roman"/>
          <w:kern w:val="0"/>
          <w:sz w:val="21"/>
          <w:szCs w:val="20"/>
          <w:lang w:val="en-US" w:eastAsia="zh-CN" w:bidi="ar-SA"/>
        </w:rPr>
        <w:t xml:space="preserve">  </w:t>
      </w:r>
      <w:r>
        <w:rPr>
          <w:rFonts w:hint="eastAsia" w:ascii="宋体" w:hAnsi="Times New Roman" w:eastAsia="宋体" w:cs="Times New Roman"/>
          <w:kern w:val="0"/>
          <w:sz w:val="21"/>
          <w:szCs w:val="20"/>
          <w:lang w:val="en-US" w:eastAsia="zh-CN" w:bidi="ar-SA"/>
        </w:rPr>
        <w:t>评估项</w:t>
      </w:r>
    </w:p>
    <w:tbl>
      <w:tblPr>
        <w:tblStyle w:val="3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7"/>
        <w:gridCol w:w="1279"/>
        <w:gridCol w:w="4931"/>
        <w:gridCol w:w="588"/>
        <w:gridCol w:w="749"/>
        <w:gridCol w:w="814"/>
        <w:gridCol w:w="682"/>
      </w:tblGrid>
      <w:tr w14:paraId="728B1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4152CF12">
            <w:pPr>
              <w:pStyle w:val="185"/>
              <w:spacing w:line="240" w:lineRule="auto"/>
              <w:ind w:firstLine="0"/>
              <w:jc w:val="center"/>
              <w:rPr>
                <w:rFonts w:hint="eastAsia"/>
                <w:color w:val="000000"/>
                <w:sz w:val="17"/>
                <w:szCs w:val="17"/>
              </w:rPr>
            </w:pPr>
            <w:r>
              <w:rPr>
                <w:rFonts w:hint="eastAsia"/>
                <w:color w:val="000000"/>
                <w:sz w:val="17"/>
                <w:szCs w:val="17"/>
              </w:rPr>
              <w:t>序号</w:t>
            </w:r>
          </w:p>
        </w:tc>
        <w:tc>
          <w:tcPr>
            <w:tcW w:w="3243" w:type="pct"/>
            <w:gridSpan w:val="2"/>
            <w:tcBorders>
              <w:tl2br w:val="nil"/>
              <w:tr2bl w:val="nil"/>
            </w:tcBorders>
            <w:shd w:val="clear" w:color="auto" w:fill="auto"/>
            <w:vAlign w:val="center"/>
          </w:tcPr>
          <w:p w14:paraId="20DECDEB">
            <w:pPr>
              <w:pStyle w:val="185"/>
              <w:spacing w:line="240" w:lineRule="auto"/>
              <w:ind w:firstLine="0"/>
              <w:jc w:val="center"/>
              <w:rPr>
                <w:rFonts w:hint="eastAsia"/>
                <w:color w:val="000000"/>
                <w:sz w:val="17"/>
                <w:szCs w:val="17"/>
              </w:rPr>
            </w:pPr>
            <w:r>
              <w:rPr>
                <w:rFonts w:hint="eastAsia"/>
                <w:color w:val="000000"/>
                <w:sz w:val="17"/>
                <w:szCs w:val="17"/>
              </w:rPr>
              <w:t>项      目</w:t>
            </w:r>
          </w:p>
        </w:tc>
        <w:tc>
          <w:tcPr>
            <w:tcW w:w="307" w:type="pct"/>
            <w:tcBorders>
              <w:tl2br w:val="nil"/>
              <w:tr2bl w:val="nil"/>
            </w:tcBorders>
            <w:shd w:val="clear" w:color="auto" w:fill="auto"/>
            <w:vAlign w:val="center"/>
          </w:tcPr>
          <w:p w14:paraId="1E8E64D3">
            <w:pPr>
              <w:pStyle w:val="185"/>
              <w:spacing w:line="240" w:lineRule="auto"/>
              <w:ind w:firstLine="0"/>
              <w:jc w:val="center"/>
              <w:rPr>
                <w:rFonts w:hint="eastAsia"/>
                <w:color w:val="000000"/>
                <w:sz w:val="17"/>
                <w:szCs w:val="17"/>
              </w:rPr>
            </w:pPr>
            <w:r>
              <w:rPr>
                <w:rFonts w:hint="eastAsia"/>
                <w:color w:val="000000"/>
                <w:sz w:val="17"/>
                <w:szCs w:val="17"/>
              </w:rPr>
              <w:t>合格</w:t>
            </w:r>
          </w:p>
        </w:tc>
        <w:tc>
          <w:tcPr>
            <w:tcW w:w="391" w:type="pct"/>
            <w:tcBorders>
              <w:tl2br w:val="nil"/>
              <w:tr2bl w:val="nil"/>
            </w:tcBorders>
            <w:shd w:val="clear" w:color="auto" w:fill="auto"/>
            <w:vAlign w:val="center"/>
          </w:tcPr>
          <w:p w14:paraId="57BEABD2">
            <w:pPr>
              <w:pStyle w:val="185"/>
              <w:spacing w:line="240" w:lineRule="auto"/>
              <w:ind w:firstLine="0"/>
              <w:jc w:val="center"/>
              <w:rPr>
                <w:rFonts w:hint="eastAsia"/>
                <w:color w:val="000000"/>
                <w:sz w:val="17"/>
                <w:szCs w:val="17"/>
              </w:rPr>
            </w:pPr>
            <w:r>
              <w:rPr>
                <w:rFonts w:hint="eastAsia"/>
                <w:color w:val="000000"/>
                <w:sz w:val="17"/>
                <w:szCs w:val="17"/>
              </w:rPr>
              <w:t>不合格</w:t>
            </w:r>
          </w:p>
        </w:tc>
        <w:tc>
          <w:tcPr>
            <w:tcW w:w="425" w:type="pct"/>
            <w:tcBorders>
              <w:tl2br w:val="nil"/>
              <w:tr2bl w:val="nil"/>
            </w:tcBorders>
            <w:shd w:val="clear" w:color="auto" w:fill="auto"/>
            <w:vAlign w:val="center"/>
          </w:tcPr>
          <w:p w14:paraId="48D287D5">
            <w:pPr>
              <w:pStyle w:val="185"/>
              <w:spacing w:line="240" w:lineRule="auto"/>
              <w:ind w:firstLine="0"/>
              <w:jc w:val="center"/>
              <w:rPr>
                <w:rFonts w:hint="eastAsia"/>
                <w:color w:val="000000"/>
                <w:sz w:val="17"/>
                <w:szCs w:val="17"/>
              </w:rPr>
            </w:pPr>
            <w:r>
              <w:rPr>
                <w:rFonts w:hint="eastAsia"/>
                <w:color w:val="000000"/>
                <w:sz w:val="17"/>
                <w:szCs w:val="17"/>
              </w:rPr>
              <w:t>要求</w:t>
            </w:r>
          </w:p>
        </w:tc>
        <w:tc>
          <w:tcPr>
            <w:tcW w:w="356" w:type="pct"/>
            <w:tcBorders>
              <w:tl2br w:val="nil"/>
              <w:tr2bl w:val="nil"/>
            </w:tcBorders>
            <w:shd w:val="clear" w:color="auto" w:fill="auto"/>
            <w:vAlign w:val="center"/>
          </w:tcPr>
          <w:p w14:paraId="4FB1C979">
            <w:pPr>
              <w:pStyle w:val="185"/>
              <w:spacing w:line="240" w:lineRule="auto"/>
              <w:ind w:firstLine="0"/>
              <w:jc w:val="center"/>
              <w:rPr>
                <w:rFonts w:hint="eastAsia"/>
                <w:color w:val="000000"/>
                <w:sz w:val="17"/>
                <w:szCs w:val="17"/>
              </w:rPr>
            </w:pPr>
            <w:r>
              <w:rPr>
                <w:rFonts w:hint="eastAsia"/>
                <w:color w:val="000000"/>
                <w:sz w:val="17"/>
                <w:szCs w:val="17"/>
              </w:rPr>
              <w:t>试验方法</w:t>
            </w:r>
          </w:p>
        </w:tc>
      </w:tr>
      <w:tr w14:paraId="1FCBF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5C3126AE">
            <w:pPr>
              <w:pStyle w:val="185"/>
              <w:spacing w:line="240" w:lineRule="auto"/>
              <w:ind w:firstLine="0"/>
              <w:jc w:val="center"/>
              <w:rPr>
                <w:rFonts w:hint="eastAsia"/>
                <w:color w:val="000000"/>
                <w:sz w:val="17"/>
                <w:szCs w:val="17"/>
              </w:rPr>
            </w:pPr>
            <w:r>
              <w:rPr>
                <w:rFonts w:hint="eastAsia"/>
                <w:color w:val="000000"/>
                <w:sz w:val="17"/>
                <w:szCs w:val="17"/>
              </w:rPr>
              <w:t>1</w:t>
            </w:r>
          </w:p>
        </w:tc>
        <w:tc>
          <w:tcPr>
            <w:tcW w:w="668" w:type="pct"/>
            <w:vMerge w:val="restart"/>
            <w:tcBorders>
              <w:tl2br w:val="nil"/>
              <w:tr2bl w:val="nil"/>
            </w:tcBorders>
            <w:vAlign w:val="center"/>
          </w:tcPr>
          <w:p w14:paraId="64A5DA85">
            <w:pPr>
              <w:pStyle w:val="185"/>
              <w:spacing w:line="240" w:lineRule="auto"/>
              <w:ind w:firstLine="0"/>
              <w:jc w:val="center"/>
              <w:rPr>
                <w:rFonts w:hint="eastAsia"/>
                <w:color w:val="000000"/>
                <w:sz w:val="17"/>
                <w:szCs w:val="17"/>
              </w:rPr>
            </w:pPr>
            <w:r>
              <w:rPr>
                <w:rFonts w:hint="eastAsia"/>
                <w:color w:val="000000"/>
                <w:sz w:val="17"/>
                <w:szCs w:val="17"/>
              </w:rPr>
              <w:t>机柜及通道系统要求</w:t>
            </w:r>
          </w:p>
        </w:tc>
        <w:tc>
          <w:tcPr>
            <w:tcW w:w="2575" w:type="pct"/>
            <w:tcBorders>
              <w:tl2br w:val="nil"/>
              <w:tr2bl w:val="nil"/>
            </w:tcBorders>
            <w:shd w:val="clear" w:color="auto" w:fill="auto"/>
            <w:vAlign w:val="center"/>
          </w:tcPr>
          <w:p w14:paraId="49BCFD14">
            <w:pPr>
              <w:pStyle w:val="185"/>
              <w:spacing w:line="240" w:lineRule="auto"/>
              <w:ind w:firstLine="0"/>
              <w:jc w:val="center"/>
              <w:rPr>
                <w:rFonts w:hint="eastAsia"/>
                <w:color w:val="000000"/>
                <w:sz w:val="17"/>
                <w:szCs w:val="17"/>
              </w:rPr>
            </w:pPr>
            <w:r>
              <w:rPr>
                <w:rFonts w:hint="eastAsia"/>
                <w:color w:val="000000"/>
                <w:sz w:val="17"/>
                <w:szCs w:val="17"/>
              </w:rPr>
              <w:t>通道门及顶窗宜选择透光率不小于85%的透光材料（紧凑型模块化数据中心除外）</w:t>
            </w:r>
          </w:p>
        </w:tc>
        <w:tc>
          <w:tcPr>
            <w:tcW w:w="307" w:type="pct"/>
            <w:tcBorders>
              <w:tl2br w:val="nil"/>
              <w:tr2bl w:val="nil"/>
            </w:tcBorders>
            <w:shd w:val="clear" w:color="auto" w:fill="auto"/>
            <w:noWrap/>
            <w:vAlign w:val="center"/>
          </w:tcPr>
          <w:p w14:paraId="7245BD28">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7876A003">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restart"/>
            <w:tcBorders>
              <w:tl2br w:val="nil"/>
              <w:tr2bl w:val="nil"/>
            </w:tcBorders>
            <w:vAlign w:val="center"/>
          </w:tcPr>
          <w:p w14:paraId="79E59649">
            <w:pPr>
              <w:pStyle w:val="185"/>
              <w:spacing w:line="240" w:lineRule="auto"/>
              <w:ind w:firstLine="0"/>
              <w:jc w:val="center"/>
              <w:rPr>
                <w:rFonts w:hint="default" w:eastAsia="宋体"/>
                <w:color w:val="000000"/>
                <w:sz w:val="17"/>
                <w:szCs w:val="17"/>
                <w:lang w:val="en-US" w:eastAsia="zh-CN"/>
              </w:rPr>
            </w:pPr>
            <w:r>
              <w:rPr>
                <w:rFonts w:hint="eastAsia"/>
                <w:color w:val="000000"/>
                <w:sz w:val="17"/>
                <w:szCs w:val="17"/>
                <w:lang w:val="en-US" w:eastAsia="zh-CN"/>
              </w:rPr>
              <w:t>4.1.1</w:t>
            </w:r>
          </w:p>
        </w:tc>
        <w:tc>
          <w:tcPr>
            <w:tcW w:w="356" w:type="pct"/>
            <w:vMerge w:val="restart"/>
            <w:tcBorders>
              <w:tl2br w:val="nil"/>
              <w:tr2bl w:val="nil"/>
            </w:tcBorders>
            <w:vAlign w:val="center"/>
          </w:tcPr>
          <w:p w14:paraId="77C370D1">
            <w:pPr>
              <w:pStyle w:val="185"/>
              <w:spacing w:line="240" w:lineRule="auto"/>
              <w:ind w:firstLine="0"/>
              <w:jc w:val="center"/>
              <w:rPr>
                <w:rFonts w:hint="default" w:eastAsia="宋体"/>
                <w:color w:val="000000"/>
                <w:sz w:val="17"/>
                <w:szCs w:val="17"/>
                <w:lang w:val="en-US" w:eastAsia="zh-CN"/>
              </w:rPr>
            </w:pPr>
            <w:r>
              <w:rPr>
                <w:rFonts w:hint="eastAsia"/>
                <w:color w:val="000000"/>
                <w:sz w:val="17"/>
                <w:szCs w:val="17"/>
                <w:lang w:val="en-US" w:eastAsia="zh-CN"/>
              </w:rPr>
              <w:t>4.1.1</w:t>
            </w:r>
          </w:p>
        </w:tc>
      </w:tr>
      <w:tr w14:paraId="7E86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6FC28602">
            <w:pPr>
              <w:pStyle w:val="185"/>
              <w:spacing w:line="240" w:lineRule="auto"/>
              <w:ind w:firstLine="0"/>
              <w:jc w:val="center"/>
              <w:rPr>
                <w:rFonts w:hint="eastAsia"/>
                <w:color w:val="000000"/>
                <w:sz w:val="17"/>
                <w:szCs w:val="17"/>
              </w:rPr>
            </w:pPr>
            <w:r>
              <w:rPr>
                <w:rFonts w:hint="eastAsia"/>
                <w:color w:val="000000"/>
                <w:sz w:val="17"/>
                <w:szCs w:val="17"/>
              </w:rPr>
              <w:t>2</w:t>
            </w:r>
          </w:p>
        </w:tc>
        <w:tc>
          <w:tcPr>
            <w:tcW w:w="668" w:type="pct"/>
            <w:vMerge w:val="continue"/>
            <w:tcBorders>
              <w:tl2br w:val="nil"/>
              <w:tr2bl w:val="nil"/>
            </w:tcBorders>
            <w:vAlign w:val="center"/>
          </w:tcPr>
          <w:p w14:paraId="149BFCA8">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3F386B4F">
            <w:pPr>
              <w:pStyle w:val="185"/>
              <w:spacing w:line="240" w:lineRule="auto"/>
              <w:ind w:firstLine="0"/>
              <w:jc w:val="center"/>
              <w:rPr>
                <w:rFonts w:hint="eastAsia"/>
                <w:color w:val="000000"/>
                <w:sz w:val="17"/>
                <w:szCs w:val="17"/>
              </w:rPr>
            </w:pPr>
            <w:r>
              <w:rPr>
                <w:rFonts w:hint="eastAsia"/>
                <w:color w:val="000000"/>
                <w:sz w:val="17"/>
                <w:szCs w:val="17"/>
              </w:rPr>
              <w:t>通道顶窗宜由透光材料及金属结构件组成，通道顶窗整体透光面积比率不小于60%</w:t>
            </w:r>
          </w:p>
        </w:tc>
        <w:tc>
          <w:tcPr>
            <w:tcW w:w="307" w:type="pct"/>
            <w:tcBorders>
              <w:tl2br w:val="nil"/>
              <w:tr2bl w:val="nil"/>
            </w:tcBorders>
            <w:shd w:val="clear" w:color="auto" w:fill="auto"/>
            <w:noWrap/>
            <w:vAlign w:val="center"/>
          </w:tcPr>
          <w:p w14:paraId="72798AF7">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3BD51AB2">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796DE6F7">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08429CCD">
            <w:pPr>
              <w:pStyle w:val="185"/>
              <w:spacing w:line="240" w:lineRule="auto"/>
              <w:ind w:firstLine="0"/>
              <w:jc w:val="center"/>
              <w:rPr>
                <w:rFonts w:hint="eastAsia"/>
                <w:color w:val="000000"/>
                <w:sz w:val="17"/>
                <w:szCs w:val="17"/>
              </w:rPr>
            </w:pPr>
          </w:p>
        </w:tc>
      </w:tr>
      <w:tr w14:paraId="381AF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7A098EAB">
            <w:pPr>
              <w:pStyle w:val="185"/>
              <w:spacing w:line="240" w:lineRule="auto"/>
              <w:ind w:firstLine="0"/>
              <w:jc w:val="center"/>
              <w:rPr>
                <w:rFonts w:hint="eastAsia"/>
                <w:color w:val="000000"/>
                <w:sz w:val="17"/>
                <w:szCs w:val="17"/>
              </w:rPr>
            </w:pPr>
            <w:r>
              <w:rPr>
                <w:rFonts w:hint="eastAsia"/>
                <w:color w:val="000000"/>
                <w:sz w:val="17"/>
                <w:szCs w:val="17"/>
              </w:rPr>
              <w:t>3</w:t>
            </w:r>
          </w:p>
        </w:tc>
        <w:tc>
          <w:tcPr>
            <w:tcW w:w="668" w:type="pct"/>
            <w:vMerge w:val="continue"/>
            <w:tcBorders>
              <w:tl2br w:val="nil"/>
              <w:tr2bl w:val="nil"/>
            </w:tcBorders>
            <w:vAlign w:val="center"/>
          </w:tcPr>
          <w:p w14:paraId="5BB33AD1">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24162C5B">
            <w:pPr>
              <w:pStyle w:val="185"/>
              <w:spacing w:line="240" w:lineRule="auto"/>
              <w:ind w:firstLine="0"/>
              <w:jc w:val="center"/>
              <w:rPr>
                <w:rFonts w:hint="eastAsia"/>
                <w:color w:val="000000"/>
                <w:sz w:val="17"/>
                <w:szCs w:val="17"/>
              </w:rPr>
            </w:pPr>
            <w:r>
              <w:rPr>
                <w:rFonts w:hint="eastAsia"/>
                <w:color w:val="000000"/>
                <w:sz w:val="17"/>
                <w:szCs w:val="17"/>
              </w:rPr>
              <w:t>通道门宜配置门禁，配置门禁时，应设置紧急解锁装置</w:t>
            </w:r>
          </w:p>
        </w:tc>
        <w:tc>
          <w:tcPr>
            <w:tcW w:w="307" w:type="pct"/>
            <w:tcBorders>
              <w:tl2br w:val="nil"/>
              <w:tr2bl w:val="nil"/>
            </w:tcBorders>
            <w:shd w:val="clear" w:color="auto" w:fill="auto"/>
            <w:noWrap/>
            <w:vAlign w:val="center"/>
          </w:tcPr>
          <w:p w14:paraId="01B05948">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655DD7CD">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5C2CB99A">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3AD92987">
            <w:pPr>
              <w:pStyle w:val="185"/>
              <w:spacing w:line="240" w:lineRule="auto"/>
              <w:ind w:firstLine="0"/>
              <w:jc w:val="center"/>
              <w:rPr>
                <w:rFonts w:hint="eastAsia"/>
                <w:color w:val="000000"/>
                <w:sz w:val="17"/>
                <w:szCs w:val="17"/>
              </w:rPr>
            </w:pPr>
          </w:p>
        </w:tc>
      </w:tr>
      <w:tr w14:paraId="4E201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7EB77BD9">
            <w:pPr>
              <w:pStyle w:val="185"/>
              <w:spacing w:line="240" w:lineRule="auto"/>
              <w:ind w:firstLine="0"/>
              <w:jc w:val="center"/>
              <w:rPr>
                <w:rFonts w:hint="eastAsia"/>
                <w:color w:val="000000"/>
                <w:sz w:val="17"/>
                <w:szCs w:val="17"/>
              </w:rPr>
            </w:pPr>
            <w:r>
              <w:rPr>
                <w:rFonts w:hint="eastAsia"/>
                <w:color w:val="000000"/>
                <w:sz w:val="17"/>
                <w:szCs w:val="17"/>
              </w:rPr>
              <w:t>4</w:t>
            </w:r>
          </w:p>
        </w:tc>
        <w:tc>
          <w:tcPr>
            <w:tcW w:w="668" w:type="pct"/>
            <w:vMerge w:val="restart"/>
            <w:tcBorders>
              <w:tl2br w:val="nil"/>
              <w:tr2bl w:val="nil"/>
            </w:tcBorders>
            <w:shd w:val="clear" w:color="auto" w:fill="auto"/>
            <w:vAlign w:val="center"/>
          </w:tcPr>
          <w:p w14:paraId="601723C6">
            <w:pPr>
              <w:pStyle w:val="185"/>
              <w:spacing w:line="240" w:lineRule="auto"/>
              <w:ind w:firstLine="0"/>
              <w:jc w:val="center"/>
              <w:rPr>
                <w:rFonts w:hint="eastAsia"/>
                <w:color w:val="000000"/>
                <w:sz w:val="17"/>
                <w:szCs w:val="17"/>
              </w:rPr>
            </w:pPr>
            <w:r>
              <w:rPr>
                <w:rFonts w:hint="eastAsia"/>
                <w:color w:val="000000"/>
                <w:sz w:val="17"/>
                <w:szCs w:val="17"/>
              </w:rPr>
              <w:t>供配电系统要求</w:t>
            </w:r>
          </w:p>
        </w:tc>
        <w:tc>
          <w:tcPr>
            <w:tcW w:w="2575" w:type="pct"/>
            <w:tcBorders>
              <w:tl2br w:val="nil"/>
              <w:tr2bl w:val="nil"/>
            </w:tcBorders>
            <w:shd w:val="clear" w:color="auto" w:fill="auto"/>
            <w:vAlign w:val="center"/>
          </w:tcPr>
          <w:p w14:paraId="72C44B27">
            <w:pPr>
              <w:pStyle w:val="185"/>
              <w:spacing w:line="240" w:lineRule="auto"/>
              <w:ind w:firstLine="0"/>
              <w:jc w:val="center"/>
              <w:rPr>
                <w:rFonts w:hint="eastAsia"/>
                <w:color w:val="000000"/>
                <w:sz w:val="17"/>
                <w:szCs w:val="17"/>
              </w:rPr>
            </w:pPr>
            <w:r>
              <w:rPr>
                <w:rFonts w:hint="eastAsia"/>
                <w:color w:val="000000"/>
                <w:sz w:val="17"/>
                <w:szCs w:val="17"/>
              </w:rPr>
              <w:t>模块化数据中心内宜采用一体化UPS系统</w:t>
            </w:r>
          </w:p>
        </w:tc>
        <w:tc>
          <w:tcPr>
            <w:tcW w:w="307" w:type="pct"/>
            <w:tcBorders>
              <w:tl2br w:val="nil"/>
              <w:tr2bl w:val="nil"/>
            </w:tcBorders>
            <w:shd w:val="clear" w:color="auto" w:fill="auto"/>
            <w:noWrap/>
            <w:vAlign w:val="center"/>
          </w:tcPr>
          <w:p w14:paraId="6F840A68">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37901FB5">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restart"/>
            <w:tcBorders>
              <w:tl2br w:val="nil"/>
              <w:tr2bl w:val="nil"/>
            </w:tcBorders>
            <w:shd w:val="clear" w:color="auto" w:fill="auto"/>
            <w:vAlign w:val="center"/>
          </w:tcPr>
          <w:p w14:paraId="2F1D3A32">
            <w:pPr>
              <w:pStyle w:val="185"/>
              <w:spacing w:line="240" w:lineRule="auto"/>
              <w:ind w:firstLine="0"/>
              <w:jc w:val="center"/>
              <w:rPr>
                <w:rFonts w:hint="eastAsia"/>
                <w:color w:val="000000"/>
                <w:sz w:val="17"/>
                <w:szCs w:val="17"/>
              </w:rPr>
            </w:pPr>
            <w:r>
              <w:rPr>
                <w:rFonts w:hint="eastAsia"/>
                <w:color w:val="000000"/>
                <w:sz w:val="17"/>
                <w:szCs w:val="17"/>
              </w:rPr>
              <w:t>4.1.2</w:t>
            </w:r>
          </w:p>
        </w:tc>
        <w:tc>
          <w:tcPr>
            <w:tcW w:w="356" w:type="pct"/>
            <w:vMerge w:val="restart"/>
            <w:tcBorders>
              <w:tl2br w:val="nil"/>
              <w:tr2bl w:val="nil"/>
            </w:tcBorders>
            <w:shd w:val="clear" w:color="auto" w:fill="auto"/>
            <w:vAlign w:val="center"/>
          </w:tcPr>
          <w:p w14:paraId="0F4E6908">
            <w:pPr>
              <w:pStyle w:val="185"/>
              <w:spacing w:line="240" w:lineRule="auto"/>
              <w:ind w:firstLine="0"/>
              <w:jc w:val="center"/>
              <w:rPr>
                <w:rFonts w:hint="eastAsia"/>
                <w:color w:val="000000"/>
                <w:sz w:val="17"/>
                <w:szCs w:val="17"/>
              </w:rPr>
            </w:pPr>
            <w:r>
              <w:rPr>
                <w:rFonts w:hint="eastAsia"/>
                <w:color w:val="000000"/>
                <w:sz w:val="17"/>
                <w:szCs w:val="17"/>
              </w:rPr>
              <w:t>5.1.2</w:t>
            </w:r>
          </w:p>
        </w:tc>
      </w:tr>
      <w:tr w14:paraId="2BFD2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76" w:type="pct"/>
            <w:tcBorders>
              <w:tl2br w:val="nil"/>
              <w:tr2bl w:val="nil"/>
            </w:tcBorders>
            <w:shd w:val="clear" w:color="auto" w:fill="auto"/>
            <w:vAlign w:val="center"/>
          </w:tcPr>
          <w:p w14:paraId="40D42415">
            <w:pPr>
              <w:pStyle w:val="185"/>
              <w:spacing w:line="240" w:lineRule="auto"/>
              <w:ind w:firstLine="0"/>
              <w:jc w:val="center"/>
              <w:rPr>
                <w:rFonts w:hint="eastAsia"/>
                <w:color w:val="000000"/>
                <w:sz w:val="17"/>
                <w:szCs w:val="17"/>
              </w:rPr>
            </w:pPr>
            <w:r>
              <w:rPr>
                <w:rFonts w:hint="eastAsia"/>
                <w:color w:val="000000"/>
                <w:sz w:val="17"/>
                <w:szCs w:val="17"/>
              </w:rPr>
              <w:t>5</w:t>
            </w:r>
          </w:p>
        </w:tc>
        <w:tc>
          <w:tcPr>
            <w:tcW w:w="668" w:type="pct"/>
            <w:vMerge w:val="continue"/>
            <w:tcBorders>
              <w:tl2br w:val="nil"/>
              <w:tr2bl w:val="nil"/>
            </w:tcBorders>
            <w:vAlign w:val="center"/>
          </w:tcPr>
          <w:p w14:paraId="257902FC">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2E7450B8">
            <w:pPr>
              <w:pStyle w:val="185"/>
              <w:spacing w:line="240" w:lineRule="auto"/>
              <w:ind w:firstLine="0"/>
              <w:jc w:val="center"/>
              <w:rPr>
                <w:rFonts w:hint="eastAsia"/>
                <w:color w:val="000000"/>
                <w:sz w:val="17"/>
                <w:szCs w:val="17"/>
              </w:rPr>
            </w:pPr>
            <w:r>
              <w:rPr>
                <w:rFonts w:hint="eastAsia"/>
                <w:color w:val="000000"/>
                <w:sz w:val="17"/>
                <w:szCs w:val="17"/>
              </w:rPr>
              <w:t>宜具备精密空调，精密空调使用一体化UPS系统供电时，精密空调启动、运行和故障维护时，电子信息设备的正常运行应不受影响</w:t>
            </w:r>
          </w:p>
        </w:tc>
        <w:tc>
          <w:tcPr>
            <w:tcW w:w="307" w:type="pct"/>
            <w:tcBorders>
              <w:tl2br w:val="nil"/>
              <w:tr2bl w:val="nil"/>
            </w:tcBorders>
            <w:shd w:val="clear" w:color="auto" w:fill="auto"/>
            <w:noWrap/>
            <w:vAlign w:val="center"/>
          </w:tcPr>
          <w:p w14:paraId="3F496E26">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7F137055">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27C9667D">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746D9BC1">
            <w:pPr>
              <w:pStyle w:val="185"/>
              <w:spacing w:line="240" w:lineRule="auto"/>
              <w:ind w:firstLine="0"/>
              <w:jc w:val="center"/>
              <w:rPr>
                <w:rFonts w:hint="eastAsia"/>
                <w:color w:val="000000"/>
                <w:sz w:val="17"/>
                <w:szCs w:val="17"/>
              </w:rPr>
            </w:pPr>
          </w:p>
        </w:tc>
      </w:tr>
      <w:tr w14:paraId="167B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41569E65">
            <w:pPr>
              <w:pStyle w:val="185"/>
              <w:spacing w:line="240" w:lineRule="auto"/>
              <w:ind w:firstLine="0"/>
              <w:jc w:val="center"/>
              <w:rPr>
                <w:rFonts w:hint="eastAsia"/>
                <w:color w:val="000000"/>
                <w:sz w:val="17"/>
                <w:szCs w:val="17"/>
              </w:rPr>
            </w:pPr>
            <w:r>
              <w:rPr>
                <w:rFonts w:hint="eastAsia"/>
                <w:color w:val="000000"/>
                <w:sz w:val="17"/>
                <w:szCs w:val="17"/>
                <w:lang w:val="en-US" w:eastAsia="zh-CN"/>
              </w:rPr>
              <w:t>6</w:t>
            </w:r>
          </w:p>
        </w:tc>
        <w:tc>
          <w:tcPr>
            <w:tcW w:w="668" w:type="pct"/>
            <w:vMerge w:val="restart"/>
            <w:tcBorders>
              <w:tl2br w:val="nil"/>
              <w:tr2bl w:val="nil"/>
            </w:tcBorders>
            <w:shd w:val="clear" w:color="auto" w:fill="auto"/>
            <w:vAlign w:val="center"/>
          </w:tcPr>
          <w:p w14:paraId="1FE800D4">
            <w:pPr>
              <w:pStyle w:val="185"/>
              <w:spacing w:line="240" w:lineRule="auto"/>
              <w:ind w:firstLine="0"/>
              <w:jc w:val="center"/>
              <w:rPr>
                <w:rFonts w:hint="eastAsia"/>
                <w:color w:val="000000"/>
                <w:sz w:val="17"/>
                <w:szCs w:val="17"/>
                <w:lang w:val="en-US" w:eastAsia="zh-CN"/>
              </w:rPr>
            </w:pPr>
            <w:r>
              <w:rPr>
                <w:rFonts w:hint="eastAsia"/>
                <w:color w:val="000000"/>
                <w:sz w:val="17"/>
                <w:szCs w:val="17"/>
              </w:rPr>
              <w:t>制冷系统</w:t>
            </w:r>
            <w:r>
              <w:rPr>
                <w:rFonts w:hint="eastAsia"/>
                <w:color w:val="000000"/>
                <w:sz w:val="17"/>
                <w:szCs w:val="17"/>
                <w:lang w:val="en-US" w:eastAsia="zh-CN"/>
              </w:rPr>
              <w:t>要求</w:t>
            </w:r>
          </w:p>
        </w:tc>
        <w:tc>
          <w:tcPr>
            <w:tcW w:w="2575" w:type="pct"/>
            <w:tcBorders>
              <w:tl2br w:val="nil"/>
              <w:tr2bl w:val="nil"/>
            </w:tcBorders>
            <w:shd w:val="clear" w:color="auto" w:fill="auto"/>
            <w:vAlign w:val="center"/>
          </w:tcPr>
          <w:p w14:paraId="22747CD7">
            <w:pPr>
              <w:pStyle w:val="185"/>
              <w:spacing w:line="240" w:lineRule="auto"/>
              <w:ind w:firstLine="0"/>
              <w:jc w:val="center"/>
              <w:rPr>
                <w:rFonts w:hint="eastAsia"/>
                <w:color w:val="000000"/>
                <w:sz w:val="17"/>
                <w:szCs w:val="17"/>
              </w:rPr>
            </w:pPr>
            <w:r>
              <w:rPr>
                <w:rFonts w:hint="eastAsia"/>
                <w:color w:val="000000"/>
                <w:sz w:val="17"/>
                <w:szCs w:val="17"/>
              </w:rPr>
              <w:t>模块化数据中心采用封闭冷通道时，宜采用冷通道温度控制（如空调采用送风温度控制、采用回风控制等），以符合服务器进风温度恒定的要求</w:t>
            </w:r>
          </w:p>
        </w:tc>
        <w:tc>
          <w:tcPr>
            <w:tcW w:w="307" w:type="pct"/>
            <w:tcBorders>
              <w:tl2br w:val="nil"/>
              <w:tr2bl w:val="nil"/>
            </w:tcBorders>
            <w:shd w:val="clear" w:color="auto" w:fill="auto"/>
            <w:noWrap/>
            <w:vAlign w:val="center"/>
          </w:tcPr>
          <w:p w14:paraId="69E603F1">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38322B76">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restart"/>
            <w:tcBorders>
              <w:tl2br w:val="nil"/>
              <w:tr2bl w:val="nil"/>
            </w:tcBorders>
            <w:shd w:val="clear" w:color="auto" w:fill="auto"/>
            <w:vAlign w:val="center"/>
          </w:tcPr>
          <w:p w14:paraId="77BA31D2">
            <w:pPr>
              <w:pStyle w:val="185"/>
              <w:spacing w:line="240" w:lineRule="auto"/>
              <w:ind w:firstLine="0"/>
              <w:jc w:val="center"/>
              <w:rPr>
                <w:rFonts w:hint="eastAsia"/>
                <w:color w:val="000000"/>
                <w:sz w:val="17"/>
                <w:szCs w:val="17"/>
              </w:rPr>
            </w:pPr>
            <w:r>
              <w:rPr>
                <w:rFonts w:hint="eastAsia"/>
                <w:color w:val="000000"/>
                <w:sz w:val="17"/>
                <w:szCs w:val="17"/>
              </w:rPr>
              <w:t>4.1.3</w:t>
            </w:r>
          </w:p>
        </w:tc>
        <w:tc>
          <w:tcPr>
            <w:tcW w:w="356" w:type="pct"/>
            <w:vMerge w:val="restart"/>
            <w:tcBorders>
              <w:tl2br w:val="nil"/>
              <w:tr2bl w:val="nil"/>
            </w:tcBorders>
            <w:shd w:val="clear" w:color="auto" w:fill="auto"/>
            <w:vAlign w:val="center"/>
          </w:tcPr>
          <w:p w14:paraId="3D162AF8">
            <w:pPr>
              <w:pStyle w:val="185"/>
              <w:spacing w:line="240" w:lineRule="auto"/>
              <w:ind w:firstLine="0"/>
              <w:jc w:val="center"/>
              <w:rPr>
                <w:rFonts w:hint="eastAsia"/>
                <w:color w:val="000000"/>
                <w:sz w:val="17"/>
                <w:szCs w:val="17"/>
              </w:rPr>
            </w:pPr>
            <w:r>
              <w:rPr>
                <w:rFonts w:hint="eastAsia"/>
                <w:color w:val="000000"/>
                <w:sz w:val="17"/>
                <w:szCs w:val="17"/>
              </w:rPr>
              <w:t>5.1.3</w:t>
            </w:r>
          </w:p>
        </w:tc>
      </w:tr>
      <w:tr w14:paraId="3D913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758D1E52">
            <w:pPr>
              <w:pStyle w:val="185"/>
              <w:spacing w:line="240" w:lineRule="auto"/>
              <w:ind w:firstLine="0"/>
              <w:jc w:val="center"/>
              <w:rPr>
                <w:rFonts w:hint="eastAsia"/>
                <w:color w:val="000000"/>
                <w:sz w:val="17"/>
                <w:szCs w:val="17"/>
              </w:rPr>
            </w:pPr>
            <w:r>
              <w:rPr>
                <w:rFonts w:hint="eastAsia"/>
                <w:color w:val="000000"/>
                <w:sz w:val="17"/>
                <w:szCs w:val="17"/>
                <w:lang w:val="en-US" w:eastAsia="zh-CN"/>
              </w:rPr>
              <w:t>7</w:t>
            </w:r>
          </w:p>
        </w:tc>
        <w:tc>
          <w:tcPr>
            <w:tcW w:w="668" w:type="pct"/>
            <w:vMerge w:val="continue"/>
            <w:tcBorders>
              <w:tl2br w:val="nil"/>
              <w:tr2bl w:val="nil"/>
            </w:tcBorders>
            <w:vAlign w:val="center"/>
          </w:tcPr>
          <w:p w14:paraId="4F193FB7">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16AE1C5C">
            <w:pPr>
              <w:pStyle w:val="185"/>
              <w:spacing w:line="240" w:lineRule="auto"/>
              <w:ind w:firstLine="0"/>
              <w:jc w:val="center"/>
              <w:rPr>
                <w:rFonts w:hint="eastAsia"/>
                <w:color w:val="000000"/>
                <w:sz w:val="17"/>
                <w:szCs w:val="17"/>
              </w:rPr>
            </w:pPr>
            <w:r>
              <w:rPr>
                <w:rFonts w:hint="eastAsia"/>
                <w:color w:val="000000"/>
                <w:sz w:val="17"/>
                <w:szCs w:val="17"/>
              </w:rPr>
              <w:t>模块化数据中心产品宜具备连续制冷功能</w:t>
            </w:r>
          </w:p>
        </w:tc>
        <w:tc>
          <w:tcPr>
            <w:tcW w:w="307" w:type="pct"/>
            <w:tcBorders>
              <w:tl2br w:val="nil"/>
              <w:tr2bl w:val="nil"/>
            </w:tcBorders>
            <w:shd w:val="clear" w:color="auto" w:fill="auto"/>
            <w:noWrap/>
            <w:vAlign w:val="center"/>
          </w:tcPr>
          <w:p w14:paraId="3082B6D6">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21ACF92D">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03DFE721">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3FB27DCF">
            <w:pPr>
              <w:pStyle w:val="185"/>
              <w:spacing w:line="240" w:lineRule="auto"/>
              <w:ind w:firstLine="0"/>
              <w:jc w:val="center"/>
              <w:rPr>
                <w:rFonts w:hint="eastAsia"/>
                <w:color w:val="000000"/>
                <w:sz w:val="17"/>
                <w:szCs w:val="17"/>
              </w:rPr>
            </w:pPr>
          </w:p>
        </w:tc>
      </w:tr>
      <w:tr w14:paraId="6C3B5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06FBD689">
            <w:pPr>
              <w:pStyle w:val="185"/>
              <w:spacing w:line="240" w:lineRule="auto"/>
              <w:ind w:firstLine="0"/>
              <w:jc w:val="center"/>
              <w:rPr>
                <w:rFonts w:hint="eastAsia"/>
                <w:color w:val="000000"/>
                <w:sz w:val="17"/>
                <w:szCs w:val="17"/>
              </w:rPr>
            </w:pPr>
            <w:r>
              <w:rPr>
                <w:rFonts w:hint="eastAsia"/>
                <w:color w:val="000000"/>
                <w:sz w:val="17"/>
                <w:szCs w:val="17"/>
                <w:lang w:val="en-US" w:eastAsia="zh-CN"/>
              </w:rPr>
              <w:t>8</w:t>
            </w:r>
          </w:p>
        </w:tc>
        <w:tc>
          <w:tcPr>
            <w:tcW w:w="668" w:type="pct"/>
            <w:vMerge w:val="restart"/>
            <w:tcBorders>
              <w:tl2br w:val="nil"/>
              <w:tr2bl w:val="nil"/>
            </w:tcBorders>
            <w:shd w:val="clear" w:color="auto" w:fill="auto"/>
            <w:vAlign w:val="center"/>
          </w:tcPr>
          <w:p w14:paraId="06620370">
            <w:pPr>
              <w:pStyle w:val="185"/>
              <w:spacing w:line="240" w:lineRule="auto"/>
              <w:ind w:firstLine="0"/>
              <w:jc w:val="center"/>
              <w:rPr>
                <w:rFonts w:hint="eastAsia"/>
                <w:color w:val="000000"/>
                <w:sz w:val="17"/>
                <w:szCs w:val="17"/>
              </w:rPr>
            </w:pPr>
            <w:r>
              <w:rPr>
                <w:rFonts w:hint="eastAsia"/>
                <w:color w:val="000000"/>
                <w:sz w:val="17"/>
                <w:szCs w:val="17"/>
              </w:rPr>
              <w:t>动力环境监控系统要求</w:t>
            </w:r>
          </w:p>
        </w:tc>
        <w:tc>
          <w:tcPr>
            <w:tcW w:w="2575" w:type="pct"/>
            <w:tcBorders>
              <w:tl2br w:val="nil"/>
              <w:tr2bl w:val="nil"/>
            </w:tcBorders>
            <w:shd w:val="clear" w:color="auto" w:fill="auto"/>
            <w:vAlign w:val="center"/>
          </w:tcPr>
          <w:p w14:paraId="792AA5F8">
            <w:pPr>
              <w:pStyle w:val="185"/>
              <w:spacing w:line="240" w:lineRule="auto"/>
              <w:ind w:firstLine="0"/>
              <w:jc w:val="center"/>
              <w:rPr>
                <w:rFonts w:hint="eastAsia"/>
                <w:color w:val="000000"/>
                <w:sz w:val="17"/>
                <w:szCs w:val="17"/>
              </w:rPr>
            </w:pPr>
            <w:r>
              <w:rPr>
                <w:rFonts w:hint="eastAsia"/>
                <w:color w:val="000000"/>
                <w:sz w:val="17"/>
                <w:szCs w:val="17"/>
              </w:rPr>
              <w:t>动力环境监控系统的供电应可靠，宜采用不间断电源系统供电</w:t>
            </w:r>
          </w:p>
        </w:tc>
        <w:tc>
          <w:tcPr>
            <w:tcW w:w="307" w:type="pct"/>
            <w:tcBorders>
              <w:tl2br w:val="nil"/>
              <w:tr2bl w:val="nil"/>
            </w:tcBorders>
            <w:shd w:val="clear" w:color="auto" w:fill="auto"/>
            <w:noWrap/>
            <w:vAlign w:val="center"/>
          </w:tcPr>
          <w:p w14:paraId="742E0377">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2447ED7C">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restart"/>
            <w:tcBorders>
              <w:tl2br w:val="nil"/>
              <w:tr2bl w:val="nil"/>
            </w:tcBorders>
            <w:shd w:val="clear" w:color="auto" w:fill="auto"/>
            <w:vAlign w:val="center"/>
          </w:tcPr>
          <w:p w14:paraId="766E6E42">
            <w:pPr>
              <w:pStyle w:val="185"/>
              <w:spacing w:line="240" w:lineRule="auto"/>
              <w:ind w:firstLine="0"/>
              <w:jc w:val="center"/>
              <w:rPr>
                <w:rFonts w:hint="eastAsia"/>
                <w:color w:val="000000"/>
                <w:sz w:val="17"/>
                <w:szCs w:val="17"/>
              </w:rPr>
            </w:pPr>
            <w:r>
              <w:rPr>
                <w:rFonts w:hint="eastAsia"/>
                <w:color w:val="000000"/>
                <w:sz w:val="17"/>
                <w:szCs w:val="17"/>
              </w:rPr>
              <w:t>4.1.4</w:t>
            </w:r>
          </w:p>
        </w:tc>
        <w:tc>
          <w:tcPr>
            <w:tcW w:w="356" w:type="pct"/>
            <w:vMerge w:val="restart"/>
            <w:tcBorders>
              <w:tl2br w:val="nil"/>
              <w:tr2bl w:val="nil"/>
            </w:tcBorders>
            <w:shd w:val="clear" w:color="auto" w:fill="auto"/>
            <w:vAlign w:val="center"/>
          </w:tcPr>
          <w:p w14:paraId="0588CD5F">
            <w:pPr>
              <w:pStyle w:val="185"/>
              <w:spacing w:line="240" w:lineRule="auto"/>
              <w:ind w:firstLine="0"/>
              <w:jc w:val="center"/>
              <w:rPr>
                <w:rFonts w:hint="eastAsia"/>
                <w:color w:val="000000"/>
                <w:sz w:val="17"/>
                <w:szCs w:val="17"/>
              </w:rPr>
            </w:pPr>
            <w:r>
              <w:rPr>
                <w:rFonts w:hint="eastAsia"/>
                <w:color w:val="000000"/>
                <w:sz w:val="17"/>
                <w:szCs w:val="17"/>
              </w:rPr>
              <w:t>5.1.4</w:t>
            </w:r>
          </w:p>
        </w:tc>
      </w:tr>
      <w:tr w14:paraId="57E0D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3CA515B0">
            <w:pPr>
              <w:pStyle w:val="185"/>
              <w:spacing w:line="240" w:lineRule="auto"/>
              <w:ind w:firstLine="0"/>
              <w:jc w:val="center"/>
              <w:rPr>
                <w:rFonts w:hint="eastAsia"/>
                <w:color w:val="000000"/>
                <w:sz w:val="17"/>
                <w:szCs w:val="17"/>
              </w:rPr>
            </w:pPr>
            <w:r>
              <w:rPr>
                <w:rFonts w:hint="eastAsia"/>
                <w:color w:val="000000"/>
                <w:sz w:val="17"/>
                <w:szCs w:val="17"/>
                <w:lang w:val="en-US" w:eastAsia="zh-CN"/>
              </w:rPr>
              <w:t>9</w:t>
            </w:r>
          </w:p>
        </w:tc>
        <w:tc>
          <w:tcPr>
            <w:tcW w:w="668" w:type="pct"/>
            <w:vMerge w:val="continue"/>
            <w:tcBorders>
              <w:tl2br w:val="nil"/>
              <w:tr2bl w:val="nil"/>
            </w:tcBorders>
            <w:shd w:val="clear" w:color="auto" w:fill="auto"/>
            <w:vAlign w:val="center"/>
          </w:tcPr>
          <w:p w14:paraId="243DDBFA">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742CD3E5">
            <w:pPr>
              <w:pStyle w:val="185"/>
              <w:spacing w:line="240" w:lineRule="auto"/>
              <w:ind w:firstLine="0"/>
              <w:jc w:val="center"/>
              <w:rPr>
                <w:rFonts w:hint="eastAsia"/>
                <w:color w:val="000000"/>
                <w:sz w:val="17"/>
                <w:szCs w:val="17"/>
              </w:rPr>
            </w:pPr>
            <w:r>
              <w:rPr>
                <w:rFonts w:hint="eastAsia"/>
                <w:color w:val="000000"/>
                <w:sz w:val="17"/>
                <w:szCs w:val="17"/>
              </w:rPr>
              <w:t>宜具有本模块显示功能，并具有友好的人机对话界面和汉字支持能力</w:t>
            </w:r>
          </w:p>
        </w:tc>
        <w:tc>
          <w:tcPr>
            <w:tcW w:w="307" w:type="pct"/>
            <w:tcBorders>
              <w:tl2br w:val="nil"/>
              <w:tr2bl w:val="nil"/>
            </w:tcBorders>
            <w:shd w:val="clear" w:color="auto" w:fill="auto"/>
            <w:noWrap/>
            <w:vAlign w:val="center"/>
          </w:tcPr>
          <w:p w14:paraId="76C9DC5E">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1" w:type="pct"/>
            <w:tcBorders>
              <w:tl2br w:val="nil"/>
              <w:tr2bl w:val="nil"/>
            </w:tcBorders>
            <w:shd w:val="clear" w:color="auto" w:fill="auto"/>
            <w:noWrap/>
            <w:vAlign w:val="center"/>
          </w:tcPr>
          <w:p w14:paraId="3917FCCF">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25" w:type="pct"/>
            <w:vMerge w:val="continue"/>
            <w:tcBorders>
              <w:tl2br w:val="nil"/>
              <w:tr2bl w:val="nil"/>
            </w:tcBorders>
            <w:shd w:val="clear" w:color="auto" w:fill="auto"/>
            <w:vAlign w:val="center"/>
          </w:tcPr>
          <w:p w14:paraId="684A5203">
            <w:pPr>
              <w:pStyle w:val="185"/>
              <w:spacing w:line="240" w:lineRule="auto"/>
              <w:ind w:firstLine="0"/>
              <w:jc w:val="center"/>
              <w:rPr>
                <w:rFonts w:hint="eastAsia"/>
                <w:color w:val="000000"/>
                <w:sz w:val="17"/>
                <w:szCs w:val="17"/>
              </w:rPr>
            </w:pPr>
          </w:p>
        </w:tc>
        <w:tc>
          <w:tcPr>
            <w:tcW w:w="356" w:type="pct"/>
            <w:vMerge w:val="continue"/>
            <w:tcBorders>
              <w:tl2br w:val="nil"/>
              <w:tr2bl w:val="nil"/>
            </w:tcBorders>
            <w:shd w:val="clear" w:color="auto" w:fill="auto"/>
            <w:vAlign w:val="center"/>
          </w:tcPr>
          <w:p w14:paraId="06391B81">
            <w:pPr>
              <w:pStyle w:val="185"/>
              <w:spacing w:line="240" w:lineRule="auto"/>
              <w:ind w:firstLine="0"/>
              <w:jc w:val="center"/>
              <w:rPr>
                <w:rFonts w:hint="eastAsia"/>
                <w:color w:val="000000"/>
                <w:sz w:val="17"/>
                <w:szCs w:val="17"/>
              </w:rPr>
            </w:pPr>
          </w:p>
        </w:tc>
      </w:tr>
      <w:tr w14:paraId="55B5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66EE7F12">
            <w:pPr>
              <w:pStyle w:val="185"/>
              <w:spacing w:line="240" w:lineRule="auto"/>
              <w:ind w:firstLine="0"/>
              <w:jc w:val="center"/>
              <w:rPr>
                <w:rFonts w:hint="eastAsia"/>
                <w:color w:val="000000"/>
                <w:sz w:val="17"/>
                <w:szCs w:val="17"/>
              </w:rPr>
            </w:pPr>
            <w:r>
              <w:rPr>
                <w:rFonts w:hint="eastAsia"/>
                <w:color w:val="000000"/>
                <w:sz w:val="17"/>
                <w:szCs w:val="17"/>
                <w:lang w:val="en-US" w:eastAsia="zh-CN"/>
              </w:rPr>
              <w:t>10</w:t>
            </w:r>
          </w:p>
        </w:tc>
        <w:tc>
          <w:tcPr>
            <w:tcW w:w="668" w:type="pct"/>
            <w:vMerge w:val="continue"/>
            <w:tcBorders>
              <w:tl2br w:val="nil"/>
              <w:tr2bl w:val="nil"/>
            </w:tcBorders>
            <w:vAlign w:val="center"/>
          </w:tcPr>
          <w:p w14:paraId="668DBA9E">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663D1A82">
            <w:pPr>
              <w:pStyle w:val="185"/>
              <w:spacing w:line="240" w:lineRule="auto"/>
              <w:ind w:firstLine="0"/>
              <w:jc w:val="center"/>
              <w:rPr>
                <w:rFonts w:hint="eastAsia"/>
                <w:color w:val="000000"/>
                <w:sz w:val="17"/>
                <w:szCs w:val="17"/>
              </w:rPr>
            </w:pPr>
            <w:r>
              <w:rPr>
                <w:rFonts w:hint="eastAsia"/>
                <w:color w:val="000000"/>
                <w:sz w:val="17"/>
                <w:szCs w:val="17"/>
              </w:rPr>
              <w:t>动力环境监控系统宜具备能效管理</w:t>
            </w:r>
          </w:p>
        </w:tc>
        <w:tc>
          <w:tcPr>
            <w:tcW w:w="307" w:type="pct"/>
            <w:tcBorders>
              <w:tl2br w:val="nil"/>
              <w:tr2bl w:val="nil"/>
            </w:tcBorders>
            <w:shd w:val="clear" w:color="auto" w:fill="auto"/>
            <w:noWrap/>
            <w:vAlign w:val="center"/>
          </w:tcPr>
          <w:p w14:paraId="512EE8A2">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0F9F6EEA">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726EB53C">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1C2BC1C6">
            <w:pPr>
              <w:pStyle w:val="185"/>
              <w:spacing w:line="240" w:lineRule="auto"/>
              <w:ind w:firstLine="0"/>
              <w:jc w:val="center"/>
              <w:rPr>
                <w:rFonts w:hint="eastAsia"/>
                <w:color w:val="000000"/>
                <w:sz w:val="17"/>
                <w:szCs w:val="17"/>
              </w:rPr>
            </w:pPr>
          </w:p>
        </w:tc>
      </w:tr>
      <w:tr w14:paraId="0CAA0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315DD1D4">
            <w:pPr>
              <w:pStyle w:val="185"/>
              <w:spacing w:line="240" w:lineRule="auto"/>
              <w:ind w:firstLine="0"/>
              <w:jc w:val="center"/>
              <w:rPr>
                <w:rFonts w:hint="eastAsia"/>
                <w:color w:val="000000"/>
                <w:sz w:val="17"/>
                <w:szCs w:val="17"/>
              </w:rPr>
            </w:pPr>
            <w:r>
              <w:rPr>
                <w:rFonts w:hint="eastAsia"/>
                <w:color w:val="000000"/>
                <w:sz w:val="17"/>
                <w:szCs w:val="17"/>
                <w:lang w:val="en-US" w:eastAsia="zh-CN"/>
              </w:rPr>
              <w:t>11</w:t>
            </w:r>
          </w:p>
        </w:tc>
        <w:tc>
          <w:tcPr>
            <w:tcW w:w="668" w:type="pct"/>
            <w:vMerge w:val="continue"/>
            <w:tcBorders>
              <w:tl2br w:val="nil"/>
              <w:tr2bl w:val="nil"/>
            </w:tcBorders>
            <w:vAlign w:val="center"/>
          </w:tcPr>
          <w:p w14:paraId="77478E19">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0F235E5B">
            <w:pPr>
              <w:pStyle w:val="185"/>
              <w:spacing w:line="240" w:lineRule="auto"/>
              <w:ind w:firstLine="0"/>
              <w:jc w:val="center"/>
              <w:rPr>
                <w:rFonts w:hint="eastAsia"/>
                <w:color w:val="000000"/>
                <w:sz w:val="17"/>
                <w:szCs w:val="17"/>
              </w:rPr>
            </w:pPr>
            <w:r>
              <w:rPr>
                <w:rFonts w:hint="eastAsia"/>
                <w:color w:val="000000"/>
                <w:sz w:val="17"/>
                <w:szCs w:val="17"/>
              </w:rPr>
              <w:t>动力环境监控系统宜具备3D可视化监控管理</w:t>
            </w:r>
          </w:p>
        </w:tc>
        <w:tc>
          <w:tcPr>
            <w:tcW w:w="307" w:type="pct"/>
            <w:tcBorders>
              <w:tl2br w:val="nil"/>
              <w:tr2bl w:val="nil"/>
            </w:tcBorders>
            <w:shd w:val="clear" w:color="auto" w:fill="auto"/>
            <w:noWrap/>
            <w:vAlign w:val="center"/>
          </w:tcPr>
          <w:p w14:paraId="5AE7738B">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1" w:type="pct"/>
            <w:tcBorders>
              <w:tl2br w:val="nil"/>
              <w:tr2bl w:val="nil"/>
            </w:tcBorders>
            <w:shd w:val="clear" w:color="auto" w:fill="auto"/>
            <w:noWrap/>
            <w:vAlign w:val="center"/>
          </w:tcPr>
          <w:p w14:paraId="7C4874F5">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25" w:type="pct"/>
            <w:vMerge w:val="continue"/>
            <w:tcBorders>
              <w:tl2br w:val="nil"/>
              <w:tr2bl w:val="nil"/>
            </w:tcBorders>
            <w:vAlign w:val="center"/>
          </w:tcPr>
          <w:p w14:paraId="02BBD691">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7B231A04">
            <w:pPr>
              <w:pStyle w:val="185"/>
              <w:spacing w:line="240" w:lineRule="auto"/>
              <w:ind w:firstLine="0"/>
              <w:jc w:val="center"/>
              <w:rPr>
                <w:rFonts w:hint="eastAsia"/>
                <w:color w:val="000000"/>
                <w:sz w:val="17"/>
                <w:szCs w:val="17"/>
              </w:rPr>
            </w:pPr>
          </w:p>
        </w:tc>
      </w:tr>
      <w:tr w14:paraId="62E8F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71940008">
            <w:pPr>
              <w:pStyle w:val="185"/>
              <w:spacing w:line="240" w:lineRule="auto"/>
              <w:ind w:firstLine="0"/>
              <w:jc w:val="center"/>
              <w:rPr>
                <w:rFonts w:hint="eastAsia"/>
                <w:color w:val="000000"/>
                <w:sz w:val="17"/>
                <w:szCs w:val="17"/>
              </w:rPr>
            </w:pPr>
            <w:r>
              <w:rPr>
                <w:rFonts w:hint="eastAsia"/>
                <w:color w:val="000000"/>
                <w:sz w:val="17"/>
                <w:szCs w:val="17"/>
                <w:lang w:val="en-US" w:eastAsia="zh-CN"/>
              </w:rPr>
              <w:t>12</w:t>
            </w:r>
          </w:p>
        </w:tc>
        <w:tc>
          <w:tcPr>
            <w:tcW w:w="668" w:type="pct"/>
            <w:vMerge w:val="continue"/>
            <w:tcBorders>
              <w:tl2br w:val="nil"/>
              <w:tr2bl w:val="nil"/>
            </w:tcBorders>
            <w:vAlign w:val="center"/>
          </w:tcPr>
          <w:p w14:paraId="55D21776">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77DADAB6">
            <w:pPr>
              <w:pStyle w:val="185"/>
              <w:spacing w:line="240" w:lineRule="auto"/>
              <w:ind w:firstLine="0"/>
              <w:jc w:val="center"/>
              <w:rPr>
                <w:rFonts w:hint="eastAsia"/>
                <w:color w:val="000000"/>
                <w:sz w:val="17"/>
                <w:szCs w:val="17"/>
              </w:rPr>
            </w:pPr>
            <w:r>
              <w:rPr>
                <w:rFonts w:hint="eastAsia"/>
                <w:color w:val="000000"/>
                <w:sz w:val="17"/>
                <w:szCs w:val="17"/>
              </w:rPr>
              <w:t>动环监控系统</w:t>
            </w:r>
            <w:r>
              <w:rPr>
                <w:rFonts w:hint="eastAsia"/>
                <w:color w:val="000000"/>
                <w:sz w:val="17"/>
                <w:szCs w:val="17"/>
                <w:lang w:val="en-US" w:eastAsia="zh-CN"/>
              </w:rPr>
              <w:t>宜</w:t>
            </w:r>
            <w:r>
              <w:rPr>
                <w:rFonts w:hint="eastAsia"/>
                <w:color w:val="000000"/>
                <w:sz w:val="17"/>
                <w:szCs w:val="17"/>
              </w:rPr>
              <w:t>具备资产管理功能</w:t>
            </w:r>
          </w:p>
        </w:tc>
        <w:tc>
          <w:tcPr>
            <w:tcW w:w="307" w:type="pct"/>
            <w:tcBorders>
              <w:tl2br w:val="nil"/>
              <w:tr2bl w:val="nil"/>
            </w:tcBorders>
            <w:shd w:val="clear" w:color="auto" w:fill="auto"/>
            <w:noWrap/>
            <w:vAlign w:val="center"/>
          </w:tcPr>
          <w:p w14:paraId="220577F2">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46D75442">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4DC83D8B">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15EDE7F9">
            <w:pPr>
              <w:pStyle w:val="185"/>
              <w:spacing w:line="240" w:lineRule="auto"/>
              <w:ind w:firstLine="0"/>
              <w:jc w:val="center"/>
              <w:rPr>
                <w:rFonts w:hint="eastAsia"/>
                <w:color w:val="000000"/>
                <w:sz w:val="17"/>
                <w:szCs w:val="17"/>
              </w:rPr>
            </w:pPr>
          </w:p>
        </w:tc>
      </w:tr>
      <w:tr w14:paraId="2189B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1DC6F120">
            <w:pPr>
              <w:pStyle w:val="185"/>
              <w:spacing w:line="240" w:lineRule="auto"/>
              <w:ind w:firstLine="0"/>
              <w:jc w:val="center"/>
              <w:rPr>
                <w:rFonts w:hint="eastAsia"/>
                <w:color w:val="000000"/>
                <w:sz w:val="17"/>
                <w:szCs w:val="17"/>
              </w:rPr>
            </w:pPr>
            <w:r>
              <w:rPr>
                <w:rFonts w:hint="eastAsia"/>
                <w:color w:val="000000"/>
                <w:sz w:val="17"/>
                <w:szCs w:val="17"/>
                <w:lang w:val="en-US" w:eastAsia="zh-CN"/>
              </w:rPr>
              <w:t>13</w:t>
            </w:r>
          </w:p>
        </w:tc>
        <w:tc>
          <w:tcPr>
            <w:tcW w:w="668" w:type="pct"/>
            <w:vMerge w:val="continue"/>
            <w:tcBorders>
              <w:tl2br w:val="nil"/>
              <w:tr2bl w:val="nil"/>
            </w:tcBorders>
            <w:vAlign w:val="center"/>
          </w:tcPr>
          <w:p w14:paraId="741D2D4B">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1E5F79D4">
            <w:pPr>
              <w:pStyle w:val="185"/>
              <w:spacing w:line="240" w:lineRule="auto"/>
              <w:ind w:firstLine="0"/>
              <w:jc w:val="center"/>
              <w:rPr>
                <w:rFonts w:hint="eastAsia"/>
                <w:color w:val="000000"/>
                <w:sz w:val="17"/>
                <w:szCs w:val="17"/>
              </w:rPr>
            </w:pPr>
            <w:r>
              <w:rPr>
                <w:rFonts w:hint="eastAsia"/>
                <w:color w:val="000000"/>
                <w:sz w:val="17"/>
                <w:szCs w:val="17"/>
              </w:rPr>
              <w:t>动环监控系统</w:t>
            </w:r>
            <w:r>
              <w:rPr>
                <w:rFonts w:hint="eastAsia"/>
                <w:color w:val="000000"/>
                <w:sz w:val="17"/>
                <w:szCs w:val="17"/>
                <w:lang w:val="en-US" w:eastAsia="zh-CN"/>
              </w:rPr>
              <w:t>宜</w:t>
            </w:r>
            <w:r>
              <w:rPr>
                <w:rFonts w:hint="eastAsia"/>
                <w:color w:val="000000"/>
                <w:sz w:val="17"/>
                <w:szCs w:val="17"/>
              </w:rPr>
              <w:t>具备容量管理等功能</w:t>
            </w:r>
          </w:p>
        </w:tc>
        <w:tc>
          <w:tcPr>
            <w:tcW w:w="307" w:type="pct"/>
            <w:tcBorders>
              <w:tl2br w:val="nil"/>
              <w:tr2bl w:val="nil"/>
            </w:tcBorders>
            <w:shd w:val="clear" w:color="auto" w:fill="auto"/>
            <w:noWrap/>
            <w:vAlign w:val="center"/>
          </w:tcPr>
          <w:p w14:paraId="4FD17CED">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32B271CE">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02C4C049">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511158D5">
            <w:pPr>
              <w:pStyle w:val="185"/>
              <w:spacing w:line="240" w:lineRule="auto"/>
              <w:ind w:firstLine="0"/>
              <w:jc w:val="center"/>
              <w:rPr>
                <w:rFonts w:hint="eastAsia"/>
                <w:color w:val="000000"/>
                <w:sz w:val="17"/>
                <w:szCs w:val="17"/>
              </w:rPr>
            </w:pPr>
          </w:p>
        </w:tc>
      </w:tr>
      <w:tr w14:paraId="54AFC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3A94C862">
            <w:pPr>
              <w:pStyle w:val="185"/>
              <w:spacing w:line="240" w:lineRule="auto"/>
              <w:ind w:firstLine="0"/>
              <w:jc w:val="center"/>
              <w:rPr>
                <w:rFonts w:hint="eastAsia"/>
                <w:color w:val="000000"/>
                <w:sz w:val="17"/>
                <w:szCs w:val="17"/>
              </w:rPr>
            </w:pPr>
            <w:r>
              <w:rPr>
                <w:rFonts w:hint="eastAsia"/>
                <w:color w:val="000000"/>
                <w:sz w:val="17"/>
                <w:szCs w:val="17"/>
                <w:lang w:val="en-US" w:eastAsia="zh-CN"/>
              </w:rPr>
              <w:t>14</w:t>
            </w:r>
          </w:p>
        </w:tc>
        <w:tc>
          <w:tcPr>
            <w:tcW w:w="668" w:type="pct"/>
            <w:vMerge w:val="continue"/>
            <w:tcBorders>
              <w:tl2br w:val="nil"/>
              <w:tr2bl w:val="nil"/>
            </w:tcBorders>
            <w:vAlign w:val="center"/>
          </w:tcPr>
          <w:p w14:paraId="78D831AA">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18F62D56">
            <w:pPr>
              <w:pStyle w:val="185"/>
              <w:spacing w:line="240" w:lineRule="auto"/>
              <w:ind w:firstLine="0"/>
              <w:jc w:val="center"/>
              <w:rPr>
                <w:rFonts w:hint="eastAsia"/>
                <w:color w:val="000000"/>
                <w:sz w:val="17"/>
                <w:szCs w:val="17"/>
              </w:rPr>
            </w:pPr>
            <w:r>
              <w:rPr>
                <w:rFonts w:hint="eastAsia"/>
                <w:color w:val="000000"/>
                <w:sz w:val="17"/>
                <w:szCs w:val="17"/>
              </w:rPr>
              <w:t>动环监控系统</w:t>
            </w:r>
            <w:r>
              <w:rPr>
                <w:rFonts w:hint="eastAsia"/>
                <w:color w:val="000000"/>
                <w:sz w:val="17"/>
                <w:szCs w:val="17"/>
                <w:lang w:val="en-US" w:eastAsia="zh-CN"/>
              </w:rPr>
              <w:t>宜</w:t>
            </w:r>
            <w:r>
              <w:rPr>
                <w:rFonts w:hint="eastAsia"/>
                <w:color w:val="000000"/>
                <w:sz w:val="17"/>
                <w:szCs w:val="17"/>
              </w:rPr>
              <w:t>具备系统运维管理功能</w:t>
            </w:r>
          </w:p>
        </w:tc>
        <w:tc>
          <w:tcPr>
            <w:tcW w:w="307" w:type="pct"/>
            <w:tcBorders>
              <w:tl2br w:val="nil"/>
              <w:tr2bl w:val="nil"/>
            </w:tcBorders>
            <w:shd w:val="clear" w:color="auto" w:fill="auto"/>
            <w:noWrap/>
            <w:vAlign w:val="center"/>
          </w:tcPr>
          <w:p w14:paraId="37360958">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1" w:type="pct"/>
            <w:tcBorders>
              <w:tl2br w:val="nil"/>
              <w:tr2bl w:val="nil"/>
            </w:tcBorders>
            <w:shd w:val="clear" w:color="auto" w:fill="auto"/>
            <w:noWrap/>
            <w:vAlign w:val="center"/>
          </w:tcPr>
          <w:p w14:paraId="2F114B4A">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25" w:type="pct"/>
            <w:vMerge w:val="continue"/>
            <w:tcBorders>
              <w:tl2br w:val="nil"/>
              <w:tr2bl w:val="nil"/>
            </w:tcBorders>
            <w:vAlign w:val="center"/>
          </w:tcPr>
          <w:p w14:paraId="458212F3">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2A1DCF8B">
            <w:pPr>
              <w:pStyle w:val="185"/>
              <w:spacing w:line="240" w:lineRule="auto"/>
              <w:ind w:firstLine="0"/>
              <w:jc w:val="center"/>
              <w:rPr>
                <w:rFonts w:hint="eastAsia"/>
                <w:color w:val="000000"/>
                <w:sz w:val="17"/>
                <w:szCs w:val="17"/>
              </w:rPr>
            </w:pPr>
          </w:p>
        </w:tc>
      </w:tr>
      <w:tr w14:paraId="092F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76036459">
            <w:pPr>
              <w:pStyle w:val="185"/>
              <w:spacing w:line="240" w:lineRule="auto"/>
              <w:ind w:firstLine="0"/>
              <w:jc w:val="center"/>
              <w:rPr>
                <w:rFonts w:hint="eastAsia"/>
                <w:color w:val="000000"/>
                <w:sz w:val="17"/>
                <w:szCs w:val="17"/>
              </w:rPr>
            </w:pPr>
            <w:r>
              <w:rPr>
                <w:rFonts w:hint="eastAsia"/>
                <w:color w:val="000000"/>
                <w:sz w:val="17"/>
                <w:szCs w:val="17"/>
                <w:lang w:val="en-US" w:eastAsia="zh-CN"/>
              </w:rPr>
              <w:t>15</w:t>
            </w:r>
          </w:p>
        </w:tc>
        <w:tc>
          <w:tcPr>
            <w:tcW w:w="668" w:type="pct"/>
            <w:vMerge w:val="continue"/>
            <w:tcBorders>
              <w:tl2br w:val="nil"/>
              <w:tr2bl w:val="nil"/>
            </w:tcBorders>
            <w:vAlign w:val="center"/>
          </w:tcPr>
          <w:p w14:paraId="7B2DA609">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2147A347">
            <w:pPr>
              <w:pStyle w:val="185"/>
              <w:spacing w:line="240" w:lineRule="auto"/>
              <w:ind w:firstLine="0"/>
              <w:jc w:val="center"/>
              <w:rPr>
                <w:rFonts w:hint="eastAsia"/>
                <w:color w:val="000000"/>
                <w:sz w:val="17"/>
                <w:szCs w:val="17"/>
              </w:rPr>
            </w:pPr>
            <w:r>
              <w:rPr>
                <w:rFonts w:hint="eastAsia"/>
                <w:color w:val="000000"/>
                <w:sz w:val="17"/>
                <w:szCs w:val="17"/>
              </w:rPr>
              <w:t>动环监控系统宜支持短信告警功能</w:t>
            </w:r>
          </w:p>
        </w:tc>
        <w:tc>
          <w:tcPr>
            <w:tcW w:w="307" w:type="pct"/>
            <w:tcBorders>
              <w:tl2br w:val="nil"/>
              <w:tr2bl w:val="nil"/>
            </w:tcBorders>
            <w:shd w:val="clear" w:color="auto" w:fill="auto"/>
            <w:noWrap/>
            <w:vAlign w:val="center"/>
          </w:tcPr>
          <w:p w14:paraId="544FA5F2">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1" w:type="pct"/>
            <w:tcBorders>
              <w:tl2br w:val="nil"/>
              <w:tr2bl w:val="nil"/>
            </w:tcBorders>
            <w:shd w:val="clear" w:color="auto" w:fill="auto"/>
            <w:noWrap/>
            <w:vAlign w:val="center"/>
          </w:tcPr>
          <w:p w14:paraId="0E9E15E0">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25" w:type="pct"/>
            <w:vMerge w:val="continue"/>
            <w:tcBorders>
              <w:tl2br w:val="nil"/>
              <w:tr2bl w:val="nil"/>
            </w:tcBorders>
            <w:vAlign w:val="center"/>
          </w:tcPr>
          <w:p w14:paraId="61B9E77F">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33F2EB06">
            <w:pPr>
              <w:pStyle w:val="185"/>
              <w:spacing w:line="240" w:lineRule="auto"/>
              <w:ind w:firstLine="0"/>
              <w:jc w:val="center"/>
              <w:rPr>
                <w:rFonts w:hint="eastAsia"/>
                <w:color w:val="000000"/>
                <w:sz w:val="17"/>
                <w:szCs w:val="17"/>
              </w:rPr>
            </w:pPr>
          </w:p>
        </w:tc>
      </w:tr>
      <w:tr w14:paraId="4B99B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6D9DED51">
            <w:pPr>
              <w:pStyle w:val="185"/>
              <w:spacing w:line="240" w:lineRule="auto"/>
              <w:ind w:firstLine="0"/>
              <w:jc w:val="center"/>
              <w:rPr>
                <w:rFonts w:hint="eastAsia"/>
                <w:color w:val="000000"/>
                <w:sz w:val="17"/>
                <w:szCs w:val="17"/>
              </w:rPr>
            </w:pPr>
            <w:r>
              <w:rPr>
                <w:rFonts w:hint="eastAsia"/>
                <w:color w:val="000000"/>
                <w:sz w:val="17"/>
                <w:szCs w:val="17"/>
                <w:lang w:val="en-US" w:eastAsia="zh-CN"/>
              </w:rPr>
              <w:t>16</w:t>
            </w:r>
          </w:p>
        </w:tc>
        <w:tc>
          <w:tcPr>
            <w:tcW w:w="668" w:type="pct"/>
            <w:vMerge w:val="continue"/>
            <w:tcBorders>
              <w:tl2br w:val="nil"/>
              <w:tr2bl w:val="nil"/>
            </w:tcBorders>
            <w:vAlign w:val="center"/>
          </w:tcPr>
          <w:p w14:paraId="5EA62DCA">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283797D8">
            <w:pPr>
              <w:pStyle w:val="185"/>
              <w:spacing w:line="240" w:lineRule="auto"/>
              <w:ind w:firstLine="0"/>
              <w:jc w:val="center"/>
              <w:rPr>
                <w:rFonts w:hint="eastAsia"/>
                <w:color w:val="000000"/>
                <w:sz w:val="17"/>
                <w:szCs w:val="17"/>
              </w:rPr>
            </w:pPr>
            <w:r>
              <w:rPr>
                <w:rFonts w:hint="eastAsia"/>
                <w:color w:val="000000"/>
                <w:sz w:val="17"/>
                <w:szCs w:val="17"/>
              </w:rPr>
              <w:t>动环监控系统宜支持移动端管理功能</w:t>
            </w:r>
          </w:p>
        </w:tc>
        <w:tc>
          <w:tcPr>
            <w:tcW w:w="307" w:type="pct"/>
            <w:tcBorders>
              <w:tl2br w:val="nil"/>
              <w:tr2bl w:val="nil"/>
            </w:tcBorders>
            <w:shd w:val="clear" w:color="auto" w:fill="auto"/>
            <w:noWrap/>
            <w:vAlign w:val="center"/>
          </w:tcPr>
          <w:p w14:paraId="77C8FDCD">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1" w:type="pct"/>
            <w:tcBorders>
              <w:tl2br w:val="nil"/>
              <w:tr2bl w:val="nil"/>
            </w:tcBorders>
            <w:shd w:val="clear" w:color="auto" w:fill="auto"/>
            <w:noWrap/>
            <w:vAlign w:val="center"/>
          </w:tcPr>
          <w:p w14:paraId="74BD947C">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25" w:type="pct"/>
            <w:vMerge w:val="continue"/>
            <w:tcBorders>
              <w:tl2br w:val="nil"/>
              <w:tr2bl w:val="nil"/>
            </w:tcBorders>
            <w:vAlign w:val="center"/>
          </w:tcPr>
          <w:p w14:paraId="27F6525C">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2FC249E5">
            <w:pPr>
              <w:pStyle w:val="185"/>
              <w:spacing w:line="240" w:lineRule="auto"/>
              <w:ind w:firstLine="0"/>
              <w:jc w:val="center"/>
              <w:rPr>
                <w:rFonts w:hint="eastAsia"/>
                <w:color w:val="000000"/>
                <w:sz w:val="17"/>
                <w:szCs w:val="17"/>
              </w:rPr>
            </w:pPr>
          </w:p>
        </w:tc>
      </w:tr>
      <w:tr w14:paraId="62CD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62509116">
            <w:pPr>
              <w:pStyle w:val="185"/>
              <w:spacing w:line="240" w:lineRule="auto"/>
              <w:ind w:firstLine="0"/>
              <w:jc w:val="center"/>
              <w:rPr>
                <w:rFonts w:hint="eastAsia"/>
                <w:color w:val="000000"/>
                <w:sz w:val="17"/>
                <w:szCs w:val="17"/>
              </w:rPr>
            </w:pPr>
            <w:r>
              <w:rPr>
                <w:rFonts w:hint="eastAsia"/>
                <w:color w:val="000000"/>
                <w:sz w:val="17"/>
                <w:szCs w:val="17"/>
                <w:lang w:val="en-US" w:eastAsia="zh-CN"/>
              </w:rPr>
              <w:t>17</w:t>
            </w:r>
          </w:p>
        </w:tc>
        <w:tc>
          <w:tcPr>
            <w:tcW w:w="668" w:type="pct"/>
            <w:vMerge w:val="restart"/>
            <w:tcBorders>
              <w:tl2br w:val="nil"/>
              <w:tr2bl w:val="nil"/>
            </w:tcBorders>
            <w:shd w:val="clear" w:color="auto" w:fill="auto"/>
            <w:vAlign w:val="center"/>
          </w:tcPr>
          <w:p w14:paraId="47DAD634">
            <w:pPr>
              <w:pStyle w:val="185"/>
              <w:spacing w:line="240" w:lineRule="auto"/>
              <w:ind w:firstLine="0"/>
              <w:jc w:val="center"/>
              <w:rPr>
                <w:rFonts w:hint="eastAsia"/>
                <w:color w:val="000000"/>
                <w:sz w:val="17"/>
                <w:szCs w:val="17"/>
                <w:lang w:val="en-US" w:eastAsia="zh-CN"/>
              </w:rPr>
            </w:pPr>
            <w:r>
              <w:rPr>
                <w:rFonts w:hint="eastAsia"/>
                <w:color w:val="000000"/>
                <w:sz w:val="17"/>
                <w:szCs w:val="17"/>
              </w:rPr>
              <w:t>安全防范系统</w:t>
            </w:r>
            <w:r>
              <w:rPr>
                <w:rFonts w:hint="eastAsia"/>
                <w:color w:val="000000"/>
                <w:sz w:val="17"/>
                <w:szCs w:val="17"/>
                <w:lang w:val="en-US" w:eastAsia="zh-CN"/>
              </w:rPr>
              <w:t>要求</w:t>
            </w:r>
          </w:p>
        </w:tc>
        <w:tc>
          <w:tcPr>
            <w:tcW w:w="2575" w:type="pct"/>
            <w:tcBorders>
              <w:tl2br w:val="nil"/>
              <w:tr2bl w:val="nil"/>
            </w:tcBorders>
            <w:shd w:val="clear" w:color="auto" w:fill="auto"/>
            <w:vAlign w:val="center"/>
          </w:tcPr>
          <w:p w14:paraId="3158613B">
            <w:pPr>
              <w:pStyle w:val="185"/>
              <w:spacing w:line="240" w:lineRule="auto"/>
              <w:ind w:firstLine="0"/>
              <w:jc w:val="center"/>
              <w:rPr>
                <w:rFonts w:hint="eastAsia"/>
                <w:color w:val="000000"/>
                <w:sz w:val="17"/>
                <w:szCs w:val="17"/>
              </w:rPr>
            </w:pPr>
            <w:r>
              <w:rPr>
                <w:rFonts w:hint="eastAsia"/>
                <w:color w:val="000000"/>
                <w:sz w:val="17"/>
                <w:szCs w:val="17"/>
              </w:rPr>
              <w:t>安全防范系统宜由视频安防监控系统、出入口控制系统构成</w:t>
            </w:r>
          </w:p>
        </w:tc>
        <w:tc>
          <w:tcPr>
            <w:tcW w:w="307" w:type="pct"/>
            <w:tcBorders>
              <w:tl2br w:val="nil"/>
              <w:tr2bl w:val="nil"/>
            </w:tcBorders>
            <w:shd w:val="clear" w:color="auto" w:fill="auto"/>
            <w:noWrap/>
            <w:vAlign w:val="center"/>
          </w:tcPr>
          <w:p w14:paraId="2696F432">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0822DAE3">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3C33FD33">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318552FD">
            <w:pPr>
              <w:pStyle w:val="185"/>
              <w:spacing w:line="240" w:lineRule="auto"/>
              <w:ind w:firstLine="0"/>
              <w:jc w:val="center"/>
              <w:rPr>
                <w:rFonts w:hint="eastAsia"/>
                <w:color w:val="000000"/>
                <w:sz w:val="17"/>
                <w:szCs w:val="17"/>
              </w:rPr>
            </w:pPr>
          </w:p>
        </w:tc>
      </w:tr>
      <w:tr w14:paraId="01353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1BE3709D">
            <w:pPr>
              <w:pStyle w:val="185"/>
              <w:spacing w:line="240" w:lineRule="auto"/>
              <w:ind w:firstLine="0"/>
              <w:jc w:val="center"/>
              <w:rPr>
                <w:rFonts w:hint="default"/>
                <w:color w:val="000000"/>
                <w:sz w:val="17"/>
                <w:szCs w:val="17"/>
                <w:lang w:val="en-US" w:eastAsia="zh-CN"/>
              </w:rPr>
            </w:pPr>
            <w:r>
              <w:rPr>
                <w:rFonts w:hint="eastAsia"/>
                <w:color w:val="000000"/>
                <w:sz w:val="17"/>
                <w:szCs w:val="17"/>
                <w:lang w:val="en-US" w:eastAsia="zh-CN"/>
              </w:rPr>
              <w:t>18</w:t>
            </w:r>
          </w:p>
        </w:tc>
        <w:tc>
          <w:tcPr>
            <w:tcW w:w="668" w:type="pct"/>
            <w:vMerge w:val="continue"/>
            <w:tcBorders>
              <w:tl2br w:val="nil"/>
              <w:tr2bl w:val="nil"/>
            </w:tcBorders>
            <w:shd w:val="clear" w:color="auto" w:fill="auto"/>
            <w:vAlign w:val="center"/>
          </w:tcPr>
          <w:p w14:paraId="135500C6">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688C48AF">
            <w:pPr>
              <w:pStyle w:val="185"/>
              <w:spacing w:line="240" w:lineRule="auto"/>
              <w:ind w:firstLine="0"/>
              <w:jc w:val="center"/>
              <w:rPr>
                <w:rFonts w:hint="eastAsia"/>
                <w:color w:val="000000"/>
                <w:sz w:val="17"/>
                <w:szCs w:val="17"/>
              </w:rPr>
            </w:pPr>
            <w:r>
              <w:rPr>
                <w:rFonts w:hint="eastAsia"/>
                <w:color w:val="000000"/>
                <w:sz w:val="17"/>
                <w:szCs w:val="17"/>
              </w:rPr>
              <w:t>各系统之间宜具有联动控制功能</w:t>
            </w:r>
          </w:p>
        </w:tc>
        <w:tc>
          <w:tcPr>
            <w:tcW w:w="307" w:type="pct"/>
            <w:tcBorders>
              <w:tl2br w:val="nil"/>
              <w:tr2bl w:val="nil"/>
            </w:tcBorders>
            <w:shd w:val="clear" w:color="auto" w:fill="auto"/>
            <w:noWrap/>
            <w:vAlign w:val="center"/>
          </w:tcPr>
          <w:p w14:paraId="04C92789">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1" w:type="pct"/>
            <w:tcBorders>
              <w:tl2br w:val="nil"/>
              <w:tr2bl w:val="nil"/>
            </w:tcBorders>
            <w:shd w:val="clear" w:color="auto" w:fill="auto"/>
            <w:noWrap/>
            <w:vAlign w:val="center"/>
          </w:tcPr>
          <w:p w14:paraId="5E3616F1">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25" w:type="pct"/>
            <w:vMerge w:val="continue"/>
            <w:tcBorders>
              <w:tl2br w:val="nil"/>
              <w:tr2bl w:val="nil"/>
            </w:tcBorders>
            <w:vAlign w:val="center"/>
          </w:tcPr>
          <w:p w14:paraId="7ADFCDCC">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28BB41DE">
            <w:pPr>
              <w:pStyle w:val="185"/>
              <w:spacing w:line="240" w:lineRule="auto"/>
              <w:ind w:firstLine="0"/>
              <w:jc w:val="center"/>
              <w:rPr>
                <w:rFonts w:hint="eastAsia"/>
                <w:color w:val="000000"/>
                <w:sz w:val="17"/>
                <w:szCs w:val="17"/>
              </w:rPr>
            </w:pPr>
          </w:p>
        </w:tc>
      </w:tr>
      <w:tr w14:paraId="5DA25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76" w:type="pct"/>
            <w:tcBorders>
              <w:tl2br w:val="nil"/>
              <w:tr2bl w:val="nil"/>
            </w:tcBorders>
            <w:shd w:val="clear" w:color="auto" w:fill="auto"/>
            <w:vAlign w:val="center"/>
          </w:tcPr>
          <w:p w14:paraId="7F34996A">
            <w:pPr>
              <w:pStyle w:val="185"/>
              <w:spacing w:line="240" w:lineRule="auto"/>
              <w:ind w:firstLine="0"/>
              <w:jc w:val="center"/>
              <w:rPr>
                <w:rFonts w:hint="default" w:eastAsia="宋体"/>
                <w:color w:val="000000"/>
                <w:sz w:val="17"/>
                <w:szCs w:val="17"/>
                <w:lang w:val="en-US" w:eastAsia="zh-CN"/>
              </w:rPr>
            </w:pPr>
            <w:r>
              <w:rPr>
                <w:rFonts w:hint="eastAsia"/>
                <w:color w:val="000000"/>
                <w:sz w:val="17"/>
                <w:szCs w:val="17"/>
                <w:lang w:val="en-US" w:eastAsia="zh-CN"/>
              </w:rPr>
              <w:t>19</w:t>
            </w:r>
          </w:p>
        </w:tc>
        <w:tc>
          <w:tcPr>
            <w:tcW w:w="668" w:type="pct"/>
            <w:tcBorders>
              <w:tl2br w:val="nil"/>
              <w:tr2bl w:val="nil"/>
            </w:tcBorders>
            <w:shd w:val="clear" w:color="auto" w:fill="auto"/>
            <w:vAlign w:val="center"/>
          </w:tcPr>
          <w:p w14:paraId="1FEE7949">
            <w:pPr>
              <w:pStyle w:val="185"/>
              <w:spacing w:line="240" w:lineRule="auto"/>
              <w:ind w:firstLine="0"/>
              <w:jc w:val="center"/>
              <w:rPr>
                <w:rFonts w:hint="eastAsia"/>
                <w:color w:val="000000"/>
                <w:sz w:val="17"/>
                <w:szCs w:val="17"/>
              </w:rPr>
            </w:pPr>
            <w:r>
              <w:rPr>
                <w:rFonts w:hint="eastAsia"/>
                <w:color w:val="000000"/>
                <w:sz w:val="17"/>
                <w:szCs w:val="17"/>
                <w:lang w:val="en-US" w:eastAsia="zh-CN"/>
              </w:rPr>
              <w:t>产品</w:t>
            </w:r>
            <w:r>
              <w:rPr>
                <w:rFonts w:hint="eastAsia"/>
                <w:color w:val="000000"/>
                <w:sz w:val="17"/>
                <w:szCs w:val="17"/>
              </w:rPr>
              <w:t>能效要求</w:t>
            </w:r>
          </w:p>
        </w:tc>
        <w:tc>
          <w:tcPr>
            <w:tcW w:w="2575" w:type="pct"/>
            <w:tcBorders>
              <w:tl2br w:val="nil"/>
              <w:tr2bl w:val="nil"/>
            </w:tcBorders>
            <w:shd w:val="clear" w:color="auto" w:fill="auto"/>
            <w:vAlign w:val="center"/>
          </w:tcPr>
          <w:p w14:paraId="1AAFB013">
            <w:pPr>
              <w:pStyle w:val="185"/>
              <w:spacing w:line="240" w:lineRule="auto"/>
              <w:ind w:firstLine="0"/>
              <w:jc w:val="center"/>
              <w:rPr>
                <w:rFonts w:hint="eastAsia"/>
                <w:color w:val="000000"/>
                <w:sz w:val="17"/>
                <w:szCs w:val="17"/>
              </w:rPr>
            </w:pPr>
            <w:r>
              <w:rPr>
                <w:rFonts w:hint="eastAsia"/>
                <w:color w:val="000000"/>
                <w:sz w:val="17"/>
                <w:szCs w:val="17"/>
              </w:rPr>
              <w:t>宜采用国家工业和信息化领域节能降碳技术装备推荐目录产品</w:t>
            </w:r>
          </w:p>
        </w:tc>
        <w:tc>
          <w:tcPr>
            <w:tcW w:w="307" w:type="pct"/>
            <w:tcBorders>
              <w:tl2br w:val="nil"/>
              <w:tr2bl w:val="nil"/>
            </w:tcBorders>
            <w:shd w:val="clear" w:color="auto" w:fill="auto"/>
            <w:noWrap/>
            <w:vAlign w:val="center"/>
          </w:tcPr>
          <w:p w14:paraId="61029879">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3BA0566A">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tcBorders>
              <w:tl2br w:val="nil"/>
              <w:tr2bl w:val="nil"/>
            </w:tcBorders>
            <w:shd w:val="clear" w:color="auto" w:fill="auto"/>
            <w:vAlign w:val="center"/>
          </w:tcPr>
          <w:p w14:paraId="111FEF09">
            <w:pPr>
              <w:pStyle w:val="185"/>
              <w:spacing w:line="240" w:lineRule="auto"/>
              <w:ind w:firstLine="0"/>
              <w:jc w:val="center"/>
              <w:rPr>
                <w:rFonts w:hint="eastAsia"/>
                <w:color w:val="000000"/>
                <w:sz w:val="17"/>
                <w:szCs w:val="17"/>
              </w:rPr>
            </w:pPr>
            <w:r>
              <w:rPr>
                <w:rFonts w:hint="eastAsia"/>
                <w:color w:val="000000"/>
                <w:sz w:val="17"/>
                <w:szCs w:val="17"/>
              </w:rPr>
              <w:t>4.2</w:t>
            </w:r>
          </w:p>
        </w:tc>
        <w:tc>
          <w:tcPr>
            <w:tcW w:w="356" w:type="pct"/>
            <w:tcBorders>
              <w:tl2br w:val="nil"/>
              <w:tr2bl w:val="nil"/>
            </w:tcBorders>
            <w:shd w:val="clear" w:color="auto" w:fill="auto"/>
            <w:vAlign w:val="center"/>
          </w:tcPr>
          <w:p w14:paraId="1121ED89">
            <w:pPr>
              <w:pStyle w:val="185"/>
              <w:spacing w:line="240" w:lineRule="auto"/>
              <w:ind w:firstLine="0"/>
              <w:jc w:val="center"/>
              <w:rPr>
                <w:rFonts w:hint="eastAsia"/>
                <w:color w:val="000000"/>
                <w:sz w:val="17"/>
                <w:szCs w:val="17"/>
              </w:rPr>
            </w:pPr>
            <w:r>
              <w:rPr>
                <w:rFonts w:hint="eastAsia"/>
                <w:color w:val="000000"/>
                <w:sz w:val="17"/>
                <w:szCs w:val="17"/>
              </w:rPr>
              <w:t>5.2</w:t>
            </w:r>
          </w:p>
        </w:tc>
      </w:tr>
      <w:tr w14:paraId="61F1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76" w:type="pct"/>
            <w:tcBorders>
              <w:tl2br w:val="nil"/>
              <w:tr2bl w:val="nil"/>
            </w:tcBorders>
            <w:shd w:val="clear" w:color="auto" w:fill="auto"/>
            <w:vAlign w:val="center"/>
          </w:tcPr>
          <w:p w14:paraId="38BA58B9">
            <w:pPr>
              <w:pStyle w:val="185"/>
              <w:spacing w:line="240" w:lineRule="auto"/>
              <w:ind w:firstLine="0"/>
              <w:jc w:val="center"/>
              <w:rPr>
                <w:rFonts w:hint="default"/>
                <w:color w:val="000000"/>
                <w:sz w:val="17"/>
                <w:szCs w:val="17"/>
                <w:lang w:val="en-US"/>
              </w:rPr>
            </w:pPr>
            <w:r>
              <w:rPr>
                <w:rFonts w:hint="eastAsia"/>
                <w:color w:val="000000"/>
                <w:sz w:val="17"/>
                <w:szCs w:val="17"/>
                <w:lang w:val="en-US" w:eastAsia="zh-CN"/>
              </w:rPr>
              <w:t>20</w:t>
            </w:r>
          </w:p>
        </w:tc>
        <w:tc>
          <w:tcPr>
            <w:tcW w:w="668" w:type="pct"/>
            <w:vMerge w:val="restart"/>
            <w:tcBorders>
              <w:tl2br w:val="nil"/>
              <w:tr2bl w:val="nil"/>
            </w:tcBorders>
            <w:shd w:val="clear" w:color="auto" w:fill="auto"/>
            <w:vAlign w:val="center"/>
          </w:tcPr>
          <w:p w14:paraId="5FEA77A3">
            <w:pPr>
              <w:pStyle w:val="185"/>
              <w:spacing w:line="240" w:lineRule="auto"/>
              <w:ind w:firstLine="0"/>
              <w:jc w:val="center"/>
              <w:rPr>
                <w:rFonts w:hint="eastAsia"/>
                <w:color w:val="000000"/>
                <w:sz w:val="17"/>
                <w:szCs w:val="17"/>
                <w:lang w:val="en-US" w:eastAsia="zh-CN"/>
              </w:rPr>
            </w:pPr>
            <w:r>
              <w:rPr>
                <w:rFonts w:hint="eastAsia"/>
                <w:color w:val="000000"/>
                <w:sz w:val="17"/>
                <w:szCs w:val="17"/>
                <w:lang w:val="en-US" w:eastAsia="zh-CN"/>
              </w:rPr>
              <w:t>产品</w:t>
            </w:r>
            <w:r>
              <w:rPr>
                <w:rFonts w:hint="eastAsia"/>
                <w:color w:val="000000"/>
                <w:sz w:val="17"/>
                <w:szCs w:val="17"/>
              </w:rPr>
              <w:t>外观与体验一致性</w:t>
            </w:r>
            <w:r>
              <w:rPr>
                <w:rFonts w:hint="eastAsia"/>
                <w:color w:val="000000"/>
                <w:sz w:val="17"/>
                <w:szCs w:val="17"/>
                <w:lang w:val="en-US" w:eastAsia="zh-CN"/>
              </w:rPr>
              <w:t>要求</w:t>
            </w:r>
          </w:p>
        </w:tc>
        <w:tc>
          <w:tcPr>
            <w:tcW w:w="2575" w:type="pct"/>
            <w:tcBorders>
              <w:tl2br w:val="nil"/>
              <w:tr2bl w:val="nil"/>
            </w:tcBorders>
            <w:shd w:val="clear" w:color="auto" w:fill="auto"/>
            <w:vAlign w:val="center"/>
          </w:tcPr>
          <w:p w14:paraId="40FC9E87">
            <w:pPr>
              <w:pStyle w:val="185"/>
              <w:spacing w:line="240" w:lineRule="auto"/>
              <w:ind w:firstLine="0"/>
              <w:jc w:val="center"/>
              <w:rPr>
                <w:rFonts w:hint="eastAsia"/>
                <w:color w:val="000000"/>
                <w:sz w:val="17"/>
                <w:szCs w:val="17"/>
              </w:rPr>
            </w:pPr>
            <w:r>
              <w:rPr>
                <w:rFonts w:hint="eastAsia"/>
                <w:color w:val="000000"/>
                <w:sz w:val="17"/>
                <w:szCs w:val="17"/>
              </w:rPr>
              <w:t>模块化数据中心宜作为一个独立产品进行整体设计，外观具备一致性，机柜及通道系统、制冷系统、供配电系统等结构具有尺寸一致性，维护操作屏体验一致性，设计合理方便操作，满足人体工学设计</w:t>
            </w:r>
          </w:p>
        </w:tc>
        <w:tc>
          <w:tcPr>
            <w:tcW w:w="307" w:type="pct"/>
            <w:tcBorders>
              <w:tl2br w:val="nil"/>
              <w:tr2bl w:val="nil"/>
            </w:tcBorders>
            <w:shd w:val="clear" w:color="auto" w:fill="auto"/>
            <w:noWrap/>
            <w:vAlign w:val="center"/>
          </w:tcPr>
          <w:p w14:paraId="365A739D">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47122E51">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restart"/>
            <w:tcBorders>
              <w:tl2br w:val="nil"/>
              <w:tr2bl w:val="nil"/>
            </w:tcBorders>
            <w:shd w:val="clear" w:color="auto" w:fill="auto"/>
            <w:vAlign w:val="center"/>
          </w:tcPr>
          <w:p w14:paraId="1F87C2ED">
            <w:pPr>
              <w:pStyle w:val="185"/>
              <w:spacing w:line="240" w:lineRule="auto"/>
              <w:ind w:firstLine="0"/>
              <w:jc w:val="center"/>
              <w:rPr>
                <w:rFonts w:hint="eastAsia"/>
                <w:color w:val="000000"/>
                <w:sz w:val="17"/>
                <w:szCs w:val="17"/>
              </w:rPr>
            </w:pPr>
            <w:r>
              <w:rPr>
                <w:rFonts w:hint="eastAsia"/>
                <w:color w:val="000000"/>
                <w:sz w:val="17"/>
                <w:szCs w:val="17"/>
              </w:rPr>
              <w:t>4.3</w:t>
            </w:r>
          </w:p>
        </w:tc>
        <w:tc>
          <w:tcPr>
            <w:tcW w:w="356" w:type="pct"/>
            <w:vMerge w:val="restart"/>
            <w:tcBorders>
              <w:tl2br w:val="nil"/>
              <w:tr2bl w:val="nil"/>
            </w:tcBorders>
            <w:shd w:val="clear" w:color="auto" w:fill="auto"/>
            <w:vAlign w:val="center"/>
          </w:tcPr>
          <w:p w14:paraId="364DCE59">
            <w:pPr>
              <w:pStyle w:val="185"/>
              <w:spacing w:line="240" w:lineRule="auto"/>
              <w:ind w:firstLine="0"/>
              <w:jc w:val="center"/>
              <w:rPr>
                <w:rFonts w:hint="eastAsia"/>
                <w:color w:val="000000"/>
                <w:sz w:val="17"/>
                <w:szCs w:val="17"/>
              </w:rPr>
            </w:pPr>
            <w:r>
              <w:rPr>
                <w:rFonts w:hint="eastAsia"/>
                <w:color w:val="000000"/>
                <w:sz w:val="17"/>
                <w:szCs w:val="17"/>
              </w:rPr>
              <w:t>5.3</w:t>
            </w:r>
          </w:p>
        </w:tc>
      </w:tr>
      <w:tr w14:paraId="2E59A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76" w:type="pct"/>
            <w:tcBorders>
              <w:tl2br w:val="nil"/>
              <w:tr2bl w:val="nil"/>
            </w:tcBorders>
            <w:shd w:val="clear" w:color="auto" w:fill="auto"/>
            <w:vAlign w:val="center"/>
          </w:tcPr>
          <w:p w14:paraId="1A3A564F">
            <w:pPr>
              <w:pStyle w:val="185"/>
              <w:spacing w:line="240" w:lineRule="auto"/>
              <w:ind w:firstLine="0"/>
              <w:jc w:val="center"/>
              <w:rPr>
                <w:rFonts w:hint="default"/>
                <w:color w:val="000000"/>
                <w:sz w:val="17"/>
                <w:szCs w:val="17"/>
                <w:lang w:val="en-US"/>
              </w:rPr>
            </w:pPr>
            <w:r>
              <w:rPr>
                <w:rFonts w:hint="eastAsia"/>
                <w:color w:val="000000"/>
                <w:sz w:val="17"/>
                <w:szCs w:val="17"/>
                <w:lang w:val="en-US" w:eastAsia="zh-CN"/>
              </w:rPr>
              <w:t>21</w:t>
            </w:r>
          </w:p>
        </w:tc>
        <w:tc>
          <w:tcPr>
            <w:tcW w:w="668" w:type="pct"/>
            <w:vMerge w:val="continue"/>
            <w:tcBorders>
              <w:tl2br w:val="nil"/>
              <w:tr2bl w:val="nil"/>
            </w:tcBorders>
            <w:vAlign w:val="center"/>
          </w:tcPr>
          <w:p w14:paraId="4B0DD955">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6D577A67">
            <w:pPr>
              <w:pStyle w:val="185"/>
              <w:spacing w:line="240" w:lineRule="auto"/>
              <w:ind w:firstLine="0"/>
              <w:jc w:val="center"/>
              <w:rPr>
                <w:rFonts w:hint="eastAsia"/>
                <w:color w:val="000000"/>
                <w:sz w:val="17"/>
                <w:szCs w:val="17"/>
              </w:rPr>
            </w:pPr>
            <w:r>
              <w:rPr>
                <w:rFonts w:hint="eastAsia"/>
                <w:color w:val="000000"/>
                <w:sz w:val="17"/>
                <w:szCs w:val="17"/>
              </w:rPr>
              <w:t>模块化数据中心宜具有必要的警告标识、指示标识、供配电及空调设备铭牌等标志标识，所有标志标识、文字符号清晰易见、正确、整齐，标志标识内容样式、命名方式前后统一、便于区分</w:t>
            </w:r>
          </w:p>
        </w:tc>
        <w:tc>
          <w:tcPr>
            <w:tcW w:w="307" w:type="pct"/>
            <w:tcBorders>
              <w:tl2br w:val="nil"/>
              <w:tr2bl w:val="nil"/>
            </w:tcBorders>
            <w:shd w:val="clear" w:color="auto" w:fill="auto"/>
            <w:noWrap/>
            <w:vAlign w:val="center"/>
          </w:tcPr>
          <w:p w14:paraId="4FFFAA2B">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1E300B11">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34253DAE">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13BC0006">
            <w:pPr>
              <w:pStyle w:val="185"/>
              <w:spacing w:line="240" w:lineRule="auto"/>
              <w:ind w:firstLine="0"/>
              <w:jc w:val="center"/>
              <w:rPr>
                <w:rFonts w:hint="eastAsia"/>
                <w:color w:val="000000"/>
                <w:sz w:val="17"/>
                <w:szCs w:val="17"/>
              </w:rPr>
            </w:pPr>
          </w:p>
        </w:tc>
      </w:tr>
      <w:tr w14:paraId="30EE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76" w:type="pct"/>
            <w:tcBorders>
              <w:tl2br w:val="nil"/>
              <w:tr2bl w:val="nil"/>
            </w:tcBorders>
            <w:shd w:val="clear" w:color="auto" w:fill="auto"/>
            <w:vAlign w:val="center"/>
          </w:tcPr>
          <w:p w14:paraId="409EDA3A">
            <w:pPr>
              <w:pStyle w:val="185"/>
              <w:spacing w:line="240" w:lineRule="auto"/>
              <w:ind w:firstLine="0"/>
              <w:jc w:val="center"/>
              <w:rPr>
                <w:rFonts w:hint="default"/>
                <w:color w:val="000000"/>
                <w:sz w:val="17"/>
                <w:szCs w:val="17"/>
                <w:lang w:val="en-US"/>
              </w:rPr>
            </w:pPr>
            <w:r>
              <w:rPr>
                <w:rFonts w:hint="eastAsia"/>
                <w:color w:val="000000"/>
                <w:sz w:val="17"/>
                <w:szCs w:val="17"/>
                <w:lang w:val="en-US" w:eastAsia="zh-CN"/>
              </w:rPr>
              <w:t>22</w:t>
            </w:r>
          </w:p>
        </w:tc>
        <w:tc>
          <w:tcPr>
            <w:tcW w:w="668" w:type="pct"/>
            <w:vMerge w:val="continue"/>
            <w:tcBorders>
              <w:tl2br w:val="nil"/>
              <w:tr2bl w:val="nil"/>
            </w:tcBorders>
            <w:vAlign w:val="center"/>
          </w:tcPr>
          <w:p w14:paraId="2926B63E">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4D2A33D3">
            <w:pPr>
              <w:pStyle w:val="185"/>
              <w:spacing w:line="240" w:lineRule="auto"/>
              <w:ind w:firstLine="0"/>
              <w:jc w:val="center"/>
              <w:rPr>
                <w:rFonts w:hint="eastAsia"/>
                <w:color w:val="000000"/>
                <w:sz w:val="17"/>
                <w:szCs w:val="17"/>
              </w:rPr>
            </w:pPr>
            <w:r>
              <w:rPr>
                <w:rFonts w:hint="eastAsia"/>
                <w:color w:val="000000"/>
                <w:sz w:val="17"/>
                <w:szCs w:val="17"/>
              </w:rPr>
              <w:t>模块化数据中心内机柜及通道系统、制冷系统、供配电系统宜具有色差一致性，表面不应存在脱层、空洞、剥皮、粉化、分层、鼓泡、碎裂、翘曲、戳穿、损伤、变形等缺陷</w:t>
            </w:r>
          </w:p>
        </w:tc>
        <w:tc>
          <w:tcPr>
            <w:tcW w:w="307" w:type="pct"/>
            <w:tcBorders>
              <w:tl2br w:val="nil"/>
              <w:tr2bl w:val="nil"/>
            </w:tcBorders>
            <w:shd w:val="clear" w:color="auto" w:fill="auto"/>
            <w:noWrap/>
            <w:vAlign w:val="center"/>
          </w:tcPr>
          <w:p w14:paraId="6713148B">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6208121A">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6AAB6814">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4CC4B20A">
            <w:pPr>
              <w:pStyle w:val="185"/>
              <w:spacing w:line="240" w:lineRule="auto"/>
              <w:ind w:firstLine="0"/>
              <w:jc w:val="center"/>
              <w:rPr>
                <w:rFonts w:hint="eastAsia"/>
                <w:color w:val="000000"/>
                <w:sz w:val="17"/>
                <w:szCs w:val="17"/>
              </w:rPr>
            </w:pPr>
          </w:p>
        </w:tc>
      </w:tr>
      <w:tr w14:paraId="553C8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76" w:type="pct"/>
            <w:tcBorders>
              <w:tl2br w:val="nil"/>
              <w:tr2bl w:val="nil"/>
            </w:tcBorders>
            <w:shd w:val="clear" w:color="auto" w:fill="auto"/>
            <w:vAlign w:val="center"/>
          </w:tcPr>
          <w:p w14:paraId="5B76755D">
            <w:pPr>
              <w:pStyle w:val="185"/>
              <w:spacing w:line="240" w:lineRule="auto"/>
              <w:ind w:firstLine="0"/>
              <w:jc w:val="center"/>
              <w:rPr>
                <w:rFonts w:hint="default"/>
                <w:color w:val="000000"/>
                <w:sz w:val="17"/>
                <w:szCs w:val="17"/>
                <w:lang w:val="en-US"/>
              </w:rPr>
            </w:pPr>
            <w:r>
              <w:rPr>
                <w:rFonts w:hint="eastAsia"/>
                <w:color w:val="000000"/>
                <w:sz w:val="17"/>
                <w:szCs w:val="17"/>
                <w:lang w:val="en-US" w:eastAsia="zh-CN"/>
              </w:rPr>
              <w:t>23</w:t>
            </w:r>
          </w:p>
        </w:tc>
        <w:tc>
          <w:tcPr>
            <w:tcW w:w="668" w:type="pct"/>
            <w:vMerge w:val="continue"/>
            <w:tcBorders>
              <w:tl2br w:val="nil"/>
              <w:tr2bl w:val="nil"/>
            </w:tcBorders>
            <w:vAlign w:val="center"/>
          </w:tcPr>
          <w:p w14:paraId="6A8146F3">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7C8BD421">
            <w:pPr>
              <w:pStyle w:val="185"/>
              <w:spacing w:line="240" w:lineRule="auto"/>
              <w:ind w:firstLine="0"/>
              <w:jc w:val="center"/>
              <w:rPr>
                <w:rFonts w:hint="eastAsia"/>
                <w:color w:val="000000"/>
                <w:sz w:val="17"/>
                <w:szCs w:val="17"/>
              </w:rPr>
            </w:pPr>
            <w:r>
              <w:rPr>
                <w:rFonts w:hint="eastAsia"/>
                <w:color w:val="000000"/>
                <w:sz w:val="17"/>
                <w:szCs w:val="17"/>
              </w:rPr>
              <w:t>模块化数据中心内机柜及通道系统、制冷系统、供配电系统宜具有良好的气密性，IT机柜中未安装设备空间应安装盲板，设备面板无漏风，机柜与设备、密封通道件之间的并柜间隙应≤2mm</w:t>
            </w:r>
          </w:p>
        </w:tc>
        <w:tc>
          <w:tcPr>
            <w:tcW w:w="307" w:type="pct"/>
            <w:tcBorders>
              <w:tl2br w:val="nil"/>
              <w:tr2bl w:val="nil"/>
            </w:tcBorders>
            <w:shd w:val="clear" w:color="auto" w:fill="auto"/>
            <w:noWrap/>
            <w:vAlign w:val="center"/>
          </w:tcPr>
          <w:p w14:paraId="1B55FFDC">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4D4556CA">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781F623D">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6708BCB6">
            <w:pPr>
              <w:pStyle w:val="185"/>
              <w:spacing w:line="240" w:lineRule="auto"/>
              <w:ind w:firstLine="0"/>
              <w:jc w:val="center"/>
              <w:rPr>
                <w:rFonts w:hint="eastAsia"/>
                <w:color w:val="000000"/>
                <w:sz w:val="17"/>
                <w:szCs w:val="17"/>
              </w:rPr>
            </w:pPr>
          </w:p>
        </w:tc>
      </w:tr>
      <w:tr w14:paraId="5AA2D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0E95732C">
            <w:pPr>
              <w:pStyle w:val="185"/>
              <w:spacing w:line="240" w:lineRule="auto"/>
              <w:ind w:firstLine="0"/>
              <w:jc w:val="center"/>
              <w:rPr>
                <w:rFonts w:hint="default"/>
                <w:color w:val="000000"/>
                <w:sz w:val="17"/>
                <w:szCs w:val="17"/>
                <w:lang w:val="en-US"/>
              </w:rPr>
            </w:pPr>
            <w:r>
              <w:rPr>
                <w:rFonts w:hint="eastAsia"/>
                <w:color w:val="000000"/>
                <w:sz w:val="17"/>
                <w:szCs w:val="17"/>
                <w:lang w:val="en-US" w:eastAsia="zh-CN"/>
              </w:rPr>
              <w:t>24</w:t>
            </w:r>
          </w:p>
        </w:tc>
        <w:tc>
          <w:tcPr>
            <w:tcW w:w="668" w:type="pct"/>
            <w:vMerge w:val="continue"/>
            <w:tcBorders>
              <w:tl2br w:val="nil"/>
              <w:tr2bl w:val="nil"/>
            </w:tcBorders>
            <w:vAlign w:val="center"/>
          </w:tcPr>
          <w:p w14:paraId="167020D9">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66A8F1B5">
            <w:pPr>
              <w:pStyle w:val="185"/>
              <w:spacing w:line="240" w:lineRule="auto"/>
              <w:ind w:firstLine="0"/>
              <w:jc w:val="center"/>
              <w:rPr>
                <w:rFonts w:hint="eastAsia"/>
                <w:color w:val="000000"/>
                <w:sz w:val="17"/>
                <w:szCs w:val="17"/>
              </w:rPr>
            </w:pPr>
            <w:r>
              <w:rPr>
                <w:rFonts w:hint="eastAsia"/>
                <w:color w:val="000000"/>
                <w:sz w:val="17"/>
                <w:szCs w:val="17"/>
              </w:rPr>
              <w:t>模块化数据中心制冷系统、供配电系统综合监控系统操作界面风格体验宜具备一致性</w:t>
            </w:r>
          </w:p>
        </w:tc>
        <w:tc>
          <w:tcPr>
            <w:tcW w:w="307" w:type="pct"/>
            <w:tcBorders>
              <w:tl2br w:val="nil"/>
              <w:tr2bl w:val="nil"/>
            </w:tcBorders>
            <w:shd w:val="clear" w:color="auto" w:fill="auto"/>
            <w:noWrap/>
            <w:vAlign w:val="center"/>
          </w:tcPr>
          <w:p w14:paraId="7A4D9487">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0D47EED7">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1BA261E2">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3F91E249">
            <w:pPr>
              <w:pStyle w:val="185"/>
              <w:spacing w:line="240" w:lineRule="auto"/>
              <w:ind w:firstLine="0"/>
              <w:jc w:val="center"/>
              <w:rPr>
                <w:rFonts w:hint="eastAsia"/>
                <w:color w:val="000000"/>
                <w:sz w:val="17"/>
                <w:szCs w:val="17"/>
              </w:rPr>
            </w:pPr>
          </w:p>
        </w:tc>
      </w:tr>
      <w:tr w14:paraId="686F7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76" w:type="pct"/>
            <w:tcBorders>
              <w:tl2br w:val="nil"/>
              <w:tr2bl w:val="nil"/>
            </w:tcBorders>
            <w:shd w:val="clear" w:color="auto" w:fill="auto"/>
            <w:vAlign w:val="center"/>
          </w:tcPr>
          <w:p w14:paraId="3395CC53">
            <w:pPr>
              <w:pStyle w:val="185"/>
              <w:spacing w:line="240" w:lineRule="auto"/>
              <w:ind w:firstLine="0"/>
              <w:jc w:val="center"/>
              <w:rPr>
                <w:rFonts w:hint="default"/>
                <w:color w:val="000000"/>
                <w:sz w:val="17"/>
                <w:szCs w:val="17"/>
                <w:lang w:val="en-US"/>
              </w:rPr>
            </w:pPr>
            <w:r>
              <w:rPr>
                <w:rFonts w:hint="eastAsia"/>
                <w:color w:val="000000"/>
                <w:sz w:val="17"/>
                <w:szCs w:val="17"/>
                <w:lang w:val="en-US" w:eastAsia="zh-CN"/>
              </w:rPr>
              <w:t>25</w:t>
            </w:r>
          </w:p>
        </w:tc>
        <w:tc>
          <w:tcPr>
            <w:tcW w:w="668" w:type="pct"/>
            <w:vMerge w:val="restart"/>
            <w:tcBorders>
              <w:tl2br w:val="nil"/>
              <w:tr2bl w:val="nil"/>
            </w:tcBorders>
            <w:shd w:val="clear" w:color="auto" w:fill="auto"/>
            <w:vAlign w:val="center"/>
          </w:tcPr>
          <w:p w14:paraId="14CC49D2">
            <w:pPr>
              <w:pStyle w:val="185"/>
              <w:spacing w:line="240" w:lineRule="auto"/>
              <w:ind w:firstLine="0"/>
              <w:jc w:val="center"/>
              <w:rPr>
                <w:rFonts w:hint="eastAsia"/>
                <w:color w:val="000000"/>
                <w:sz w:val="17"/>
                <w:szCs w:val="17"/>
                <w:lang w:val="en-US" w:eastAsia="zh-CN"/>
              </w:rPr>
            </w:pPr>
            <w:r>
              <w:rPr>
                <w:rFonts w:hint="eastAsia"/>
                <w:color w:val="000000"/>
                <w:sz w:val="17"/>
                <w:szCs w:val="17"/>
                <w:lang w:val="en-US" w:eastAsia="zh-CN"/>
              </w:rPr>
              <w:t>产品</w:t>
            </w:r>
            <w:r>
              <w:rPr>
                <w:rFonts w:hint="eastAsia"/>
                <w:color w:val="000000"/>
                <w:sz w:val="17"/>
                <w:szCs w:val="17"/>
              </w:rPr>
              <w:t>智能化</w:t>
            </w:r>
            <w:r>
              <w:rPr>
                <w:rFonts w:hint="eastAsia"/>
                <w:color w:val="000000"/>
                <w:sz w:val="17"/>
                <w:szCs w:val="17"/>
                <w:lang w:val="en-US" w:eastAsia="zh-CN"/>
              </w:rPr>
              <w:t>要求</w:t>
            </w:r>
          </w:p>
        </w:tc>
        <w:tc>
          <w:tcPr>
            <w:tcW w:w="2575" w:type="pct"/>
            <w:tcBorders>
              <w:tl2br w:val="nil"/>
              <w:tr2bl w:val="nil"/>
            </w:tcBorders>
            <w:shd w:val="clear" w:color="auto" w:fill="auto"/>
            <w:vAlign w:val="center"/>
          </w:tcPr>
          <w:p w14:paraId="7C38C392">
            <w:pPr>
              <w:pStyle w:val="185"/>
              <w:spacing w:line="240" w:lineRule="auto"/>
              <w:ind w:firstLine="0"/>
              <w:jc w:val="center"/>
              <w:rPr>
                <w:rFonts w:hint="eastAsia"/>
                <w:color w:val="000000"/>
                <w:sz w:val="17"/>
                <w:szCs w:val="17"/>
              </w:rPr>
            </w:pPr>
            <w:r>
              <w:rPr>
                <w:rFonts w:hint="eastAsia"/>
                <w:color w:val="000000"/>
                <w:sz w:val="17"/>
                <w:szCs w:val="17"/>
              </w:rPr>
              <w:t>模块化数据中心宜支持移动智能管理，随时可获取模块化数据中心内环境参数、制冷系统参数、供电系统参数、安防信息及消防报警等信息运行状态</w:t>
            </w:r>
          </w:p>
        </w:tc>
        <w:tc>
          <w:tcPr>
            <w:tcW w:w="307" w:type="pct"/>
            <w:tcBorders>
              <w:tl2br w:val="nil"/>
              <w:tr2bl w:val="nil"/>
            </w:tcBorders>
            <w:shd w:val="clear" w:color="auto" w:fill="auto"/>
            <w:noWrap/>
            <w:vAlign w:val="center"/>
          </w:tcPr>
          <w:p w14:paraId="28B3A06A">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0E1DDD66">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restart"/>
            <w:tcBorders>
              <w:tl2br w:val="nil"/>
              <w:tr2bl w:val="nil"/>
            </w:tcBorders>
            <w:shd w:val="clear" w:color="auto" w:fill="auto"/>
            <w:vAlign w:val="center"/>
          </w:tcPr>
          <w:p w14:paraId="2AC35232">
            <w:pPr>
              <w:pStyle w:val="185"/>
              <w:spacing w:line="240" w:lineRule="auto"/>
              <w:ind w:firstLine="0"/>
              <w:jc w:val="center"/>
              <w:rPr>
                <w:rFonts w:hint="eastAsia"/>
                <w:color w:val="000000"/>
                <w:sz w:val="17"/>
                <w:szCs w:val="17"/>
              </w:rPr>
            </w:pPr>
            <w:r>
              <w:rPr>
                <w:rFonts w:hint="eastAsia"/>
                <w:color w:val="000000"/>
                <w:sz w:val="17"/>
                <w:szCs w:val="17"/>
              </w:rPr>
              <w:t>4.4</w:t>
            </w:r>
          </w:p>
        </w:tc>
        <w:tc>
          <w:tcPr>
            <w:tcW w:w="356" w:type="pct"/>
            <w:vMerge w:val="restart"/>
            <w:tcBorders>
              <w:tl2br w:val="nil"/>
              <w:tr2bl w:val="nil"/>
            </w:tcBorders>
            <w:shd w:val="clear" w:color="auto" w:fill="auto"/>
            <w:vAlign w:val="center"/>
          </w:tcPr>
          <w:p w14:paraId="22350E39">
            <w:pPr>
              <w:pStyle w:val="185"/>
              <w:spacing w:line="240" w:lineRule="auto"/>
              <w:ind w:firstLine="0"/>
              <w:jc w:val="center"/>
              <w:rPr>
                <w:rFonts w:hint="eastAsia"/>
                <w:color w:val="000000"/>
                <w:sz w:val="17"/>
                <w:szCs w:val="17"/>
              </w:rPr>
            </w:pPr>
            <w:r>
              <w:rPr>
                <w:rFonts w:hint="eastAsia"/>
                <w:color w:val="000000"/>
                <w:sz w:val="17"/>
                <w:szCs w:val="17"/>
              </w:rPr>
              <w:t>5.4</w:t>
            </w:r>
          </w:p>
        </w:tc>
      </w:tr>
      <w:tr w14:paraId="29F9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16C8C987">
            <w:pPr>
              <w:pStyle w:val="185"/>
              <w:spacing w:line="240" w:lineRule="auto"/>
              <w:ind w:firstLine="0"/>
              <w:jc w:val="center"/>
              <w:rPr>
                <w:rFonts w:hint="default"/>
                <w:color w:val="000000"/>
                <w:sz w:val="17"/>
                <w:szCs w:val="17"/>
                <w:lang w:val="en-US"/>
              </w:rPr>
            </w:pPr>
            <w:r>
              <w:rPr>
                <w:rFonts w:hint="eastAsia"/>
                <w:color w:val="000000"/>
                <w:sz w:val="17"/>
                <w:szCs w:val="17"/>
                <w:lang w:val="en-US" w:eastAsia="zh-CN"/>
              </w:rPr>
              <w:t>26</w:t>
            </w:r>
          </w:p>
        </w:tc>
        <w:tc>
          <w:tcPr>
            <w:tcW w:w="668" w:type="pct"/>
            <w:vMerge w:val="continue"/>
            <w:tcBorders>
              <w:tl2br w:val="nil"/>
              <w:tr2bl w:val="nil"/>
            </w:tcBorders>
            <w:vAlign w:val="center"/>
          </w:tcPr>
          <w:p w14:paraId="2FE7F817">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71255F19">
            <w:pPr>
              <w:pStyle w:val="185"/>
              <w:spacing w:line="240" w:lineRule="auto"/>
              <w:ind w:firstLine="0"/>
              <w:jc w:val="center"/>
              <w:rPr>
                <w:rFonts w:hint="eastAsia"/>
                <w:color w:val="000000"/>
                <w:sz w:val="17"/>
                <w:szCs w:val="17"/>
              </w:rPr>
            </w:pPr>
            <w:r>
              <w:rPr>
                <w:rFonts w:hint="eastAsia"/>
                <w:color w:val="000000"/>
                <w:sz w:val="17"/>
                <w:szCs w:val="17"/>
              </w:rPr>
              <w:t>模块化数据中心宜有报警联动的智能指示，可根据运行不同状态显示不同颜色</w:t>
            </w:r>
          </w:p>
        </w:tc>
        <w:tc>
          <w:tcPr>
            <w:tcW w:w="307" w:type="pct"/>
            <w:tcBorders>
              <w:tl2br w:val="nil"/>
              <w:tr2bl w:val="nil"/>
            </w:tcBorders>
            <w:shd w:val="clear" w:color="auto" w:fill="auto"/>
            <w:noWrap/>
            <w:vAlign w:val="center"/>
          </w:tcPr>
          <w:p w14:paraId="41BE2CA1">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37C301B8">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4F25B288">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743ED834">
            <w:pPr>
              <w:pStyle w:val="185"/>
              <w:spacing w:line="240" w:lineRule="auto"/>
              <w:ind w:firstLine="0"/>
              <w:jc w:val="center"/>
              <w:rPr>
                <w:rFonts w:hint="eastAsia"/>
                <w:color w:val="000000"/>
                <w:sz w:val="17"/>
                <w:szCs w:val="17"/>
              </w:rPr>
            </w:pPr>
          </w:p>
        </w:tc>
      </w:tr>
      <w:tr w14:paraId="3981B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5B9B155D">
            <w:pPr>
              <w:pStyle w:val="185"/>
              <w:spacing w:line="240" w:lineRule="auto"/>
              <w:ind w:firstLine="0"/>
              <w:jc w:val="center"/>
              <w:rPr>
                <w:rFonts w:hint="default"/>
                <w:color w:val="000000"/>
                <w:sz w:val="17"/>
                <w:szCs w:val="17"/>
                <w:lang w:val="en-US"/>
              </w:rPr>
            </w:pPr>
            <w:r>
              <w:rPr>
                <w:rFonts w:hint="eastAsia"/>
                <w:color w:val="000000"/>
                <w:sz w:val="17"/>
                <w:szCs w:val="17"/>
                <w:lang w:val="en-US" w:eastAsia="zh-CN"/>
              </w:rPr>
              <w:t>27</w:t>
            </w:r>
          </w:p>
        </w:tc>
        <w:tc>
          <w:tcPr>
            <w:tcW w:w="668" w:type="pct"/>
            <w:vMerge w:val="continue"/>
            <w:tcBorders>
              <w:tl2br w:val="nil"/>
              <w:tr2bl w:val="nil"/>
            </w:tcBorders>
            <w:vAlign w:val="center"/>
          </w:tcPr>
          <w:p w14:paraId="678F6A8C">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03F76DEE">
            <w:pPr>
              <w:pStyle w:val="185"/>
              <w:spacing w:line="240" w:lineRule="auto"/>
              <w:ind w:firstLine="0"/>
              <w:jc w:val="center"/>
              <w:rPr>
                <w:rFonts w:hint="eastAsia"/>
                <w:color w:val="000000"/>
                <w:sz w:val="17"/>
                <w:szCs w:val="17"/>
              </w:rPr>
            </w:pPr>
            <w:r>
              <w:rPr>
                <w:rFonts w:hint="eastAsia"/>
                <w:color w:val="000000"/>
                <w:sz w:val="17"/>
                <w:szCs w:val="17"/>
              </w:rPr>
              <w:t>模块化数据中心宜具有照明智能控制系统，具备人来灯亮、人走灯延时灭的功能</w:t>
            </w:r>
          </w:p>
        </w:tc>
        <w:tc>
          <w:tcPr>
            <w:tcW w:w="307" w:type="pct"/>
            <w:tcBorders>
              <w:tl2br w:val="nil"/>
              <w:tr2bl w:val="nil"/>
            </w:tcBorders>
            <w:shd w:val="clear" w:color="auto" w:fill="auto"/>
            <w:noWrap/>
            <w:vAlign w:val="center"/>
          </w:tcPr>
          <w:p w14:paraId="4640FA9C">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45DB0086">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7DAFE3F3">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5FC8E839">
            <w:pPr>
              <w:pStyle w:val="185"/>
              <w:spacing w:line="240" w:lineRule="auto"/>
              <w:ind w:firstLine="0"/>
              <w:jc w:val="center"/>
              <w:rPr>
                <w:rFonts w:hint="eastAsia"/>
                <w:color w:val="000000"/>
                <w:sz w:val="17"/>
                <w:szCs w:val="17"/>
              </w:rPr>
            </w:pPr>
          </w:p>
        </w:tc>
      </w:tr>
      <w:tr w14:paraId="1F8D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3F8E7F7B">
            <w:pPr>
              <w:pStyle w:val="185"/>
              <w:spacing w:line="240" w:lineRule="auto"/>
              <w:ind w:firstLine="0"/>
              <w:jc w:val="center"/>
              <w:rPr>
                <w:rFonts w:hint="default"/>
                <w:color w:val="000000"/>
                <w:sz w:val="17"/>
                <w:szCs w:val="17"/>
                <w:lang w:val="en-US"/>
              </w:rPr>
            </w:pPr>
            <w:r>
              <w:rPr>
                <w:rFonts w:hint="eastAsia"/>
                <w:color w:val="000000"/>
                <w:sz w:val="17"/>
                <w:szCs w:val="17"/>
                <w:lang w:val="en-US" w:eastAsia="zh-CN"/>
              </w:rPr>
              <w:t>38</w:t>
            </w:r>
          </w:p>
        </w:tc>
        <w:tc>
          <w:tcPr>
            <w:tcW w:w="668" w:type="pct"/>
            <w:vMerge w:val="continue"/>
            <w:tcBorders>
              <w:tl2br w:val="nil"/>
              <w:tr2bl w:val="nil"/>
            </w:tcBorders>
            <w:vAlign w:val="center"/>
          </w:tcPr>
          <w:p w14:paraId="58BD5724">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72C4E886">
            <w:pPr>
              <w:pStyle w:val="185"/>
              <w:spacing w:line="240" w:lineRule="auto"/>
              <w:ind w:firstLine="0"/>
              <w:jc w:val="center"/>
              <w:rPr>
                <w:rFonts w:hint="eastAsia"/>
                <w:color w:val="000000"/>
                <w:sz w:val="17"/>
                <w:szCs w:val="17"/>
              </w:rPr>
            </w:pPr>
            <w:r>
              <w:rPr>
                <w:rFonts w:hint="eastAsia"/>
                <w:color w:val="000000"/>
                <w:sz w:val="17"/>
                <w:szCs w:val="17"/>
              </w:rPr>
              <w:t>模块化数据中心宜支持事故快速定界能力，支持告警收敛能力</w:t>
            </w:r>
          </w:p>
        </w:tc>
        <w:tc>
          <w:tcPr>
            <w:tcW w:w="307" w:type="pct"/>
            <w:tcBorders>
              <w:tl2br w:val="nil"/>
              <w:tr2bl w:val="nil"/>
            </w:tcBorders>
            <w:shd w:val="clear" w:color="auto" w:fill="auto"/>
            <w:noWrap/>
            <w:vAlign w:val="center"/>
          </w:tcPr>
          <w:p w14:paraId="071964D4">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743DCE23">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021A0C9B">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3C623B66">
            <w:pPr>
              <w:pStyle w:val="185"/>
              <w:spacing w:line="240" w:lineRule="auto"/>
              <w:ind w:firstLine="0"/>
              <w:jc w:val="center"/>
              <w:rPr>
                <w:rFonts w:hint="eastAsia"/>
                <w:color w:val="000000"/>
                <w:sz w:val="17"/>
                <w:szCs w:val="17"/>
              </w:rPr>
            </w:pPr>
          </w:p>
        </w:tc>
      </w:tr>
      <w:tr w14:paraId="6841B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14A18CB0">
            <w:pPr>
              <w:pStyle w:val="185"/>
              <w:spacing w:line="240" w:lineRule="auto"/>
              <w:ind w:firstLine="0"/>
              <w:jc w:val="center"/>
              <w:rPr>
                <w:rFonts w:hint="default" w:eastAsia="宋体"/>
                <w:color w:val="000000"/>
                <w:sz w:val="17"/>
                <w:szCs w:val="17"/>
                <w:lang w:val="en-US" w:eastAsia="zh-CN"/>
              </w:rPr>
            </w:pPr>
            <w:r>
              <w:rPr>
                <w:rFonts w:hint="eastAsia"/>
                <w:color w:val="000000"/>
                <w:sz w:val="17"/>
                <w:szCs w:val="17"/>
                <w:lang w:val="en-US" w:eastAsia="zh-CN"/>
              </w:rPr>
              <w:t>29</w:t>
            </w:r>
          </w:p>
        </w:tc>
        <w:tc>
          <w:tcPr>
            <w:tcW w:w="668" w:type="pct"/>
            <w:vMerge w:val="continue"/>
            <w:tcBorders>
              <w:tl2br w:val="nil"/>
              <w:tr2bl w:val="nil"/>
            </w:tcBorders>
            <w:vAlign w:val="center"/>
          </w:tcPr>
          <w:p w14:paraId="149F05E5">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33B1E062">
            <w:pPr>
              <w:pStyle w:val="185"/>
              <w:spacing w:line="240" w:lineRule="auto"/>
              <w:ind w:firstLine="0"/>
              <w:jc w:val="center"/>
              <w:rPr>
                <w:rFonts w:hint="eastAsia"/>
                <w:color w:val="000000"/>
                <w:sz w:val="17"/>
                <w:szCs w:val="17"/>
              </w:rPr>
            </w:pPr>
            <w:r>
              <w:rPr>
                <w:rFonts w:hint="eastAsia"/>
                <w:color w:val="000000"/>
                <w:sz w:val="17"/>
                <w:szCs w:val="17"/>
              </w:rPr>
              <w:t>模块化数据中心宜支持冷媒泄露检测、低载除湿能力</w:t>
            </w:r>
          </w:p>
        </w:tc>
        <w:tc>
          <w:tcPr>
            <w:tcW w:w="307" w:type="pct"/>
            <w:tcBorders>
              <w:tl2br w:val="nil"/>
              <w:tr2bl w:val="nil"/>
            </w:tcBorders>
            <w:shd w:val="clear" w:color="auto" w:fill="auto"/>
            <w:noWrap/>
            <w:vAlign w:val="center"/>
          </w:tcPr>
          <w:p w14:paraId="49F9E04D">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121EB581">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3F25CCF0">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2833DA12">
            <w:pPr>
              <w:pStyle w:val="185"/>
              <w:spacing w:line="240" w:lineRule="auto"/>
              <w:ind w:firstLine="0"/>
              <w:jc w:val="center"/>
              <w:rPr>
                <w:rFonts w:hint="eastAsia"/>
                <w:color w:val="000000"/>
                <w:sz w:val="17"/>
                <w:szCs w:val="17"/>
              </w:rPr>
            </w:pPr>
          </w:p>
        </w:tc>
      </w:tr>
      <w:tr w14:paraId="37892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3C3A2C08">
            <w:pPr>
              <w:pStyle w:val="185"/>
              <w:spacing w:line="240" w:lineRule="auto"/>
              <w:ind w:firstLine="0"/>
              <w:jc w:val="center"/>
              <w:rPr>
                <w:rFonts w:hint="default" w:eastAsia="宋体"/>
                <w:color w:val="000000"/>
                <w:sz w:val="17"/>
                <w:szCs w:val="17"/>
                <w:lang w:val="en-US" w:eastAsia="zh-CN"/>
              </w:rPr>
            </w:pPr>
            <w:r>
              <w:rPr>
                <w:rFonts w:hint="eastAsia"/>
                <w:color w:val="000000"/>
                <w:sz w:val="17"/>
                <w:szCs w:val="17"/>
                <w:lang w:val="en-US" w:eastAsia="zh-CN"/>
              </w:rPr>
              <w:t>30</w:t>
            </w:r>
          </w:p>
        </w:tc>
        <w:tc>
          <w:tcPr>
            <w:tcW w:w="668" w:type="pct"/>
            <w:vMerge w:val="continue"/>
            <w:tcBorders>
              <w:tl2br w:val="nil"/>
              <w:tr2bl w:val="nil"/>
            </w:tcBorders>
            <w:vAlign w:val="center"/>
          </w:tcPr>
          <w:p w14:paraId="1EB81170">
            <w:pPr>
              <w:pStyle w:val="185"/>
              <w:spacing w:line="240" w:lineRule="auto"/>
              <w:ind w:firstLine="0"/>
              <w:jc w:val="center"/>
              <w:rPr>
                <w:rFonts w:hint="eastAsia"/>
                <w:color w:val="000000"/>
                <w:sz w:val="17"/>
                <w:szCs w:val="17"/>
              </w:rPr>
            </w:pPr>
          </w:p>
        </w:tc>
        <w:tc>
          <w:tcPr>
            <w:tcW w:w="2575" w:type="pct"/>
            <w:tcBorders>
              <w:tl2br w:val="nil"/>
              <w:tr2bl w:val="nil"/>
            </w:tcBorders>
            <w:shd w:val="clear" w:color="auto" w:fill="auto"/>
            <w:vAlign w:val="center"/>
          </w:tcPr>
          <w:p w14:paraId="1681CA0F">
            <w:pPr>
              <w:pStyle w:val="185"/>
              <w:spacing w:line="240" w:lineRule="auto"/>
              <w:ind w:firstLine="0"/>
              <w:jc w:val="center"/>
              <w:rPr>
                <w:rFonts w:hint="eastAsia"/>
                <w:color w:val="000000"/>
                <w:sz w:val="17"/>
                <w:szCs w:val="17"/>
              </w:rPr>
            </w:pPr>
            <w:r>
              <w:rPr>
                <w:rFonts w:hint="eastAsia"/>
                <w:color w:val="000000"/>
                <w:sz w:val="17"/>
                <w:szCs w:val="17"/>
              </w:rPr>
              <w:t>模块化数据中心宜支持制冷能效管理，支持AI自动调节，AI模型支持在线实时训练与优化</w:t>
            </w:r>
          </w:p>
        </w:tc>
        <w:tc>
          <w:tcPr>
            <w:tcW w:w="307" w:type="pct"/>
            <w:tcBorders>
              <w:tl2br w:val="nil"/>
              <w:tr2bl w:val="nil"/>
            </w:tcBorders>
            <w:shd w:val="clear" w:color="auto" w:fill="auto"/>
            <w:noWrap/>
            <w:vAlign w:val="center"/>
          </w:tcPr>
          <w:p w14:paraId="0C316929">
            <w:pPr>
              <w:pStyle w:val="185"/>
              <w:spacing w:line="240" w:lineRule="auto"/>
              <w:ind w:firstLine="0"/>
              <w:jc w:val="center"/>
              <w:rPr>
                <w:rFonts w:hint="eastAsia"/>
                <w:color w:val="000000"/>
                <w:sz w:val="17"/>
                <w:szCs w:val="17"/>
              </w:rPr>
            </w:pPr>
            <w:r>
              <w:rPr>
                <w:rFonts w:hint="eastAsia"/>
                <w:color w:val="000000"/>
                <w:sz w:val="17"/>
                <w:szCs w:val="17"/>
              </w:rPr>
              <w:t>　</w:t>
            </w:r>
          </w:p>
        </w:tc>
        <w:tc>
          <w:tcPr>
            <w:tcW w:w="391" w:type="pct"/>
            <w:tcBorders>
              <w:tl2br w:val="nil"/>
              <w:tr2bl w:val="nil"/>
            </w:tcBorders>
            <w:shd w:val="clear" w:color="auto" w:fill="auto"/>
            <w:noWrap/>
            <w:vAlign w:val="center"/>
          </w:tcPr>
          <w:p w14:paraId="5E9BF6DA">
            <w:pPr>
              <w:pStyle w:val="185"/>
              <w:spacing w:line="240" w:lineRule="auto"/>
              <w:ind w:firstLine="0"/>
              <w:jc w:val="center"/>
              <w:rPr>
                <w:rFonts w:hint="eastAsia"/>
                <w:color w:val="000000"/>
                <w:sz w:val="17"/>
                <w:szCs w:val="17"/>
              </w:rPr>
            </w:pPr>
            <w:r>
              <w:rPr>
                <w:rFonts w:hint="eastAsia"/>
                <w:color w:val="000000"/>
                <w:sz w:val="17"/>
                <w:szCs w:val="17"/>
              </w:rPr>
              <w:t>　</w:t>
            </w:r>
          </w:p>
        </w:tc>
        <w:tc>
          <w:tcPr>
            <w:tcW w:w="425" w:type="pct"/>
            <w:vMerge w:val="continue"/>
            <w:tcBorders>
              <w:tl2br w:val="nil"/>
              <w:tr2bl w:val="nil"/>
            </w:tcBorders>
            <w:vAlign w:val="center"/>
          </w:tcPr>
          <w:p w14:paraId="2059E270">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3350A2FA">
            <w:pPr>
              <w:pStyle w:val="185"/>
              <w:spacing w:line="240" w:lineRule="auto"/>
              <w:ind w:firstLine="0"/>
              <w:jc w:val="center"/>
              <w:rPr>
                <w:rFonts w:hint="eastAsia"/>
                <w:color w:val="000000"/>
                <w:sz w:val="17"/>
                <w:szCs w:val="17"/>
              </w:rPr>
            </w:pPr>
          </w:p>
        </w:tc>
      </w:tr>
      <w:tr w14:paraId="17089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7D736A4A">
            <w:pPr>
              <w:pStyle w:val="185"/>
              <w:spacing w:line="240" w:lineRule="auto"/>
              <w:ind w:firstLine="0"/>
              <w:jc w:val="center"/>
              <w:rPr>
                <w:rFonts w:hint="default"/>
                <w:color w:val="000000"/>
                <w:sz w:val="17"/>
                <w:szCs w:val="17"/>
                <w:lang w:val="en-US" w:eastAsia="zh-CN"/>
              </w:rPr>
            </w:pPr>
            <w:r>
              <w:rPr>
                <w:rFonts w:hint="eastAsia"/>
                <w:color w:val="000000"/>
                <w:sz w:val="17"/>
                <w:szCs w:val="17"/>
                <w:lang w:val="en-US" w:eastAsia="zh-CN"/>
              </w:rPr>
              <w:t>31</w:t>
            </w:r>
          </w:p>
        </w:tc>
        <w:tc>
          <w:tcPr>
            <w:tcW w:w="668" w:type="pct"/>
            <w:vMerge w:val="restart"/>
            <w:tcBorders>
              <w:tl2br w:val="nil"/>
              <w:tr2bl w:val="nil"/>
            </w:tcBorders>
            <w:vAlign w:val="center"/>
          </w:tcPr>
          <w:p w14:paraId="7ED56ABE">
            <w:pPr>
              <w:pStyle w:val="185"/>
              <w:spacing w:line="240" w:lineRule="auto"/>
              <w:ind w:firstLine="0"/>
              <w:jc w:val="center"/>
              <w:rPr>
                <w:rFonts w:hint="default"/>
                <w:color w:val="000000"/>
                <w:sz w:val="17"/>
                <w:szCs w:val="17"/>
                <w:lang w:val="en-US" w:eastAsia="zh-CN"/>
              </w:rPr>
            </w:pPr>
            <w:r>
              <w:rPr>
                <w:rFonts w:hint="eastAsia"/>
                <w:color w:val="000000"/>
                <w:sz w:val="17"/>
                <w:szCs w:val="17"/>
                <w:lang w:val="en-US" w:eastAsia="zh-CN"/>
              </w:rPr>
              <w:t>产品网络安全要求</w:t>
            </w:r>
          </w:p>
        </w:tc>
        <w:tc>
          <w:tcPr>
            <w:tcW w:w="2575" w:type="pct"/>
            <w:tcBorders>
              <w:tl2br w:val="nil"/>
              <w:tr2bl w:val="nil"/>
            </w:tcBorders>
            <w:shd w:val="clear" w:color="auto" w:fill="auto"/>
            <w:vAlign w:val="center"/>
          </w:tcPr>
          <w:p w14:paraId="566774EE">
            <w:pPr>
              <w:pStyle w:val="185"/>
              <w:spacing w:line="240" w:lineRule="auto"/>
              <w:ind w:firstLine="0"/>
              <w:jc w:val="center"/>
              <w:rPr>
                <w:rFonts w:hint="eastAsia"/>
                <w:color w:val="000000"/>
                <w:sz w:val="17"/>
                <w:szCs w:val="17"/>
              </w:rPr>
            </w:pPr>
            <w:r>
              <w:rPr>
                <w:rFonts w:hint="eastAsia"/>
                <w:color w:val="000000"/>
                <w:sz w:val="17"/>
                <w:szCs w:val="17"/>
              </w:rPr>
              <w:t>不间断电源宜采用满足TRIMPS-ZY04-001《社会公主共安全领域自愿性认证实施规则智能联网产品（网络安全）》（终端增强级）要求的产品</w:t>
            </w:r>
          </w:p>
        </w:tc>
        <w:tc>
          <w:tcPr>
            <w:tcW w:w="307" w:type="pct"/>
            <w:tcBorders>
              <w:tl2br w:val="nil"/>
              <w:tr2bl w:val="nil"/>
            </w:tcBorders>
            <w:shd w:val="clear" w:color="auto" w:fill="auto"/>
            <w:noWrap/>
            <w:vAlign w:val="center"/>
          </w:tcPr>
          <w:p w14:paraId="7F317568">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1" w:type="pct"/>
            <w:tcBorders>
              <w:tl2br w:val="nil"/>
              <w:tr2bl w:val="nil"/>
            </w:tcBorders>
            <w:shd w:val="clear" w:color="auto" w:fill="auto"/>
            <w:noWrap/>
            <w:vAlign w:val="center"/>
          </w:tcPr>
          <w:p w14:paraId="30D366E2">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25" w:type="pct"/>
            <w:vMerge w:val="restart"/>
            <w:tcBorders>
              <w:tl2br w:val="nil"/>
              <w:tr2bl w:val="nil"/>
            </w:tcBorders>
            <w:vAlign w:val="center"/>
          </w:tcPr>
          <w:p w14:paraId="3720B3FC">
            <w:pPr>
              <w:pStyle w:val="185"/>
              <w:spacing w:line="240" w:lineRule="auto"/>
              <w:ind w:firstLine="0"/>
              <w:jc w:val="center"/>
              <w:rPr>
                <w:rFonts w:hint="default" w:eastAsia="宋体"/>
                <w:color w:val="000000"/>
                <w:sz w:val="17"/>
                <w:szCs w:val="17"/>
                <w:lang w:val="en-US" w:eastAsia="zh-CN"/>
              </w:rPr>
            </w:pPr>
            <w:r>
              <w:rPr>
                <w:rFonts w:hint="eastAsia"/>
                <w:color w:val="000000"/>
                <w:sz w:val="17"/>
                <w:szCs w:val="17"/>
                <w:lang w:val="en-US" w:eastAsia="zh-CN"/>
              </w:rPr>
              <w:t>4.5</w:t>
            </w:r>
          </w:p>
        </w:tc>
        <w:tc>
          <w:tcPr>
            <w:tcW w:w="356" w:type="pct"/>
            <w:vMerge w:val="restart"/>
            <w:tcBorders>
              <w:tl2br w:val="nil"/>
              <w:tr2bl w:val="nil"/>
            </w:tcBorders>
            <w:vAlign w:val="center"/>
          </w:tcPr>
          <w:p w14:paraId="5147CC01">
            <w:pPr>
              <w:pStyle w:val="185"/>
              <w:spacing w:line="240" w:lineRule="auto"/>
              <w:ind w:firstLine="0"/>
              <w:jc w:val="center"/>
              <w:rPr>
                <w:rFonts w:hint="default" w:eastAsia="宋体"/>
                <w:color w:val="000000"/>
                <w:sz w:val="17"/>
                <w:szCs w:val="17"/>
                <w:lang w:val="en-US" w:eastAsia="zh-CN"/>
              </w:rPr>
            </w:pPr>
            <w:r>
              <w:rPr>
                <w:rFonts w:hint="eastAsia"/>
                <w:color w:val="000000"/>
                <w:sz w:val="17"/>
                <w:szCs w:val="17"/>
                <w:lang w:val="en-US" w:eastAsia="zh-CN"/>
              </w:rPr>
              <w:t>5.5</w:t>
            </w:r>
          </w:p>
        </w:tc>
      </w:tr>
      <w:tr w14:paraId="3D98C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76" w:type="pct"/>
            <w:tcBorders>
              <w:tl2br w:val="nil"/>
              <w:tr2bl w:val="nil"/>
            </w:tcBorders>
            <w:shd w:val="clear" w:color="auto" w:fill="auto"/>
            <w:vAlign w:val="center"/>
          </w:tcPr>
          <w:p w14:paraId="73D3430C">
            <w:pPr>
              <w:pStyle w:val="185"/>
              <w:spacing w:line="240" w:lineRule="auto"/>
              <w:ind w:firstLine="0"/>
              <w:jc w:val="center"/>
              <w:rPr>
                <w:rFonts w:hint="default"/>
                <w:color w:val="000000"/>
                <w:sz w:val="17"/>
                <w:szCs w:val="17"/>
                <w:lang w:val="en-US" w:eastAsia="zh-CN"/>
              </w:rPr>
            </w:pPr>
            <w:r>
              <w:rPr>
                <w:rFonts w:hint="eastAsia"/>
                <w:color w:val="000000"/>
                <w:sz w:val="17"/>
                <w:szCs w:val="17"/>
                <w:lang w:val="en-US" w:eastAsia="zh-CN"/>
              </w:rPr>
              <w:t>32</w:t>
            </w:r>
          </w:p>
        </w:tc>
        <w:tc>
          <w:tcPr>
            <w:tcW w:w="668" w:type="pct"/>
            <w:vMerge w:val="continue"/>
            <w:tcBorders>
              <w:tl2br w:val="nil"/>
              <w:tr2bl w:val="nil"/>
            </w:tcBorders>
            <w:vAlign w:val="center"/>
          </w:tcPr>
          <w:p w14:paraId="454F1F76">
            <w:pPr>
              <w:pStyle w:val="185"/>
              <w:spacing w:line="240" w:lineRule="auto"/>
              <w:ind w:firstLine="0"/>
              <w:jc w:val="center"/>
              <w:rPr>
                <w:rFonts w:hint="default"/>
                <w:color w:val="000000"/>
                <w:sz w:val="17"/>
                <w:szCs w:val="17"/>
                <w:lang w:val="en-US" w:eastAsia="zh-CN"/>
              </w:rPr>
            </w:pPr>
          </w:p>
        </w:tc>
        <w:tc>
          <w:tcPr>
            <w:tcW w:w="2575" w:type="pct"/>
            <w:tcBorders>
              <w:tl2br w:val="nil"/>
              <w:tr2bl w:val="nil"/>
            </w:tcBorders>
            <w:shd w:val="clear" w:color="auto" w:fill="auto"/>
            <w:vAlign w:val="center"/>
          </w:tcPr>
          <w:p w14:paraId="12FD51CB">
            <w:pPr>
              <w:pStyle w:val="185"/>
              <w:spacing w:line="240" w:lineRule="auto"/>
              <w:ind w:firstLine="0"/>
              <w:jc w:val="center"/>
              <w:rPr>
                <w:rFonts w:hint="eastAsia"/>
                <w:color w:val="000000"/>
                <w:sz w:val="17"/>
                <w:szCs w:val="17"/>
              </w:rPr>
            </w:pPr>
            <w:r>
              <w:rPr>
                <w:rFonts w:hint="eastAsia"/>
                <w:color w:val="000000"/>
                <w:sz w:val="17"/>
                <w:szCs w:val="17"/>
              </w:rPr>
              <w:t>制冷系统宜采用满足TRIMPS-ZY04-001《社会公主共安全领域自愿性认证实施规则智能联网产品（网络安全）》（终端增强级）要求的产品</w:t>
            </w:r>
          </w:p>
        </w:tc>
        <w:tc>
          <w:tcPr>
            <w:tcW w:w="307" w:type="pct"/>
            <w:tcBorders>
              <w:tl2br w:val="nil"/>
              <w:tr2bl w:val="nil"/>
            </w:tcBorders>
            <w:shd w:val="clear" w:color="auto" w:fill="auto"/>
            <w:noWrap/>
            <w:vAlign w:val="center"/>
          </w:tcPr>
          <w:p w14:paraId="0DAF32D8">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391" w:type="pct"/>
            <w:tcBorders>
              <w:tl2br w:val="nil"/>
              <w:tr2bl w:val="nil"/>
            </w:tcBorders>
            <w:shd w:val="clear" w:color="auto" w:fill="auto"/>
            <w:noWrap/>
            <w:vAlign w:val="center"/>
          </w:tcPr>
          <w:p w14:paraId="7E925285">
            <w:pPr>
              <w:pStyle w:val="185"/>
              <w:spacing w:line="240" w:lineRule="auto"/>
              <w:ind w:firstLine="0" w:firstLineChars="0"/>
              <w:jc w:val="center"/>
              <w:rPr>
                <w:rFonts w:hint="eastAsia" w:ascii="宋体" w:hAnsi="宋体" w:eastAsia="宋体" w:cs="宋体"/>
                <w:color w:val="000000"/>
                <w:kern w:val="0"/>
                <w:sz w:val="17"/>
                <w:szCs w:val="17"/>
                <w:lang w:val="en-US" w:eastAsia="zh-CN" w:bidi="ar-SA"/>
              </w:rPr>
            </w:pPr>
            <w:r>
              <w:rPr>
                <w:rFonts w:hint="eastAsia"/>
                <w:color w:val="000000"/>
                <w:sz w:val="17"/>
                <w:szCs w:val="17"/>
              </w:rPr>
              <w:t>　</w:t>
            </w:r>
          </w:p>
        </w:tc>
        <w:tc>
          <w:tcPr>
            <w:tcW w:w="425" w:type="pct"/>
            <w:vMerge w:val="continue"/>
            <w:tcBorders>
              <w:tl2br w:val="nil"/>
              <w:tr2bl w:val="nil"/>
            </w:tcBorders>
            <w:vAlign w:val="center"/>
          </w:tcPr>
          <w:p w14:paraId="5C3A8DFA">
            <w:pPr>
              <w:pStyle w:val="185"/>
              <w:spacing w:line="240" w:lineRule="auto"/>
              <w:ind w:firstLine="0"/>
              <w:jc w:val="center"/>
              <w:rPr>
                <w:rFonts w:hint="eastAsia"/>
                <w:color w:val="000000"/>
                <w:sz w:val="17"/>
                <w:szCs w:val="17"/>
              </w:rPr>
            </w:pPr>
          </w:p>
        </w:tc>
        <w:tc>
          <w:tcPr>
            <w:tcW w:w="356" w:type="pct"/>
            <w:vMerge w:val="continue"/>
            <w:tcBorders>
              <w:tl2br w:val="nil"/>
              <w:tr2bl w:val="nil"/>
            </w:tcBorders>
            <w:vAlign w:val="center"/>
          </w:tcPr>
          <w:p w14:paraId="6A78BA60">
            <w:pPr>
              <w:pStyle w:val="185"/>
              <w:spacing w:line="240" w:lineRule="auto"/>
              <w:ind w:firstLine="0"/>
              <w:jc w:val="center"/>
              <w:rPr>
                <w:rFonts w:hint="eastAsia"/>
                <w:color w:val="000000"/>
                <w:sz w:val="17"/>
                <w:szCs w:val="17"/>
              </w:rPr>
            </w:pPr>
          </w:p>
        </w:tc>
      </w:tr>
    </w:tbl>
    <w:p w14:paraId="2426A033">
      <w:pPr>
        <w:pStyle w:val="25"/>
        <w:ind w:firstLine="0" w:firstLineChars="0"/>
        <w:jc w:val="left"/>
      </w:pPr>
    </w:p>
    <w:p w14:paraId="67E52533">
      <w:pPr>
        <w:pStyle w:val="163"/>
        <w:ind w:firstLine="0" w:firstLineChars="0"/>
      </w:pPr>
    </w:p>
    <w:p w14:paraId="6B701522">
      <w:pPr>
        <w:pStyle w:val="163"/>
        <w:ind w:firstLine="0" w:firstLineChars="0"/>
      </w:pPr>
    </w:p>
    <w:p w14:paraId="4491AFEB">
      <w:pPr>
        <w:pStyle w:val="163"/>
        <w:ind w:firstLine="0" w:firstLineChars="0"/>
      </w:pPr>
    </w:p>
    <w:p w14:paraId="6F9F044C">
      <w:pPr>
        <w:pStyle w:val="163"/>
        <w:ind w:firstLine="0" w:firstLineChars="0"/>
      </w:pPr>
      <w:r>
        <mc:AlternateContent>
          <mc:Choice Requires="wps">
            <w:drawing>
              <wp:anchor distT="0" distB="0" distL="114300" distR="114300" simplePos="0" relativeHeight="251663360" behindDoc="0" locked="0" layoutInCell="1" allowOverlap="1">
                <wp:simplePos x="0" y="0"/>
                <wp:positionH relativeFrom="column">
                  <wp:posOffset>1957070</wp:posOffset>
                </wp:positionH>
                <wp:positionV relativeFrom="paragraph">
                  <wp:posOffset>85725</wp:posOffset>
                </wp:positionV>
                <wp:extent cx="2381250" cy="0"/>
                <wp:effectExtent l="0" t="0" r="0" b="0"/>
                <wp:wrapNone/>
                <wp:docPr id="1" name="直接连接符 1"/>
                <wp:cNvGraphicFramePr/>
                <a:graphic xmlns:a="http://schemas.openxmlformats.org/drawingml/2006/main">
                  <a:graphicData uri="http://schemas.microsoft.com/office/word/2010/wordprocessingShape">
                    <wps:wsp>
                      <wps:cNvCnPr/>
                      <wps:spPr>
                        <a:xfrm>
                          <a:off x="2857500" y="2949575"/>
                          <a:ext cx="2381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54.1pt;margin-top:6.75pt;height:0pt;width:187.5pt;z-index:251663360;mso-width-relative:page;mso-height-relative:page;" filled="f" stroked="t" coordsize="21600,21600" o:gfxdata="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YZejXVAAAACQEAAA8AAAAAAAAAAQAgAAAAIgAAAGRycy9kb3ducmV2Lnht&#10;bFBLAQIUABQAAAAIAIdO4kC4HV6D/AEAAN8DAAAOAAAAAAAAAAEAIAAAACQBAABkcnMvZTJvRG9j&#10;LnhtbFBLBQYAAAAABgAGAFkBAACSBQAAAAA=&#10;">
                <v:fill on="f" focussize="0,0"/>
                <v:stroke color="#000000 [3200]" joinstyle="round"/>
                <v:imagedata o:title=""/>
                <o:lock v:ext="edit" aspectratio="f"/>
              </v:line>
            </w:pict>
          </mc:Fallback>
        </mc:AlternateContent>
      </w:r>
    </w:p>
    <w:sectPr>
      <w:headerReference r:id="rId13" w:type="default"/>
      <w:footerReference r:id="rId14" w:type="default"/>
      <w:footerReference r:id="rId15" w:type="even"/>
      <w:pgSz w:w="11906" w:h="16838"/>
      <w:pgMar w:top="1984" w:right="1134" w:bottom="1134" w:left="1418" w:header="1418" w:footer="1134" w:gutter="0"/>
      <w:pgBorders>
        <w:top w:val="none" w:sz="0" w:space="0"/>
        <w:left w:val="none" w:sz="0" w:space="0"/>
        <w:bottom w:val="none" w:sz="0" w:space="0"/>
        <w:right w:val="none" w:sz="0" w:space="0"/>
      </w:pgBorders>
      <w:pgNumType w:start="1"/>
      <w:cols w:space="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5ADEF">
    <w:pPr>
      <w:pStyle w:val="19"/>
    </w:pPr>
    <w:r>
      <w:rPr>
        <w:rFonts w:hint="eastAsia"/>
      </w:rPr>
      <w:t>Ⅱ</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CA9B2">
    <w:pPr>
      <w:pStyle w:val="47"/>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F351C">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8407F">
    <w:pPr>
      <w:pStyle w:val="47"/>
      <w:jc w:val="left"/>
    </w:pPr>
    <w:r>
      <mc:AlternateContent>
        <mc:Choice Requires="wps">
          <w:drawing>
            <wp:anchor distT="0" distB="0" distL="114300" distR="114300" simplePos="0" relativeHeight="251667456" behindDoc="0" locked="0" layoutInCell="1" allowOverlap="1">
              <wp:simplePos x="0" y="0"/>
              <wp:positionH relativeFrom="margin">
                <wp:align>inside</wp:align>
              </wp:positionH>
              <wp:positionV relativeFrom="paragraph">
                <wp:posOffset>0</wp:posOffset>
              </wp:positionV>
              <wp:extent cx="297815" cy="224155"/>
              <wp:effectExtent l="0" t="0" r="0" b="0"/>
              <wp:wrapNone/>
              <wp:docPr id="17" name="文本框 3"/>
              <wp:cNvGraphicFramePr/>
              <a:graphic xmlns:a="http://schemas.openxmlformats.org/drawingml/2006/main">
                <a:graphicData uri="http://schemas.microsoft.com/office/word/2010/wordprocessingShape">
                  <wps:wsp>
                    <wps:cNvSpPr txBox="1"/>
                    <wps:spPr>
                      <a:xfrm>
                        <a:off x="0" y="0"/>
                        <a:ext cx="297815" cy="224155"/>
                      </a:xfrm>
                      <a:prstGeom prst="rect">
                        <a:avLst/>
                      </a:prstGeom>
                      <a:noFill/>
                      <a:ln w="6350">
                        <a:noFill/>
                      </a:ln>
                    </wps:spPr>
                    <wps:txbx>
                      <w:txbxContent>
                        <w:p w14:paraId="6B1FE5AA">
                          <w:pPr>
                            <w:pStyle w:val="47"/>
                            <w:jc w:val="left"/>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3" o:spid="_x0000_s1026" o:spt="202" type="#_x0000_t202" style="position:absolute;left:0pt;margin-top:0pt;height:17.65pt;width:23.45pt;mso-position-horizontal:inside;mso-position-horizontal-relative:margin;mso-wrap-style:none;z-index:251667456;mso-width-relative:page;mso-height-relative:page;" filled="f" stroked="f" coordsize="21600,21600" o:gfxdata="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Hwmh1tIAAAADAQAADwAAAAAAAAABACAAAAAiAAAAZHJzL2Rvd25yZXYueG1sUEsBAhQA&#10;FAAAAAgAh07iQNc/9BoxAgAAVAQAAA4AAAAAAAAAAQAgAAAAIQEAAGRycy9lMm9Eb2MueG1sUEsF&#10;BgAAAAAGAAYAWQEAAMQFAAAAAA==&#10;">
              <v:fill on="f" focussize="0,0"/>
              <v:stroke on="f" weight="0.5pt"/>
              <v:imagedata o:title=""/>
              <o:lock v:ext="edit" aspectratio="f"/>
              <v:textbox inset="0mm,0mm,0mm,0mm" style="mso-fit-shape-to-text:t;">
                <w:txbxContent>
                  <w:p w14:paraId="6B1FE5AA">
                    <w:pPr>
                      <w:pStyle w:val="47"/>
                      <w:jc w:val="left"/>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78F62">
    <w:pPr>
      <w:pStyle w:val="19"/>
      <w:jc w:val="left"/>
    </w:pPr>
    <w:r>
      <w:rPr>
        <w:rFonts w:hint="eastAsia"/>
      </w:rPr>
      <w:t>Ⅲ</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F2D79">
    <w:pPr>
      <w:pStyle w:val="47"/>
      <w:spacing w:before="0"/>
      <w:ind w:right="0"/>
      <w:jc w:val="both"/>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91135" cy="131445"/>
              <wp:effectExtent l="0" t="0" r="0" b="0"/>
              <wp:wrapNone/>
              <wp:docPr id="15" name="文本框 1"/>
              <wp:cNvGraphicFramePr/>
              <a:graphic xmlns:a="http://schemas.openxmlformats.org/drawingml/2006/main">
                <a:graphicData uri="http://schemas.microsoft.com/office/word/2010/wordprocessingShape">
                  <wps:wsp>
                    <wps:cNvSpPr txBox="1"/>
                    <wps:spPr>
                      <a:xfrm>
                        <a:off x="0" y="0"/>
                        <a:ext cx="191135" cy="131445"/>
                      </a:xfrm>
                      <a:prstGeom prst="rect">
                        <a:avLst/>
                      </a:prstGeom>
                      <a:noFill/>
                      <a:ln w="6350">
                        <a:noFill/>
                      </a:ln>
                    </wps:spPr>
                    <wps:txbx>
                      <w:txbxContent>
                        <w:p w14:paraId="1972BDDD">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0.35pt;width:15.05pt;mso-position-horizontal:outside;mso-position-horizontal-relative:margin;mso-wrap-style:none;z-index:251669504;mso-width-relative:page;mso-height-relative:page;" filled="f" stroked="f" coordsize="21600,21600" o:gfxdata="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BYbBvtEAAAADAQAADwAAAAAAAAABACAAAAAiAAAAZHJzL2Rvd25yZXYueG1sUEsBAhQAFAAA&#10;AAgAh07iQMnYolYvAgAAVAQAAA4AAAAAAAAAAQAgAAAAIAEAAGRycy9lMm9Eb2MueG1sUEsFBgAA&#10;AAAGAAYAWQEAAMEFAAAAAA==&#10;">
              <v:fill on="f" focussize="0,0"/>
              <v:stroke on="f" weight="0.5pt"/>
              <v:imagedata o:title=""/>
              <o:lock v:ext="edit" aspectratio="f"/>
              <v:textbox inset="0mm,0mm,0mm,0mm" style="mso-fit-shape-to-text:t;">
                <w:txbxContent>
                  <w:p w14:paraId="1972BDDD">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DDAF4">
    <w:pPr>
      <w:pStyle w:val="19"/>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91135" cy="131445"/>
              <wp:effectExtent l="0" t="0" r="0" b="0"/>
              <wp:wrapNone/>
              <wp:docPr id="14" name="文本框 2"/>
              <wp:cNvGraphicFramePr/>
              <a:graphic xmlns:a="http://schemas.openxmlformats.org/drawingml/2006/main">
                <a:graphicData uri="http://schemas.microsoft.com/office/word/2010/wordprocessingShape">
                  <wps:wsp>
                    <wps:cNvSpPr txBox="1"/>
                    <wps:spPr>
                      <a:xfrm>
                        <a:off x="0" y="0"/>
                        <a:ext cx="191135" cy="131445"/>
                      </a:xfrm>
                      <a:prstGeom prst="rect">
                        <a:avLst/>
                      </a:prstGeom>
                      <a:noFill/>
                      <a:ln w="6350">
                        <a:noFill/>
                      </a:ln>
                    </wps:spPr>
                    <wps:txbx>
                      <w:txbxContent>
                        <w:p w14:paraId="24DFD797">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0.35pt;width:15.05pt;mso-position-horizontal:outside;mso-position-horizontal-relative:margin;mso-wrap-style:none;z-index:251668480;mso-width-relative:page;mso-height-relative:page;" filled="f" stroked="f" coordsize="21600,21600" o:gfxdata="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WGwb7RAAAAAwEAAA8AAAAAAAAAAQAgAAAAIgAAAGRycy9kb3ducmV2LnhtbFBLAQIUABQA&#10;AAAIAIdO4kCQOLPZMAIAAFQEAAAOAAAAAAAAAAEAIAAAACABAABkcnMvZTJvRG9jLnhtbFBLBQYA&#10;AAAABgAGAFkBAADCBQAAAAA=&#10;">
              <v:fill on="f" focussize="0,0"/>
              <v:stroke on="f" weight="0.5pt"/>
              <v:imagedata o:title=""/>
              <o:lock v:ext="edit" aspectratio="f"/>
              <v:textbox inset="0mm,0mm,0mm,0mm" style="mso-fit-shape-to-text:t;">
                <w:txbxContent>
                  <w:p w14:paraId="24DFD797">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6A704">
    <w:pPr>
      <w:pStyle w:val="20"/>
    </w:pPr>
    <w:r>
      <w:rPr>
        <w:b/>
      </w:rPr>
      <w:t>T/</w:t>
    </w:r>
    <w:r>
      <w:rPr>
        <w:rFonts w:hint="eastAsia"/>
        <w:b/>
      </w:rPr>
      <w:t>CCAA 36</w:t>
    </w:r>
    <w:r>
      <w:t>-20</w:t>
    </w:r>
    <w:r>
      <w:rPr>
        <w:rFonts w:hint="eastAsia"/>
      </w:rPr>
      <w:t>20X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D6323">
    <w:pPr>
      <w:pStyle w:val="20"/>
      <w:jc w:val="right"/>
    </w:pPr>
    <w:r>
      <w:rPr>
        <w:b/>
      </w:rPr>
      <w:t>T/</w:t>
    </w:r>
    <w:r>
      <w:rPr>
        <w:rFonts w:hint="eastAsia"/>
        <w:b/>
      </w:rPr>
      <w:t>CCAA 36</w:t>
    </w:r>
    <w:r>
      <w:t>-20</w:t>
    </w:r>
    <w:r>
      <w:rPr>
        <w:rFonts w:hint="eastAsia"/>
      </w:rPr>
      <w:t>20X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01671">
    <w:pPr>
      <w:pStyle w:val="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1C2D6">
    <w:pPr>
      <w:pStyle w:val="20"/>
    </w:pPr>
    <w:r>
      <w:rPr>
        <w:b/>
      </w:rPr>
      <w:t>T/</w:t>
    </w:r>
    <w:r>
      <w:rPr>
        <w:rFonts w:hint="eastAsia"/>
        <w:b/>
      </w:rPr>
      <w:t>CCAA XX</w:t>
    </w:r>
    <w:r>
      <w:t>-20</w:t>
    </w:r>
    <w:r>
      <w:rPr>
        <w:rFonts w:hint="eastAsia"/>
      </w:rPr>
      <w:t>2X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DF569">
    <w:pPr>
      <w:pStyle w:val="20"/>
      <w:rPr>
        <w:rFonts w:ascii="黑体" w:hAnsi="黑体" w:eastAsia="黑体" w:cs="黑体"/>
        <w:sz w:val="21"/>
        <w:szCs w:val="21"/>
      </w:rPr>
    </w:pPr>
    <w:r>
      <w:rPr>
        <w:rFonts w:hint="eastAsia" w:ascii="黑体" w:hAnsi="黑体" w:eastAsia="黑体" w:cs="黑体"/>
        <w:bCs/>
        <w:sz w:val="21"/>
        <w:szCs w:val="21"/>
      </w:rPr>
      <w:t xml:space="preserve">T/CCAA </w:t>
    </w:r>
    <w:r>
      <w:rPr>
        <w:rFonts w:ascii="黑体" w:hAnsi="黑体" w:eastAsia="黑体" w:cs="黑体"/>
        <w:bCs/>
        <w:sz w:val="21"/>
        <w:szCs w:val="21"/>
      </w:rPr>
      <w:t>XX</w:t>
    </w:r>
    <w:r>
      <w:rPr>
        <w:rFonts w:hint="eastAsia" w:ascii="黑体" w:hAnsi="黑体" w:eastAsia="黑体" w:cs="黑体"/>
        <w:sz w:val="21"/>
        <w:szCs w:val="21"/>
      </w:rPr>
      <w:t>-202</w:t>
    </w:r>
    <w:r>
      <w:rPr>
        <w:rFonts w:ascii="黑体" w:hAnsi="黑体" w:eastAsia="黑体" w:cs="黑体"/>
        <w:sz w:val="21"/>
        <w:szCs w:val="21"/>
      </w:rPr>
      <w:t>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FDEEB">
    <w:pPr>
      <w:pStyle w:val="20"/>
      <w:jc w:val="right"/>
      <w:rPr>
        <w:bCs/>
      </w:rPr>
    </w:pPr>
    <w:r>
      <w:rPr>
        <w:rFonts w:hint="eastAsia" w:ascii="黑体" w:hAnsi="黑体" w:eastAsia="黑体" w:cs="黑体"/>
        <w:bCs/>
        <w:sz w:val="21"/>
        <w:szCs w:val="21"/>
      </w:rPr>
      <w:t xml:space="preserve">T/CCAA </w:t>
    </w:r>
    <w:r>
      <w:rPr>
        <w:rFonts w:ascii="黑体" w:hAnsi="黑体" w:eastAsia="黑体" w:cs="黑体"/>
        <w:bCs/>
        <w:sz w:val="21"/>
        <w:szCs w:val="21"/>
      </w:rPr>
      <w:t>XX</w:t>
    </w:r>
    <w:r>
      <w:rPr>
        <w:rFonts w:hint="eastAsia" w:ascii="黑体" w:hAnsi="黑体" w:eastAsia="黑体" w:cs="黑体"/>
        <w:bCs/>
        <w:sz w:val="21"/>
        <w:szCs w:val="21"/>
      </w:rPr>
      <w:t>-202</w:t>
    </w:r>
    <w:r>
      <w:rPr>
        <w:rFonts w:ascii="黑体" w:hAnsi="黑体" w:eastAsia="黑体" w:cs="黑体"/>
        <w:bCs/>
        <w:sz w:val="21"/>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697ED"/>
    <w:multiLevelType w:val="singleLevel"/>
    <w:tmpl w:val="8E7697ED"/>
    <w:lvl w:ilvl="0" w:tentative="0">
      <w:start w:val="1"/>
      <w:numFmt w:val="lowerLetter"/>
      <w:suff w:val="space"/>
      <w:lvlText w:val="%1)"/>
      <w:lvlJc w:val="left"/>
    </w:lvl>
  </w:abstractNum>
  <w:abstractNum w:abstractNumId="1">
    <w:nsid w:val="A1CEDB5F"/>
    <w:multiLevelType w:val="singleLevel"/>
    <w:tmpl w:val="A1CEDB5F"/>
    <w:lvl w:ilvl="0" w:tentative="0">
      <w:start w:val="1"/>
      <w:numFmt w:val="lowerLetter"/>
      <w:suff w:val="space"/>
      <w:lvlText w:val="%1)"/>
      <w:lvlJc w:val="left"/>
    </w:lvl>
  </w:abstractNum>
  <w:abstractNum w:abstractNumId="2">
    <w:nsid w:val="ACC976D9"/>
    <w:multiLevelType w:val="singleLevel"/>
    <w:tmpl w:val="ACC976D9"/>
    <w:lvl w:ilvl="0" w:tentative="0">
      <w:start w:val="1"/>
      <w:numFmt w:val="lowerLetter"/>
      <w:suff w:val="space"/>
      <w:lvlText w:val="%1)"/>
      <w:lvlJc w:val="left"/>
    </w:lvl>
  </w:abstractNum>
  <w:abstractNum w:abstractNumId="3">
    <w:nsid w:val="B71DBE61"/>
    <w:multiLevelType w:val="singleLevel"/>
    <w:tmpl w:val="B71DBE61"/>
    <w:lvl w:ilvl="0" w:tentative="0">
      <w:start w:val="1"/>
      <w:numFmt w:val="lowerLetter"/>
      <w:suff w:val="space"/>
      <w:lvlText w:val="%1)"/>
      <w:lvlJc w:val="left"/>
    </w:lvl>
  </w:abstractNum>
  <w:abstractNum w:abstractNumId="4">
    <w:nsid w:val="C6DE7FFF"/>
    <w:multiLevelType w:val="singleLevel"/>
    <w:tmpl w:val="C6DE7FFF"/>
    <w:lvl w:ilvl="0" w:tentative="0">
      <w:start w:val="1"/>
      <w:numFmt w:val="lowerLetter"/>
      <w:suff w:val="space"/>
      <w:lvlText w:val="%1)"/>
      <w:lvlJc w:val="left"/>
    </w:lvl>
  </w:abstractNum>
  <w:abstractNum w:abstractNumId="5">
    <w:nsid w:val="CBD3AF2E"/>
    <w:multiLevelType w:val="singleLevel"/>
    <w:tmpl w:val="CBD3AF2E"/>
    <w:lvl w:ilvl="0" w:tentative="0">
      <w:start w:val="1"/>
      <w:numFmt w:val="lowerLetter"/>
      <w:suff w:val="space"/>
      <w:lvlText w:val="%1)"/>
      <w:lvlJc w:val="left"/>
    </w:lvl>
  </w:abstractNum>
  <w:abstractNum w:abstractNumId="6">
    <w:nsid w:val="DB7AC552"/>
    <w:multiLevelType w:val="singleLevel"/>
    <w:tmpl w:val="DB7AC552"/>
    <w:lvl w:ilvl="0" w:tentative="0">
      <w:start w:val="1"/>
      <w:numFmt w:val="lowerLetter"/>
      <w:suff w:val="space"/>
      <w:lvlText w:val="%1)"/>
      <w:lvlJc w:val="left"/>
    </w:lvl>
  </w:abstractNum>
  <w:abstractNum w:abstractNumId="7">
    <w:nsid w:val="EC00A4A3"/>
    <w:multiLevelType w:val="singleLevel"/>
    <w:tmpl w:val="EC00A4A3"/>
    <w:lvl w:ilvl="0" w:tentative="0">
      <w:start w:val="1"/>
      <w:numFmt w:val="lowerLetter"/>
      <w:suff w:val="space"/>
      <w:lvlText w:val="%1)"/>
      <w:lvlJc w:val="left"/>
    </w:lvl>
  </w:abstractNum>
  <w:abstractNum w:abstractNumId="8">
    <w:nsid w:val="01E71F47"/>
    <w:multiLevelType w:val="multilevel"/>
    <w:tmpl w:val="01E71F47"/>
    <w:lvl w:ilvl="0" w:tentative="0">
      <w:start w:val="1"/>
      <w:numFmt w:val="lowerLetter"/>
      <w:lvlText w:val="%1)"/>
      <w:lvlJc w:val="left"/>
      <w:pPr>
        <w:ind w:left="804" w:hanging="384"/>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0A952887"/>
    <w:multiLevelType w:val="multilevel"/>
    <w:tmpl w:val="0A952887"/>
    <w:lvl w:ilvl="0" w:tentative="0">
      <w:start w:val="1"/>
      <w:numFmt w:val="decimal"/>
      <w:pStyle w:val="69"/>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0">
    <w:nsid w:val="0DFD5E4D"/>
    <w:multiLevelType w:val="singleLevel"/>
    <w:tmpl w:val="0DFD5E4D"/>
    <w:lvl w:ilvl="0" w:tentative="0">
      <w:start w:val="1"/>
      <w:numFmt w:val="lowerLetter"/>
      <w:suff w:val="space"/>
      <w:lvlText w:val="%1)"/>
      <w:lvlJc w:val="left"/>
    </w:lvl>
  </w:abstractNum>
  <w:abstractNum w:abstractNumId="11">
    <w:nsid w:val="0F805D97"/>
    <w:multiLevelType w:val="multilevel"/>
    <w:tmpl w:val="0F805D97"/>
    <w:lvl w:ilvl="0" w:tentative="0">
      <w:start w:val="1"/>
      <w:numFmt w:val="none"/>
      <w:pStyle w:val="61"/>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2">
    <w:nsid w:val="18D77364"/>
    <w:multiLevelType w:val="singleLevel"/>
    <w:tmpl w:val="18D77364"/>
    <w:lvl w:ilvl="0" w:tentative="0">
      <w:start w:val="1"/>
      <w:numFmt w:val="lowerLetter"/>
      <w:suff w:val="space"/>
      <w:lvlText w:val="%1)"/>
      <w:lvlJc w:val="left"/>
    </w:lvl>
  </w:abstractNum>
  <w:abstractNum w:abstractNumId="13">
    <w:nsid w:val="1FC91163"/>
    <w:multiLevelType w:val="multilevel"/>
    <w:tmpl w:val="1FC91163"/>
    <w:lvl w:ilvl="0" w:tentative="0">
      <w:start w:val="1"/>
      <w:numFmt w:val="decimal"/>
      <w:pStyle w:val="4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6"/>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72"/>
      <w:suff w:val="nothing"/>
      <w:lvlText w:val="%1.%2.%3　"/>
      <w:lvlJc w:val="left"/>
      <w:pPr>
        <w:ind w:left="963" w:firstLine="0"/>
      </w:pPr>
      <w:rPr>
        <w:rFonts w:hint="eastAsia" w:ascii="黑体" w:hAnsi="Times New Roman" w:eastAsia="黑体"/>
        <w:b w:val="0"/>
        <w:i w:val="0"/>
        <w:sz w:val="21"/>
      </w:rPr>
    </w:lvl>
    <w:lvl w:ilvl="3" w:tentative="0">
      <w:start w:val="1"/>
      <w:numFmt w:val="decimal"/>
      <w:suff w:val="nothing"/>
      <w:lvlText w:val="%1.%2.%3.%4　"/>
      <w:lvlJc w:val="left"/>
      <w:pPr>
        <w:ind w:left="567"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216CD6FF"/>
    <w:multiLevelType w:val="singleLevel"/>
    <w:tmpl w:val="216CD6FF"/>
    <w:lvl w:ilvl="0" w:tentative="0">
      <w:start w:val="1"/>
      <w:numFmt w:val="lowerLetter"/>
      <w:suff w:val="space"/>
      <w:lvlText w:val="%1)"/>
      <w:lvlJc w:val="left"/>
    </w:lvl>
  </w:abstractNum>
  <w:abstractNum w:abstractNumId="15">
    <w:nsid w:val="220019A9"/>
    <w:multiLevelType w:val="multilevel"/>
    <w:tmpl w:val="220019A9"/>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24B435DB"/>
    <w:multiLevelType w:val="multilevel"/>
    <w:tmpl w:val="24B435DB"/>
    <w:lvl w:ilvl="0" w:tentative="0">
      <w:start w:val="1"/>
      <w:numFmt w:val="lowerLetter"/>
      <w:pStyle w:val="125"/>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17">
    <w:nsid w:val="29707437"/>
    <w:multiLevelType w:val="multilevel"/>
    <w:tmpl w:val="29707437"/>
    <w:lvl w:ilvl="0" w:tentative="0">
      <w:start w:val="1"/>
      <w:numFmt w:val="none"/>
      <w:pStyle w:val="68"/>
      <w:suff w:val="nothing"/>
      <w:lvlText w:val="%1注："/>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8">
    <w:nsid w:val="2A8F7113"/>
    <w:multiLevelType w:val="multilevel"/>
    <w:tmpl w:val="2A8F7113"/>
    <w:lvl w:ilvl="0" w:tentative="0">
      <w:start w:val="1"/>
      <w:numFmt w:val="upperLetter"/>
      <w:pStyle w:val="102"/>
      <w:suff w:val="space"/>
      <w:lvlText w:val="%1"/>
      <w:lvlJc w:val="left"/>
      <w:pPr>
        <w:ind w:left="623" w:hanging="425"/>
      </w:pPr>
      <w:rPr>
        <w:rFonts w:hint="eastAsia"/>
      </w:rPr>
    </w:lvl>
    <w:lvl w:ilvl="1" w:tentative="0">
      <w:start w:val="1"/>
      <w:numFmt w:val="decimal"/>
      <w:pStyle w:val="10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9">
    <w:nsid w:val="2C5917C3"/>
    <w:multiLevelType w:val="multilevel"/>
    <w:tmpl w:val="2C5917C3"/>
    <w:lvl w:ilvl="0" w:tentative="0">
      <w:start w:val="1"/>
      <w:numFmt w:val="none"/>
      <w:pStyle w:val="52"/>
      <w:suff w:val="nothing"/>
      <w:lvlText w:val="%1——"/>
      <w:lvlJc w:val="left"/>
      <w:pPr>
        <w:ind w:left="833" w:hanging="408"/>
      </w:pPr>
      <w:rPr>
        <w:rFonts w:hint="eastAsia"/>
      </w:rPr>
    </w:lvl>
    <w:lvl w:ilvl="1" w:tentative="0">
      <w:start w:val="1"/>
      <w:numFmt w:val="bullet"/>
      <w:pStyle w:val="53"/>
      <w:lvlText w:val=""/>
      <w:lvlJc w:val="left"/>
      <w:pPr>
        <w:tabs>
          <w:tab w:val="left" w:pos="760"/>
        </w:tabs>
        <w:ind w:left="1264" w:hanging="413"/>
      </w:pPr>
      <w:rPr>
        <w:rFonts w:hint="default" w:ascii="Symbol" w:hAnsi="Symbol"/>
        <w:color w:val="auto"/>
      </w:rPr>
    </w:lvl>
    <w:lvl w:ilvl="2" w:tentative="0">
      <w:start w:val="1"/>
      <w:numFmt w:val="bullet"/>
      <w:pStyle w:val="6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0">
    <w:nsid w:val="2CFF6A23"/>
    <w:multiLevelType w:val="multilevel"/>
    <w:tmpl w:val="2CFF6A23"/>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30E63254"/>
    <w:multiLevelType w:val="multilevel"/>
    <w:tmpl w:val="30E63254"/>
    <w:lvl w:ilvl="0" w:tentative="0">
      <w:start w:val="1"/>
      <w:numFmt w:val="lowerLetter"/>
      <w:lvlText w:val="%1)"/>
      <w:lvlJc w:val="left"/>
      <w:pPr>
        <w:ind w:left="840" w:hanging="420"/>
      </w:pPr>
      <w:rPr>
        <w:rFonts w:hint="default"/>
        <w:strike w:val="0"/>
        <w:color w:val="000000"/>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2">
    <w:nsid w:val="33C907AB"/>
    <w:multiLevelType w:val="singleLevel"/>
    <w:tmpl w:val="33C907AB"/>
    <w:lvl w:ilvl="0" w:tentative="0">
      <w:start w:val="1"/>
      <w:numFmt w:val="lowerLetter"/>
      <w:suff w:val="space"/>
      <w:lvlText w:val="%1)"/>
      <w:lvlJc w:val="left"/>
    </w:lvl>
  </w:abstractNum>
  <w:abstractNum w:abstractNumId="23">
    <w:nsid w:val="3D733618"/>
    <w:multiLevelType w:val="multilevel"/>
    <w:tmpl w:val="3D733618"/>
    <w:lvl w:ilvl="0" w:tentative="0">
      <w:start w:val="1"/>
      <w:numFmt w:val="decimal"/>
      <w:pStyle w:val="2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pStyle w:val="173"/>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4">
    <w:nsid w:val="429E76F0"/>
    <w:multiLevelType w:val="multilevel"/>
    <w:tmpl w:val="429E76F0"/>
    <w:lvl w:ilvl="0" w:tentative="0">
      <w:start w:val="1"/>
      <w:numFmt w:val="lowerLetter"/>
      <w:lvlText w:val="%1)"/>
      <w:lvlJc w:val="left"/>
      <w:pPr>
        <w:ind w:left="820" w:hanging="420"/>
      </w:p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25">
    <w:nsid w:val="44C50F90"/>
    <w:multiLevelType w:val="multilevel"/>
    <w:tmpl w:val="44C50F90"/>
    <w:lvl w:ilvl="0" w:tentative="0">
      <w:start w:val="1"/>
      <w:numFmt w:val="lowerLetter"/>
      <w:pStyle w:val="63"/>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8"/>
      <w:lvlText w:val="%2)"/>
      <w:lvlJc w:val="left"/>
      <w:pPr>
        <w:tabs>
          <w:tab w:val="left" w:pos="1260"/>
        </w:tabs>
        <w:ind w:left="1259" w:hanging="419"/>
      </w:pPr>
      <w:rPr>
        <w:rFonts w:hint="eastAsia"/>
      </w:rPr>
    </w:lvl>
    <w:lvl w:ilvl="2" w:tentative="0">
      <w:start w:val="1"/>
      <w:numFmt w:val="decimal"/>
      <w:pStyle w:val="65"/>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6">
    <w:nsid w:val="475DD492"/>
    <w:multiLevelType w:val="singleLevel"/>
    <w:tmpl w:val="475DD492"/>
    <w:lvl w:ilvl="0" w:tentative="0">
      <w:start w:val="1"/>
      <w:numFmt w:val="lowerLetter"/>
      <w:suff w:val="space"/>
      <w:lvlText w:val="%1)"/>
      <w:lvlJc w:val="left"/>
    </w:lvl>
  </w:abstractNum>
  <w:abstractNum w:abstractNumId="27">
    <w:nsid w:val="520F62E9"/>
    <w:multiLevelType w:val="multilevel"/>
    <w:tmpl w:val="520F62E9"/>
    <w:lvl w:ilvl="0" w:tentative="0">
      <w:start w:val="1"/>
      <w:numFmt w:val="decimal"/>
      <w:pStyle w:val="132"/>
      <w:suff w:val="nothing"/>
      <w:lvlText w:val="图%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8">
    <w:nsid w:val="5757736C"/>
    <w:multiLevelType w:val="singleLevel"/>
    <w:tmpl w:val="5757736C"/>
    <w:lvl w:ilvl="0" w:tentative="0">
      <w:start w:val="1"/>
      <w:numFmt w:val="lowerLetter"/>
      <w:suff w:val="space"/>
      <w:lvlText w:val="%1)"/>
      <w:lvlJc w:val="left"/>
    </w:lvl>
  </w:abstractNum>
  <w:abstractNum w:abstractNumId="29">
    <w:nsid w:val="5E63562F"/>
    <w:multiLevelType w:val="multilevel"/>
    <w:tmpl w:val="5E63562F"/>
    <w:lvl w:ilvl="0" w:tentative="0">
      <w:start w:val="1"/>
      <w:numFmt w:val="decimal"/>
      <w:pStyle w:val="62"/>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0B55DC2"/>
    <w:multiLevelType w:val="multilevel"/>
    <w:tmpl w:val="60B55DC2"/>
    <w:lvl w:ilvl="0" w:tentative="0">
      <w:start w:val="1"/>
      <w:numFmt w:val="upperLetter"/>
      <w:pStyle w:val="90"/>
      <w:lvlText w:val="%1"/>
      <w:lvlJc w:val="left"/>
      <w:pPr>
        <w:tabs>
          <w:tab w:val="left" w:pos="0"/>
        </w:tabs>
        <w:ind w:left="0" w:hanging="425"/>
      </w:pPr>
      <w:rPr>
        <w:rFonts w:hint="eastAsia"/>
      </w:rPr>
    </w:lvl>
    <w:lvl w:ilvl="1" w:tentative="0">
      <w:start w:val="1"/>
      <w:numFmt w:val="decimal"/>
      <w:pStyle w:val="91"/>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1">
    <w:nsid w:val="63404DBE"/>
    <w:multiLevelType w:val="multilevel"/>
    <w:tmpl w:val="63404DBE"/>
    <w:lvl w:ilvl="0" w:tentative="0">
      <w:start w:val="1"/>
      <w:numFmt w:val="none"/>
      <w:pStyle w:val="56"/>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2">
    <w:nsid w:val="63AF7EBF"/>
    <w:multiLevelType w:val="multilevel"/>
    <w:tmpl w:val="63AF7EBF"/>
    <w:lvl w:ilvl="0" w:tentative="0">
      <w:start w:val="1"/>
      <w:numFmt w:val="decimal"/>
      <w:pStyle w:val="130"/>
      <w:suff w:val="nothing"/>
      <w:lvlText w:val="表%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3">
    <w:nsid w:val="657D3FBC"/>
    <w:multiLevelType w:val="multilevel"/>
    <w:tmpl w:val="657D3FBC"/>
    <w:lvl w:ilvl="0" w:tentative="0">
      <w:start w:val="1"/>
      <w:numFmt w:val="upperLetter"/>
      <w:pStyle w:val="8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7"/>
      <w:suff w:val="nothing"/>
      <w:lvlText w:val="%1.%2.%3　"/>
      <w:lvlJc w:val="left"/>
      <w:pPr>
        <w:ind w:left="0" w:firstLine="0"/>
      </w:pPr>
      <w:rPr>
        <w:rFonts w:hint="eastAsia" w:ascii="黑体" w:hAnsi="Times New Roman" w:eastAsia="黑体"/>
        <w:b w:val="0"/>
        <w:i w:val="0"/>
        <w:sz w:val="21"/>
      </w:rPr>
    </w:lvl>
    <w:lvl w:ilvl="3" w:tentative="0">
      <w:start w:val="1"/>
      <w:numFmt w:val="decimal"/>
      <w:pStyle w:val="92"/>
      <w:suff w:val="nothing"/>
      <w:lvlText w:val="%1.%2.%3.%4　"/>
      <w:lvlJc w:val="left"/>
      <w:pPr>
        <w:ind w:left="0" w:firstLine="0"/>
      </w:pPr>
      <w:rPr>
        <w:rFonts w:hint="eastAsia" w:ascii="黑体" w:hAnsi="Times New Roman" w:eastAsia="黑体"/>
        <w:b w:val="0"/>
        <w:i w:val="0"/>
        <w:sz w:val="21"/>
      </w:rPr>
    </w:lvl>
    <w:lvl w:ilvl="4" w:tentative="0">
      <w:start w:val="1"/>
      <w:numFmt w:val="decimal"/>
      <w:pStyle w:val="97"/>
      <w:suff w:val="nothing"/>
      <w:lvlText w:val="%1.%2.%3.%4.%5　"/>
      <w:lvlJc w:val="left"/>
      <w:pPr>
        <w:ind w:left="0" w:firstLine="0"/>
      </w:pPr>
      <w:rPr>
        <w:rFonts w:hint="eastAsia" w:ascii="黑体" w:hAnsi="Times New Roman" w:eastAsia="黑体"/>
        <w:b w:val="0"/>
        <w:i w:val="0"/>
        <w:sz w:val="21"/>
      </w:rPr>
    </w:lvl>
    <w:lvl w:ilvl="5" w:tentative="0">
      <w:start w:val="1"/>
      <w:numFmt w:val="decimal"/>
      <w:pStyle w:val="100"/>
      <w:suff w:val="nothing"/>
      <w:lvlText w:val="%1.%2.%3.%4.%5.%6　"/>
      <w:lvlJc w:val="left"/>
      <w:pPr>
        <w:ind w:left="0" w:firstLine="0"/>
      </w:pPr>
      <w:rPr>
        <w:rFonts w:hint="eastAsia" w:ascii="黑体" w:hAnsi="Times New Roman" w:eastAsia="黑体"/>
        <w:b w:val="0"/>
        <w:i w:val="0"/>
        <w:sz w:val="21"/>
      </w:rPr>
    </w:lvl>
    <w:lvl w:ilvl="6" w:tentative="0">
      <w:start w:val="1"/>
      <w:numFmt w:val="decimal"/>
      <w:pStyle w:val="10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4">
    <w:nsid w:val="6AB870ED"/>
    <w:multiLevelType w:val="multilevel"/>
    <w:tmpl w:val="6AB870ED"/>
    <w:lvl w:ilvl="0" w:tentative="0">
      <w:start w:val="1"/>
      <w:numFmt w:val="decimal"/>
      <w:pStyle w:val="66"/>
      <w:suff w:val="nothing"/>
      <w:lvlText w:val="示例%1："/>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5">
    <w:nsid w:val="6D6C07CD"/>
    <w:multiLevelType w:val="multilevel"/>
    <w:tmpl w:val="6D6C07CD"/>
    <w:lvl w:ilvl="0" w:tentative="0">
      <w:start w:val="1"/>
      <w:numFmt w:val="lowerLetter"/>
      <w:pStyle w:val="109"/>
      <w:lvlText w:val="%1)"/>
      <w:lvlJc w:val="left"/>
      <w:pPr>
        <w:tabs>
          <w:tab w:val="left" w:pos="839"/>
        </w:tabs>
        <w:ind w:left="839" w:hanging="419"/>
      </w:pPr>
      <w:rPr>
        <w:rFonts w:hint="eastAsia" w:ascii="宋体" w:eastAsia="宋体"/>
        <w:b w:val="0"/>
        <w:i w:val="0"/>
        <w:sz w:val="21"/>
      </w:rPr>
    </w:lvl>
    <w:lvl w:ilvl="1" w:tentative="0">
      <w:start w:val="1"/>
      <w:numFmt w:val="decimal"/>
      <w:pStyle w:val="99"/>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6">
    <w:nsid w:val="754D8749"/>
    <w:multiLevelType w:val="singleLevel"/>
    <w:tmpl w:val="754D8749"/>
    <w:lvl w:ilvl="0" w:tentative="0">
      <w:start w:val="1"/>
      <w:numFmt w:val="lowerLetter"/>
      <w:suff w:val="space"/>
      <w:lvlText w:val="%1)"/>
      <w:lvlJc w:val="left"/>
    </w:lvl>
  </w:abstractNum>
  <w:abstractNum w:abstractNumId="37">
    <w:nsid w:val="786331C2"/>
    <w:multiLevelType w:val="multilevel"/>
    <w:tmpl w:val="786331C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23"/>
  </w:num>
  <w:num w:numId="2">
    <w:abstractNumId w:val="13"/>
  </w:num>
  <w:num w:numId="3">
    <w:abstractNumId w:val="19"/>
  </w:num>
  <w:num w:numId="4">
    <w:abstractNumId w:val="31"/>
  </w:num>
  <w:num w:numId="5">
    <w:abstractNumId w:val="25"/>
  </w:num>
  <w:num w:numId="6">
    <w:abstractNumId w:val="11"/>
  </w:num>
  <w:num w:numId="7">
    <w:abstractNumId w:val="29"/>
  </w:num>
  <w:num w:numId="8">
    <w:abstractNumId w:val="34"/>
  </w:num>
  <w:num w:numId="9">
    <w:abstractNumId w:val="17"/>
  </w:num>
  <w:num w:numId="10">
    <w:abstractNumId w:val="9"/>
  </w:num>
  <w:num w:numId="11">
    <w:abstractNumId w:val="33"/>
  </w:num>
  <w:num w:numId="12">
    <w:abstractNumId w:val="30"/>
  </w:num>
  <w:num w:numId="13">
    <w:abstractNumId w:val="35"/>
  </w:num>
  <w:num w:numId="14">
    <w:abstractNumId w:val="18"/>
  </w:num>
  <w:num w:numId="15">
    <w:abstractNumId w:val="16"/>
  </w:num>
  <w:num w:numId="16">
    <w:abstractNumId w:val="32"/>
  </w:num>
  <w:num w:numId="17">
    <w:abstractNumId w:val="27"/>
  </w:num>
  <w:num w:numId="18">
    <w:abstractNumId w:val="37"/>
  </w:num>
  <w:num w:numId="19">
    <w:abstractNumId w:val="10"/>
  </w:num>
  <w:num w:numId="20">
    <w:abstractNumId w:val="20"/>
  </w:num>
  <w:num w:numId="21">
    <w:abstractNumId w:val="24"/>
  </w:num>
  <w:num w:numId="22">
    <w:abstractNumId w:val="8"/>
  </w:num>
  <w:num w:numId="23">
    <w:abstractNumId w:val="21"/>
  </w:num>
  <w:num w:numId="24">
    <w:abstractNumId w:val="4"/>
  </w:num>
  <w:num w:numId="25">
    <w:abstractNumId w:val="15"/>
  </w:num>
  <w:num w:numId="26">
    <w:abstractNumId w:val="6"/>
  </w:num>
  <w:num w:numId="27">
    <w:abstractNumId w:val="36"/>
  </w:num>
  <w:num w:numId="28">
    <w:abstractNumId w:val="1"/>
  </w:num>
  <w:num w:numId="29">
    <w:abstractNumId w:val="12"/>
  </w:num>
  <w:num w:numId="30">
    <w:abstractNumId w:val="0"/>
  </w:num>
  <w:num w:numId="31">
    <w:abstractNumId w:val="2"/>
  </w:num>
  <w:num w:numId="32">
    <w:abstractNumId w:val="22"/>
  </w:num>
  <w:num w:numId="33">
    <w:abstractNumId w:val="14"/>
  </w:num>
  <w:num w:numId="34">
    <w:abstractNumId w:val="3"/>
  </w:num>
  <w:num w:numId="35">
    <w:abstractNumId w:val="26"/>
  </w:num>
  <w:num w:numId="36">
    <w:abstractNumId w:val="5"/>
  </w:num>
  <w:num w:numId="37">
    <w:abstractNumId w:val="7"/>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E4Mzk2YjliNTc0M2Q5NTQwNjc5MmQxYThhYjkyNTcifQ=="/>
  </w:docVars>
  <w:rsids>
    <w:rsidRoot w:val="00035925"/>
    <w:rsid w:val="00000244"/>
    <w:rsid w:val="00000BB3"/>
    <w:rsid w:val="0000185F"/>
    <w:rsid w:val="00001AE3"/>
    <w:rsid w:val="00002743"/>
    <w:rsid w:val="00004B91"/>
    <w:rsid w:val="00004CCE"/>
    <w:rsid w:val="00004E32"/>
    <w:rsid w:val="0000586F"/>
    <w:rsid w:val="0000606B"/>
    <w:rsid w:val="00007B74"/>
    <w:rsid w:val="00012155"/>
    <w:rsid w:val="00013D86"/>
    <w:rsid w:val="00013E02"/>
    <w:rsid w:val="00014419"/>
    <w:rsid w:val="000145D4"/>
    <w:rsid w:val="0001556C"/>
    <w:rsid w:val="000165BE"/>
    <w:rsid w:val="0002143C"/>
    <w:rsid w:val="00021AB9"/>
    <w:rsid w:val="000245C4"/>
    <w:rsid w:val="00025A65"/>
    <w:rsid w:val="00026C31"/>
    <w:rsid w:val="00027280"/>
    <w:rsid w:val="000320A7"/>
    <w:rsid w:val="000325EA"/>
    <w:rsid w:val="00032E0A"/>
    <w:rsid w:val="00034585"/>
    <w:rsid w:val="00034D2D"/>
    <w:rsid w:val="00035925"/>
    <w:rsid w:val="00036C2C"/>
    <w:rsid w:val="0004530E"/>
    <w:rsid w:val="00045A7C"/>
    <w:rsid w:val="000465FC"/>
    <w:rsid w:val="000502B6"/>
    <w:rsid w:val="000519E3"/>
    <w:rsid w:val="00052645"/>
    <w:rsid w:val="00053BCA"/>
    <w:rsid w:val="00055081"/>
    <w:rsid w:val="00055371"/>
    <w:rsid w:val="00055A30"/>
    <w:rsid w:val="0005669C"/>
    <w:rsid w:val="00056A24"/>
    <w:rsid w:val="00057CE5"/>
    <w:rsid w:val="000607A3"/>
    <w:rsid w:val="000657F7"/>
    <w:rsid w:val="00067CDF"/>
    <w:rsid w:val="000709E3"/>
    <w:rsid w:val="000716AB"/>
    <w:rsid w:val="00072FD6"/>
    <w:rsid w:val="00074FBE"/>
    <w:rsid w:val="00076FDD"/>
    <w:rsid w:val="0007762A"/>
    <w:rsid w:val="00081F6E"/>
    <w:rsid w:val="00083A09"/>
    <w:rsid w:val="00083BFE"/>
    <w:rsid w:val="0009005E"/>
    <w:rsid w:val="000918A9"/>
    <w:rsid w:val="00092001"/>
    <w:rsid w:val="00092618"/>
    <w:rsid w:val="00092857"/>
    <w:rsid w:val="00092BD8"/>
    <w:rsid w:val="000930CD"/>
    <w:rsid w:val="0009313E"/>
    <w:rsid w:val="000959B3"/>
    <w:rsid w:val="00095D5A"/>
    <w:rsid w:val="000964C7"/>
    <w:rsid w:val="000979D9"/>
    <w:rsid w:val="000A0CBB"/>
    <w:rsid w:val="000A20A9"/>
    <w:rsid w:val="000A36CA"/>
    <w:rsid w:val="000A48B1"/>
    <w:rsid w:val="000A4F14"/>
    <w:rsid w:val="000A5F21"/>
    <w:rsid w:val="000A6BBA"/>
    <w:rsid w:val="000A76E3"/>
    <w:rsid w:val="000B2C50"/>
    <w:rsid w:val="000B2F0E"/>
    <w:rsid w:val="000B3143"/>
    <w:rsid w:val="000B405D"/>
    <w:rsid w:val="000C2BE6"/>
    <w:rsid w:val="000C6B05"/>
    <w:rsid w:val="000C6DD6"/>
    <w:rsid w:val="000C6EF2"/>
    <w:rsid w:val="000C73D4"/>
    <w:rsid w:val="000D03E6"/>
    <w:rsid w:val="000D3D4C"/>
    <w:rsid w:val="000D4F51"/>
    <w:rsid w:val="000D54FC"/>
    <w:rsid w:val="000D718B"/>
    <w:rsid w:val="000D7BD9"/>
    <w:rsid w:val="000E025C"/>
    <w:rsid w:val="000E0C46"/>
    <w:rsid w:val="000E15EE"/>
    <w:rsid w:val="000E3676"/>
    <w:rsid w:val="000E4E3B"/>
    <w:rsid w:val="000E5C6E"/>
    <w:rsid w:val="000E78B5"/>
    <w:rsid w:val="000F030C"/>
    <w:rsid w:val="000F129C"/>
    <w:rsid w:val="000F174F"/>
    <w:rsid w:val="000F36DB"/>
    <w:rsid w:val="000F5661"/>
    <w:rsid w:val="000F5E62"/>
    <w:rsid w:val="00104E29"/>
    <w:rsid w:val="001056DE"/>
    <w:rsid w:val="00111022"/>
    <w:rsid w:val="001124C0"/>
    <w:rsid w:val="00112A46"/>
    <w:rsid w:val="001159E9"/>
    <w:rsid w:val="00117A25"/>
    <w:rsid w:val="00117E4A"/>
    <w:rsid w:val="00120616"/>
    <w:rsid w:val="00120774"/>
    <w:rsid w:val="00121293"/>
    <w:rsid w:val="001224FE"/>
    <w:rsid w:val="0013175F"/>
    <w:rsid w:val="0013364D"/>
    <w:rsid w:val="00133EEA"/>
    <w:rsid w:val="001343BB"/>
    <w:rsid w:val="00134539"/>
    <w:rsid w:val="00140F58"/>
    <w:rsid w:val="001428A8"/>
    <w:rsid w:val="00142E6F"/>
    <w:rsid w:val="00143425"/>
    <w:rsid w:val="00145C21"/>
    <w:rsid w:val="00146D5F"/>
    <w:rsid w:val="00147398"/>
    <w:rsid w:val="00151264"/>
    <w:rsid w:val="001512B4"/>
    <w:rsid w:val="00152874"/>
    <w:rsid w:val="00153A26"/>
    <w:rsid w:val="001560D2"/>
    <w:rsid w:val="001620A5"/>
    <w:rsid w:val="00164E53"/>
    <w:rsid w:val="00165D35"/>
    <w:rsid w:val="0016699D"/>
    <w:rsid w:val="001670D9"/>
    <w:rsid w:val="00175159"/>
    <w:rsid w:val="00175A64"/>
    <w:rsid w:val="00175AD7"/>
    <w:rsid w:val="00176208"/>
    <w:rsid w:val="00177199"/>
    <w:rsid w:val="0017780C"/>
    <w:rsid w:val="0018101F"/>
    <w:rsid w:val="001813B2"/>
    <w:rsid w:val="0018211B"/>
    <w:rsid w:val="00183FE1"/>
    <w:rsid w:val="001840D3"/>
    <w:rsid w:val="00184782"/>
    <w:rsid w:val="001848D6"/>
    <w:rsid w:val="00185FB5"/>
    <w:rsid w:val="00187A8A"/>
    <w:rsid w:val="001900F8"/>
    <w:rsid w:val="00191258"/>
    <w:rsid w:val="00192680"/>
    <w:rsid w:val="00193037"/>
    <w:rsid w:val="00193375"/>
    <w:rsid w:val="00193A2C"/>
    <w:rsid w:val="001952B0"/>
    <w:rsid w:val="001959DD"/>
    <w:rsid w:val="001A0E8F"/>
    <w:rsid w:val="001A1534"/>
    <w:rsid w:val="001A288E"/>
    <w:rsid w:val="001A6416"/>
    <w:rsid w:val="001B1916"/>
    <w:rsid w:val="001B36ED"/>
    <w:rsid w:val="001B3D3A"/>
    <w:rsid w:val="001B4B15"/>
    <w:rsid w:val="001B4D4D"/>
    <w:rsid w:val="001B6DC2"/>
    <w:rsid w:val="001B7117"/>
    <w:rsid w:val="001B754B"/>
    <w:rsid w:val="001C149C"/>
    <w:rsid w:val="001C21AC"/>
    <w:rsid w:val="001C3689"/>
    <w:rsid w:val="001C3ABB"/>
    <w:rsid w:val="001C47BA"/>
    <w:rsid w:val="001C59EA"/>
    <w:rsid w:val="001D022F"/>
    <w:rsid w:val="001D1CB5"/>
    <w:rsid w:val="001D3556"/>
    <w:rsid w:val="001D406C"/>
    <w:rsid w:val="001D41EE"/>
    <w:rsid w:val="001D4BEB"/>
    <w:rsid w:val="001D549D"/>
    <w:rsid w:val="001D71E6"/>
    <w:rsid w:val="001E0380"/>
    <w:rsid w:val="001E0B1B"/>
    <w:rsid w:val="001E13B1"/>
    <w:rsid w:val="001E2153"/>
    <w:rsid w:val="001E6E7D"/>
    <w:rsid w:val="001F3A19"/>
    <w:rsid w:val="001F4EB7"/>
    <w:rsid w:val="001F771A"/>
    <w:rsid w:val="002009E4"/>
    <w:rsid w:val="00201053"/>
    <w:rsid w:val="00201A16"/>
    <w:rsid w:val="0020251B"/>
    <w:rsid w:val="00204DCD"/>
    <w:rsid w:val="002073D3"/>
    <w:rsid w:val="0020749D"/>
    <w:rsid w:val="00207ECE"/>
    <w:rsid w:val="00212EBD"/>
    <w:rsid w:val="00212FCA"/>
    <w:rsid w:val="00213D03"/>
    <w:rsid w:val="00215D48"/>
    <w:rsid w:val="0021624B"/>
    <w:rsid w:val="0022185E"/>
    <w:rsid w:val="0022620A"/>
    <w:rsid w:val="00227FED"/>
    <w:rsid w:val="0023030A"/>
    <w:rsid w:val="00230F08"/>
    <w:rsid w:val="00232AEA"/>
    <w:rsid w:val="00234467"/>
    <w:rsid w:val="00234C76"/>
    <w:rsid w:val="00235BE6"/>
    <w:rsid w:val="00237D8D"/>
    <w:rsid w:val="00241DA2"/>
    <w:rsid w:val="002421E3"/>
    <w:rsid w:val="00242577"/>
    <w:rsid w:val="002459D7"/>
    <w:rsid w:val="00247FEE"/>
    <w:rsid w:val="00250B57"/>
    <w:rsid w:val="00250E7D"/>
    <w:rsid w:val="002523DB"/>
    <w:rsid w:val="002527DD"/>
    <w:rsid w:val="00252DAA"/>
    <w:rsid w:val="002565D5"/>
    <w:rsid w:val="00261AEC"/>
    <w:rsid w:val="002622C0"/>
    <w:rsid w:val="00263510"/>
    <w:rsid w:val="002656A5"/>
    <w:rsid w:val="002703E1"/>
    <w:rsid w:val="00275690"/>
    <w:rsid w:val="002777BD"/>
    <w:rsid w:val="002778AE"/>
    <w:rsid w:val="0028008F"/>
    <w:rsid w:val="00281959"/>
    <w:rsid w:val="0028269A"/>
    <w:rsid w:val="0028314A"/>
    <w:rsid w:val="00283590"/>
    <w:rsid w:val="00284043"/>
    <w:rsid w:val="0028500B"/>
    <w:rsid w:val="00286973"/>
    <w:rsid w:val="00287674"/>
    <w:rsid w:val="0029087D"/>
    <w:rsid w:val="0029371A"/>
    <w:rsid w:val="002938A4"/>
    <w:rsid w:val="00294874"/>
    <w:rsid w:val="00294E70"/>
    <w:rsid w:val="002954B8"/>
    <w:rsid w:val="002967B2"/>
    <w:rsid w:val="0029699D"/>
    <w:rsid w:val="002A1924"/>
    <w:rsid w:val="002A1CA2"/>
    <w:rsid w:val="002A4BB8"/>
    <w:rsid w:val="002A5759"/>
    <w:rsid w:val="002A5837"/>
    <w:rsid w:val="002A7420"/>
    <w:rsid w:val="002A7A7E"/>
    <w:rsid w:val="002B0F12"/>
    <w:rsid w:val="002B1308"/>
    <w:rsid w:val="002B3CBD"/>
    <w:rsid w:val="002B4554"/>
    <w:rsid w:val="002B707C"/>
    <w:rsid w:val="002C0039"/>
    <w:rsid w:val="002C0FBB"/>
    <w:rsid w:val="002C1E3C"/>
    <w:rsid w:val="002C72D8"/>
    <w:rsid w:val="002D11FA"/>
    <w:rsid w:val="002D17BC"/>
    <w:rsid w:val="002D19A4"/>
    <w:rsid w:val="002D4045"/>
    <w:rsid w:val="002D6352"/>
    <w:rsid w:val="002E0DDF"/>
    <w:rsid w:val="002E2906"/>
    <w:rsid w:val="002E5249"/>
    <w:rsid w:val="002E5635"/>
    <w:rsid w:val="002E64C3"/>
    <w:rsid w:val="002E6A2C"/>
    <w:rsid w:val="002F035E"/>
    <w:rsid w:val="002F0FE8"/>
    <w:rsid w:val="002F1D8C"/>
    <w:rsid w:val="002F21DA"/>
    <w:rsid w:val="002F34B8"/>
    <w:rsid w:val="002F3D70"/>
    <w:rsid w:val="002F5F48"/>
    <w:rsid w:val="003010BD"/>
    <w:rsid w:val="00301F39"/>
    <w:rsid w:val="00303D27"/>
    <w:rsid w:val="00305BEE"/>
    <w:rsid w:val="003067E6"/>
    <w:rsid w:val="00307B17"/>
    <w:rsid w:val="00312975"/>
    <w:rsid w:val="00312AF5"/>
    <w:rsid w:val="00313962"/>
    <w:rsid w:val="00322F3F"/>
    <w:rsid w:val="003234E0"/>
    <w:rsid w:val="00323F03"/>
    <w:rsid w:val="00325926"/>
    <w:rsid w:val="00327252"/>
    <w:rsid w:val="00327A8A"/>
    <w:rsid w:val="00331BE9"/>
    <w:rsid w:val="003339A3"/>
    <w:rsid w:val="003356E3"/>
    <w:rsid w:val="00336610"/>
    <w:rsid w:val="003409E5"/>
    <w:rsid w:val="00341F5C"/>
    <w:rsid w:val="00343D23"/>
    <w:rsid w:val="00343F73"/>
    <w:rsid w:val="00345060"/>
    <w:rsid w:val="003451FB"/>
    <w:rsid w:val="00352629"/>
    <w:rsid w:val="0035323B"/>
    <w:rsid w:val="00353D19"/>
    <w:rsid w:val="0035785A"/>
    <w:rsid w:val="003609D2"/>
    <w:rsid w:val="00362AF5"/>
    <w:rsid w:val="00363F22"/>
    <w:rsid w:val="00364940"/>
    <w:rsid w:val="00366166"/>
    <w:rsid w:val="00370F08"/>
    <w:rsid w:val="00375076"/>
    <w:rsid w:val="00375564"/>
    <w:rsid w:val="00376489"/>
    <w:rsid w:val="00377719"/>
    <w:rsid w:val="00377824"/>
    <w:rsid w:val="003818A4"/>
    <w:rsid w:val="00383191"/>
    <w:rsid w:val="00386DED"/>
    <w:rsid w:val="003912E7"/>
    <w:rsid w:val="0039307C"/>
    <w:rsid w:val="00393947"/>
    <w:rsid w:val="003944E3"/>
    <w:rsid w:val="00395141"/>
    <w:rsid w:val="003A0E27"/>
    <w:rsid w:val="003A14AD"/>
    <w:rsid w:val="003A1E26"/>
    <w:rsid w:val="003A2275"/>
    <w:rsid w:val="003A4C61"/>
    <w:rsid w:val="003A6A4F"/>
    <w:rsid w:val="003A7088"/>
    <w:rsid w:val="003A7CA6"/>
    <w:rsid w:val="003B00DF"/>
    <w:rsid w:val="003B0B56"/>
    <w:rsid w:val="003B1275"/>
    <w:rsid w:val="003B1778"/>
    <w:rsid w:val="003B4389"/>
    <w:rsid w:val="003B4FB3"/>
    <w:rsid w:val="003B7D4D"/>
    <w:rsid w:val="003C07B2"/>
    <w:rsid w:val="003C10E2"/>
    <w:rsid w:val="003C11CB"/>
    <w:rsid w:val="003C3017"/>
    <w:rsid w:val="003C663B"/>
    <w:rsid w:val="003C6A77"/>
    <w:rsid w:val="003C6E99"/>
    <w:rsid w:val="003C75F3"/>
    <w:rsid w:val="003C78A3"/>
    <w:rsid w:val="003D0EC8"/>
    <w:rsid w:val="003D33ED"/>
    <w:rsid w:val="003D36AB"/>
    <w:rsid w:val="003D72E6"/>
    <w:rsid w:val="003E1867"/>
    <w:rsid w:val="003E5729"/>
    <w:rsid w:val="003E6280"/>
    <w:rsid w:val="003E724E"/>
    <w:rsid w:val="003F1D40"/>
    <w:rsid w:val="003F22BB"/>
    <w:rsid w:val="003F2A5B"/>
    <w:rsid w:val="003F37BE"/>
    <w:rsid w:val="003F4EE0"/>
    <w:rsid w:val="003F5559"/>
    <w:rsid w:val="003F6861"/>
    <w:rsid w:val="00400473"/>
    <w:rsid w:val="00401A53"/>
    <w:rsid w:val="00402153"/>
    <w:rsid w:val="004023FF"/>
    <w:rsid w:val="00402E26"/>
    <w:rsid w:val="00402FC1"/>
    <w:rsid w:val="00403185"/>
    <w:rsid w:val="00405B56"/>
    <w:rsid w:val="00407387"/>
    <w:rsid w:val="0041099C"/>
    <w:rsid w:val="004157CB"/>
    <w:rsid w:val="00417CD7"/>
    <w:rsid w:val="004200D9"/>
    <w:rsid w:val="00425082"/>
    <w:rsid w:val="00430053"/>
    <w:rsid w:val="00431DEB"/>
    <w:rsid w:val="00434897"/>
    <w:rsid w:val="00435D72"/>
    <w:rsid w:val="00436758"/>
    <w:rsid w:val="00440A06"/>
    <w:rsid w:val="004412C7"/>
    <w:rsid w:val="0044259D"/>
    <w:rsid w:val="004439D9"/>
    <w:rsid w:val="00444A53"/>
    <w:rsid w:val="00446B29"/>
    <w:rsid w:val="004503B1"/>
    <w:rsid w:val="00451F6D"/>
    <w:rsid w:val="004524BE"/>
    <w:rsid w:val="00453F9A"/>
    <w:rsid w:val="00454CC3"/>
    <w:rsid w:val="004614A0"/>
    <w:rsid w:val="00464903"/>
    <w:rsid w:val="0046759F"/>
    <w:rsid w:val="00471E91"/>
    <w:rsid w:val="00472128"/>
    <w:rsid w:val="0047401F"/>
    <w:rsid w:val="00474079"/>
    <w:rsid w:val="00474675"/>
    <w:rsid w:val="0047470C"/>
    <w:rsid w:val="00474EE6"/>
    <w:rsid w:val="00477B51"/>
    <w:rsid w:val="00482582"/>
    <w:rsid w:val="00484C88"/>
    <w:rsid w:val="00485783"/>
    <w:rsid w:val="00486991"/>
    <w:rsid w:val="00490BA1"/>
    <w:rsid w:val="004A0CBF"/>
    <w:rsid w:val="004A1A23"/>
    <w:rsid w:val="004A203E"/>
    <w:rsid w:val="004A32B4"/>
    <w:rsid w:val="004A35F9"/>
    <w:rsid w:val="004A4662"/>
    <w:rsid w:val="004A7A3B"/>
    <w:rsid w:val="004A7E02"/>
    <w:rsid w:val="004B0F76"/>
    <w:rsid w:val="004B157A"/>
    <w:rsid w:val="004B21A7"/>
    <w:rsid w:val="004B24C1"/>
    <w:rsid w:val="004B3092"/>
    <w:rsid w:val="004B49B1"/>
    <w:rsid w:val="004B557C"/>
    <w:rsid w:val="004B7F66"/>
    <w:rsid w:val="004C292F"/>
    <w:rsid w:val="004C4A0F"/>
    <w:rsid w:val="004C657F"/>
    <w:rsid w:val="004C7E9E"/>
    <w:rsid w:val="004D306F"/>
    <w:rsid w:val="004D3BC7"/>
    <w:rsid w:val="004D4B02"/>
    <w:rsid w:val="004D4F76"/>
    <w:rsid w:val="004E2C44"/>
    <w:rsid w:val="004E4B13"/>
    <w:rsid w:val="004E4B8C"/>
    <w:rsid w:val="004E5A47"/>
    <w:rsid w:val="004E76B5"/>
    <w:rsid w:val="004E7D35"/>
    <w:rsid w:val="004F50E5"/>
    <w:rsid w:val="004F6651"/>
    <w:rsid w:val="004F6C7D"/>
    <w:rsid w:val="005036E2"/>
    <w:rsid w:val="0050514E"/>
    <w:rsid w:val="00507501"/>
    <w:rsid w:val="00510280"/>
    <w:rsid w:val="0051035F"/>
    <w:rsid w:val="00511F7E"/>
    <w:rsid w:val="00513D73"/>
    <w:rsid w:val="005148B3"/>
    <w:rsid w:val="00514A43"/>
    <w:rsid w:val="00515E9C"/>
    <w:rsid w:val="005174E5"/>
    <w:rsid w:val="005175A0"/>
    <w:rsid w:val="00520898"/>
    <w:rsid w:val="00522393"/>
    <w:rsid w:val="00522620"/>
    <w:rsid w:val="0052409D"/>
    <w:rsid w:val="00525656"/>
    <w:rsid w:val="00525BF3"/>
    <w:rsid w:val="00526A2E"/>
    <w:rsid w:val="00526F92"/>
    <w:rsid w:val="00530E6E"/>
    <w:rsid w:val="005338DE"/>
    <w:rsid w:val="00533EAE"/>
    <w:rsid w:val="00534C02"/>
    <w:rsid w:val="00535EAF"/>
    <w:rsid w:val="0053708C"/>
    <w:rsid w:val="005373C5"/>
    <w:rsid w:val="0054044C"/>
    <w:rsid w:val="00540A31"/>
    <w:rsid w:val="0054264B"/>
    <w:rsid w:val="005434F9"/>
    <w:rsid w:val="00543786"/>
    <w:rsid w:val="00545A49"/>
    <w:rsid w:val="005463CC"/>
    <w:rsid w:val="00546D0D"/>
    <w:rsid w:val="00547C78"/>
    <w:rsid w:val="0055153A"/>
    <w:rsid w:val="00551582"/>
    <w:rsid w:val="005533D7"/>
    <w:rsid w:val="00554B63"/>
    <w:rsid w:val="00557C9D"/>
    <w:rsid w:val="00562BA3"/>
    <w:rsid w:val="00562CF6"/>
    <w:rsid w:val="00563044"/>
    <w:rsid w:val="00563C7C"/>
    <w:rsid w:val="0056544B"/>
    <w:rsid w:val="005657EC"/>
    <w:rsid w:val="00567177"/>
    <w:rsid w:val="005703DE"/>
    <w:rsid w:val="00570B0A"/>
    <w:rsid w:val="005710BC"/>
    <w:rsid w:val="005751F7"/>
    <w:rsid w:val="005755F1"/>
    <w:rsid w:val="00577DE2"/>
    <w:rsid w:val="005816DD"/>
    <w:rsid w:val="0058191F"/>
    <w:rsid w:val="00582BBE"/>
    <w:rsid w:val="005836F0"/>
    <w:rsid w:val="0058464E"/>
    <w:rsid w:val="0058650E"/>
    <w:rsid w:val="00590EA1"/>
    <w:rsid w:val="00594E52"/>
    <w:rsid w:val="00597508"/>
    <w:rsid w:val="005A01CB"/>
    <w:rsid w:val="005A1840"/>
    <w:rsid w:val="005A19A9"/>
    <w:rsid w:val="005A3F06"/>
    <w:rsid w:val="005A58FF"/>
    <w:rsid w:val="005A5EAF"/>
    <w:rsid w:val="005A6491"/>
    <w:rsid w:val="005A64C0"/>
    <w:rsid w:val="005A6D0D"/>
    <w:rsid w:val="005A7FE9"/>
    <w:rsid w:val="005B1985"/>
    <w:rsid w:val="005B3C11"/>
    <w:rsid w:val="005B6513"/>
    <w:rsid w:val="005C1C28"/>
    <w:rsid w:val="005C1DB3"/>
    <w:rsid w:val="005C43D0"/>
    <w:rsid w:val="005C5509"/>
    <w:rsid w:val="005C6DB5"/>
    <w:rsid w:val="005C7424"/>
    <w:rsid w:val="005D0D2C"/>
    <w:rsid w:val="005D221E"/>
    <w:rsid w:val="005D3842"/>
    <w:rsid w:val="005D510E"/>
    <w:rsid w:val="005D5CB7"/>
    <w:rsid w:val="005D67D4"/>
    <w:rsid w:val="005E19E7"/>
    <w:rsid w:val="005E1BEF"/>
    <w:rsid w:val="005E2392"/>
    <w:rsid w:val="005E69CE"/>
    <w:rsid w:val="005F469D"/>
    <w:rsid w:val="00601622"/>
    <w:rsid w:val="0060313B"/>
    <w:rsid w:val="00605058"/>
    <w:rsid w:val="0060590E"/>
    <w:rsid w:val="0060750B"/>
    <w:rsid w:val="0060789B"/>
    <w:rsid w:val="0061037E"/>
    <w:rsid w:val="006107BA"/>
    <w:rsid w:val="00611FC8"/>
    <w:rsid w:val="00613FAA"/>
    <w:rsid w:val="00616C36"/>
    <w:rsid w:val="0061716C"/>
    <w:rsid w:val="006171AF"/>
    <w:rsid w:val="006176D1"/>
    <w:rsid w:val="00617868"/>
    <w:rsid w:val="00617966"/>
    <w:rsid w:val="00622771"/>
    <w:rsid w:val="006243A1"/>
    <w:rsid w:val="00626005"/>
    <w:rsid w:val="0062611A"/>
    <w:rsid w:val="006318DA"/>
    <w:rsid w:val="00632E56"/>
    <w:rsid w:val="006350CC"/>
    <w:rsid w:val="00635CBA"/>
    <w:rsid w:val="00636EFC"/>
    <w:rsid w:val="00640931"/>
    <w:rsid w:val="00642868"/>
    <w:rsid w:val="0064338B"/>
    <w:rsid w:val="00646542"/>
    <w:rsid w:val="00647C8E"/>
    <w:rsid w:val="006504F4"/>
    <w:rsid w:val="0065366F"/>
    <w:rsid w:val="006546C6"/>
    <w:rsid w:val="00654BC9"/>
    <w:rsid w:val="006552FD"/>
    <w:rsid w:val="00656AAB"/>
    <w:rsid w:val="00656F0B"/>
    <w:rsid w:val="0066029E"/>
    <w:rsid w:val="00661BE8"/>
    <w:rsid w:val="00663733"/>
    <w:rsid w:val="00663AF3"/>
    <w:rsid w:val="00666B6C"/>
    <w:rsid w:val="00672F44"/>
    <w:rsid w:val="0067346E"/>
    <w:rsid w:val="006764C8"/>
    <w:rsid w:val="00677B54"/>
    <w:rsid w:val="00682682"/>
    <w:rsid w:val="00682702"/>
    <w:rsid w:val="00686297"/>
    <w:rsid w:val="00687FC9"/>
    <w:rsid w:val="00692368"/>
    <w:rsid w:val="00694A32"/>
    <w:rsid w:val="00695192"/>
    <w:rsid w:val="006A0D0E"/>
    <w:rsid w:val="006A2EBC"/>
    <w:rsid w:val="006A5EA0"/>
    <w:rsid w:val="006A783B"/>
    <w:rsid w:val="006A7B33"/>
    <w:rsid w:val="006B18A9"/>
    <w:rsid w:val="006B24B4"/>
    <w:rsid w:val="006B497F"/>
    <w:rsid w:val="006B4E13"/>
    <w:rsid w:val="006B6A25"/>
    <w:rsid w:val="006B75DD"/>
    <w:rsid w:val="006C047C"/>
    <w:rsid w:val="006C3D8B"/>
    <w:rsid w:val="006C40DB"/>
    <w:rsid w:val="006C67E0"/>
    <w:rsid w:val="006C7ABA"/>
    <w:rsid w:val="006D0417"/>
    <w:rsid w:val="006D0A13"/>
    <w:rsid w:val="006D0D60"/>
    <w:rsid w:val="006D1068"/>
    <w:rsid w:val="006D1122"/>
    <w:rsid w:val="006D317E"/>
    <w:rsid w:val="006D3B1E"/>
    <w:rsid w:val="006D3C00"/>
    <w:rsid w:val="006E06AD"/>
    <w:rsid w:val="006E3673"/>
    <w:rsid w:val="006E3675"/>
    <w:rsid w:val="006E4627"/>
    <w:rsid w:val="006E4A7F"/>
    <w:rsid w:val="006E56E9"/>
    <w:rsid w:val="006E5F3C"/>
    <w:rsid w:val="006F0967"/>
    <w:rsid w:val="006F2274"/>
    <w:rsid w:val="006F4075"/>
    <w:rsid w:val="006F64A0"/>
    <w:rsid w:val="006F6A06"/>
    <w:rsid w:val="006F6F9F"/>
    <w:rsid w:val="0070038F"/>
    <w:rsid w:val="0070061B"/>
    <w:rsid w:val="007027B1"/>
    <w:rsid w:val="0070286C"/>
    <w:rsid w:val="00704DF6"/>
    <w:rsid w:val="0070641D"/>
    <w:rsid w:val="0070651C"/>
    <w:rsid w:val="0070683A"/>
    <w:rsid w:val="007113D4"/>
    <w:rsid w:val="007132A3"/>
    <w:rsid w:val="00714A4F"/>
    <w:rsid w:val="00716421"/>
    <w:rsid w:val="00716923"/>
    <w:rsid w:val="00721419"/>
    <w:rsid w:val="00724EFB"/>
    <w:rsid w:val="00726575"/>
    <w:rsid w:val="00730310"/>
    <w:rsid w:val="00733753"/>
    <w:rsid w:val="00733AC7"/>
    <w:rsid w:val="00737912"/>
    <w:rsid w:val="00740A49"/>
    <w:rsid w:val="007419C3"/>
    <w:rsid w:val="007446A8"/>
    <w:rsid w:val="00745398"/>
    <w:rsid w:val="00746559"/>
    <w:rsid w:val="007467A7"/>
    <w:rsid w:val="007469DD"/>
    <w:rsid w:val="0074741B"/>
    <w:rsid w:val="0074759E"/>
    <w:rsid w:val="007478EA"/>
    <w:rsid w:val="0075415C"/>
    <w:rsid w:val="00757097"/>
    <w:rsid w:val="007606CB"/>
    <w:rsid w:val="00761E8B"/>
    <w:rsid w:val="00762BA5"/>
    <w:rsid w:val="00763502"/>
    <w:rsid w:val="00771D5D"/>
    <w:rsid w:val="00772089"/>
    <w:rsid w:val="0077757B"/>
    <w:rsid w:val="00777725"/>
    <w:rsid w:val="00780DE2"/>
    <w:rsid w:val="00783E26"/>
    <w:rsid w:val="00784F87"/>
    <w:rsid w:val="00785003"/>
    <w:rsid w:val="0078637A"/>
    <w:rsid w:val="00790C4F"/>
    <w:rsid w:val="007913AB"/>
    <w:rsid w:val="007914F7"/>
    <w:rsid w:val="00795C73"/>
    <w:rsid w:val="007A000F"/>
    <w:rsid w:val="007A215C"/>
    <w:rsid w:val="007A2BDB"/>
    <w:rsid w:val="007A4809"/>
    <w:rsid w:val="007A4F7A"/>
    <w:rsid w:val="007A546D"/>
    <w:rsid w:val="007A637E"/>
    <w:rsid w:val="007B0CA8"/>
    <w:rsid w:val="007B1625"/>
    <w:rsid w:val="007B706E"/>
    <w:rsid w:val="007B71EB"/>
    <w:rsid w:val="007C0748"/>
    <w:rsid w:val="007C2E9E"/>
    <w:rsid w:val="007C4AC3"/>
    <w:rsid w:val="007C6205"/>
    <w:rsid w:val="007C686A"/>
    <w:rsid w:val="007C728E"/>
    <w:rsid w:val="007C72A8"/>
    <w:rsid w:val="007D0BE0"/>
    <w:rsid w:val="007D1EB8"/>
    <w:rsid w:val="007D204F"/>
    <w:rsid w:val="007D2C53"/>
    <w:rsid w:val="007D3355"/>
    <w:rsid w:val="007D3D60"/>
    <w:rsid w:val="007D69B2"/>
    <w:rsid w:val="007D7E6E"/>
    <w:rsid w:val="007E1980"/>
    <w:rsid w:val="007E22FF"/>
    <w:rsid w:val="007E2B46"/>
    <w:rsid w:val="007E4B76"/>
    <w:rsid w:val="007E4ECD"/>
    <w:rsid w:val="007E5043"/>
    <w:rsid w:val="007E5EA8"/>
    <w:rsid w:val="007E74ED"/>
    <w:rsid w:val="007F0CF1"/>
    <w:rsid w:val="007F12A5"/>
    <w:rsid w:val="007F2D74"/>
    <w:rsid w:val="007F3FB7"/>
    <w:rsid w:val="007F4CF1"/>
    <w:rsid w:val="007F50CB"/>
    <w:rsid w:val="007F54D6"/>
    <w:rsid w:val="007F758D"/>
    <w:rsid w:val="007F7D52"/>
    <w:rsid w:val="008000DA"/>
    <w:rsid w:val="00802D2A"/>
    <w:rsid w:val="008047D3"/>
    <w:rsid w:val="0080484A"/>
    <w:rsid w:val="00805589"/>
    <w:rsid w:val="008057A5"/>
    <w:rsid w:val="00805E2F"/>
    <w:rsid w:val="0080654C"/>
    <w:rsid w:val="008071C6"/>
    <w:rsid w:val="00810F48"/>
    <w:rsid w:val="008118D8"/>
    <w:rsid w:val="00815D1E"/>
    <w:rsid w:val="00817A00"/>
    <w:rsid w:val="00817CF4"/>
    <w:rsid w:val="0082014D"/>
    <w:rsid w:val="00820907"/>
    <w:rsid w:val="00820B95"/>
    <w:rsid w:val="00820C67"/>
    <w:rsid w:val="00825891"/>
    <w:rsid w:val="008263F9"/>
    <w:rsid w:val="00831631"/>
    <w:rsid w:val="0083228D"/>
    <w:rsid w:val="0083273F"/>
    <w:rsid w:val="00833D07"/>
    <w:rsid w:val="00834B80"/>
    <w:rsid w:val="00835DB3"/>
    <w:rsid w:val="0083617B"/>
    <w:rsid w:val="0083627B"/>
    <w:rsid w:val="00836342"/>
    <w:rsid w:val="00836A2D"/>
    <w:rsid w:val="008371BD"/>
    <w:rsid w:val="00840EBF"/>
    <w:rsid w:val="00844C7B"/>
    <w:rsid w:val="008503D0"/>
    <w:rsid w:val="008504A8"/>
    <w:rsid w:val="00851B58"/>
    <w:rsid w:val="0085282E"/>
    <w:rsid w:val="00854769"/>
    <w:rsid w:val="008572BE"/>
    <w:rsid w:val="008608E6"/>
    <w:rsid w:val="00867BE4"/>
    <w:rsid w:val="0087198C"/>
    <w:rsid w:val="00872C1F"/>
    <w:rsid w:val="00873B42"/>
    <w:rsid w:val="00875D43"/>
    <w:rsid w:val="00877CB0"/>
    <w:rsid w:val="008805AC"/>
    <w:rsid w:val="00880D1A"/>
    <w:rsid w:val="008815B5"/>
    <w:rsid w:val="00884468"/>
    <w:rsid w:val="008856D8"/>
    <w:rsid w:val="00886722"/>
    <w:rsid w:val="00887C29"/>
    <w:rsid w:val="00892E82"/>
    <w:rsid w:val="00893277"/>
    <w:rsid w:val="00893649"/>
    <w:rsid w:val="008943AB"/>
    <w:rsid w:val="00894CAE"/>
    <w:rsid w:val="008955FB"/>
    <w:rsid w:val="00895FA9"/>
    <w:rsid w:val="00897365"/>
    <w:rsid w:val="00897DC0"/>
    <w:rsid w:val="008A1035"/>
    <w:rsid w:val="008A2266"/>
    <w:rsid w:val="008A6E08"/>
    <w:rsid w:val="008B2439"/>
    <w:rsid w:val="008B59AA"/>
    <w:rsid w:val="008C0BE9"/>
    <w:rsid w:val="008C1309"/>
    <w:rsid w:val="008C1B58"/>
    <w:rsid w:val="008C1E35"/>
    <w:rsid w:val="008C3588"/>
    <w:rsid w:val="008C39AE"/>
    <w:rsid w:val="008C40DF"/>
    <w:rsid w:val="008C4734"/>
    <w:rsid w:val="008C590D"/>
    <w:rsid w:val="008D0193"/>
    <w:rsid w:val="008D3856"/>
    <w:rsid w:val="008D447E"/>
    <w:rsid w:val="008D61BD"/>
    <w:rsid w:val="008D706E"/>
    <w:rsid w:val="008D7566"/>
    <w:rsid w:val="008E031B"/>
    <w:rsid w:val="008E0560"/>
    <w:rsid w:val="008E2D8C"/>
    <w:rsid w:val="008E3B01"/>
    <w:rsid w:val="008E7029"/>
    <w:rsid w:val="008E7757"/>
    <w:rsid w:val="008E7EF6"/>
    <w:rsid w:val="008F01AB"/>
    <w:rsid w:val="008F153D"/>
    <w:rsid w:val="008F1F98"/>
    <w:rsid w:val="008F2340"/>
    <w:rsid w:val="008F2790"/>
    <w:rsid w:val="008F338A"/>
    <w:rsid w:val="008F6758"/>
    <w:rsid w:val="008F6966"/>
    <w:rsid w:val="00900E36"/>
    <w:rsid w:val="009013F0"/>
    <w:rsid w:val="009040DD"/>
    <w:rsid w:val="00905B47"/>
    <w:rsid w:val="0090690F"/>
    <w:rsid w:val="00910FB4"/>
    <w:rsid w:val="00911391"/>
    <w:rsid w:val="0091190E"/>
    <w:rsid w:val="00912570"/>
    <w:rsid w:val="0091331C"/>
    <w:rsid w:val="009137BD"/>
    <w:rsid w:val="0091503D"/>
    <w:rsid w:val="009279DE"/>
    <w:rsid w:val="00927AB9"/>
    <w:rsid w:val="00927B37"/>
    <w:rsid w:val="00930116"/>
    <w:rsid w:val="00930625"/>
    <w:rsid w:val="00933A1A"/>
    <w:rsid w:val="00937A1E"/>
    <w:rsid w:val="00940647"/>
    <w:rsid w:val="00941082"/>
    <w:rsid w:val="0094212C"/>
    <w:rsid w:val="00944853"/>
    <w:rsid w:val="0094609D"/>
    <w:rsid w:val="009506BC"/>
    <w:rsid w:val="0095378C"/>
    <w:rsid w:val="00954689"/>
    <w:rsid w:val="0095472A"/>
    <w:rsid w:val="00955BFB"/>
    <w:rsid w:val="00956120"/>
    <w:rsid w:val="0096085A"/>
    <w:rsid w:val="009617C9"/>
    <w:rsid w:val="00961C93"/>
    <w:rsid w:val="009625BF"/>
    <w:rsid w:val="00962B4E"/>
    <w:rsid w:val="00965324"/>
    <w:rsid w:val="00967F90"/>
    <w:rsid w:val="0097091E"/>
    <w:rsid w:val="00973FED"/>
    <w:rsid w:val="009758EE"/>
    <w:rsid w:val="009760D3"/>
    <w:rsid w:val="00976283"/>
    <w:rsid w:val="00977132"/>
    <w:rsid w:val="009803B7"/>
    <w:rsid w:val="00981A4B"/>
    <w:rsid w:val="00982250"/>
    <w:rsid w:val="00982501"/>
    <w:rsid w:val="009837EE"/>
    <w:rsid w:val="00983D33"/>
    <w:rsid w:val="00984358"/>
    <w:rsid w:val="0098457D"/>
    <w:rsid w:val="0098468A"/>
    <w:rsid w:val="009877D3"/>
    <w:rsid w:val="00994E8F"/>
    <w:rsid w:val="00995127"/>
    <w:rsid w:val="009951DC"/>
    <w:rsid w:val="009959BB"/>
    <w:rsid w:val="00997158"/>
    <w:rsid w:val="009A0692"/>
    <w:rsid w:val="009A0827"/>
    <w:rsid w:val="009A0F81"/>
    <w:rsid w:val="009A3A7C"/>
    <w:rsid w:val="009A4398"/>
    <w:rsid w:val="009A5561"/>
    <w:rsid w:val="009A5D33"/>
    <w:rsid w:val="009A7D84"/>
    <w:rsid w:val="009B2323"/>
    <w:rsid w:val="009B2ADB"/>
    <w:rsid w:val="009B2CDF"/>
    <w:rsid w:val="009B46D3"/>
    <w:rsid w:val="009B603A"/>
    <w:rsid w:val="009C2D0E"/>
    <w:rsid w:val="009C39C2"/>
    <w:rsid w:val="009C3A2F"/>
    <w:rsid w:val="009C3DAC"/>
    <w:rsid w:val="009C42E0"/>
    <w:rsid w:val="009C5F09"/>
    <w:rsid w:val="009C74E8"/>
    <w:rsid w:val="009C7FC1"/>
    <w:rsid w:val="009D3230"/>
    <w:rsid w:val="009D3E3F"/>
    <w:rsid w:val="009D5362"/>
    <w:rsid w:val="009E1415"/>
    <w:rsid w:val="009E4D28"/>
    <w:rsid w:val="009E5913"/>
    <w:rsid w:val="009E6116"/>
    <w:rsid w:val="009E7E25"/>
    <w:rsid w:val="009F1810"/>
    <w:rsid w:val="009F34BF"/>
    <w:rsid w:val="009F546C"/>
    <w:rsid w:val="009F5492"/>
    <w:rsid w:val="009F5E77"/>
    <w:rsid w:val="009F5F73"/>
    <w:rsid w:val="009F7CA9"/>
    <w:rsid w:val="00A02E43"/>
    <w:rsid w:val="00A05308"/>
    <w:rsid w:val="00A05368"/>
    <w:rsid w:val="00A06514"/>
    <w:rsid w:val="00A065F9"/>
    <w:rsid w:val="00A07011"/>
    <w:rsid w:val="00A07F34"/>
    <w:rsid w:val="00A07F8A"/>
    <w:rsid w:val="00A12A77"/>
    <w:rsid w:val="00A12C49"/>
    <w:rsid w:val="00A14F8C"/>
    <w:rsid w:val="00A22154"/>
    <w:rsid w:val="00A23CEB"/>
    <w:rsid w:val="00A24058"/>
    <w:rsid w:val="00A24B8A"/>
    <w:rsid w:val="00A25C38"/>
    <w:rsid w:val="00A3307F"/>
    <w:rsid w:val="00A3410E"/>
    <w:rsid w:val="00A35824"/>
    <w:rsid w:val="00A36A60"/>
    <w:rsid w:val="00A36BBE"/>
    <w:rsid w:val="00A37C20"/>
    <w:rsid w:val="00A40D9E"/>
    <w:rsid w:val="00A41DF7"/>
    <w:rsid w:val="00A420B1"/>
    <w:rsid w:val="00A42ECA"/>
    <w:rsid w:val="00A4307A"/>
    <w:rsid w:val="00A46DEF"/>
    <w:rsid w:val="00A47EBB"/>
    <w:rsid w:val="00A50045"/>
    <w:rsid w:val="00A51CDD"/>
    <w:rsid w:val="00A53614"/>
    <w:rsid w:val="00A5499B"/>
    <w:rsid w:val="00A563F8"/>
    <w:rsid w:val="00A56BBA"/>
    <w:rsid w:val="00A62433"/>
    <w:rsid w:val="00A6437D"/>
    <w:rsid w:val="00A652AB"/>
    <w:rsid w:val="00A653A7"/>
    <w:rsid w:val="00A6730D"/>
    <w:rsid w:val="00A70465"/>
    <w:rsid w:val="00A71625"/>
    <w:rsid w:val="00A71B9B"/>
    <w:rsid w:val="00A751C7"/>
    <w:rsid w:val="00A764BE"/>
    <w:rsid w:val="00A778D4"/>
    <w:rsid w:val="00A80008"/>
    <w:rsid w:val="00A84CE5"/>
    <w:rsid w:val="00A8558D"/>
    <w:rsid w:val="00A86264"/>
    <w:rsid w:val="00A87844"/>
    <w:rsid w:val="00A9227B"/>
    <w:rsid w:val="00A95329"/>
    <w:rsid w:val="00A97A55"/>
    <w:rsid w:val="00AA038C"/>
    <w:rsid w:val="00AA0A31"/>
    <w:rsid w:val="00AA0BF7"/>
    <w:rsid w:val="00AA3471"/>
    <w:rsid w:val="00AA7A09"/>
    <w:rsid w:val="00AB2DD4"/>
    <w:rsid w:val="00AB3B50"/>
    <w:rsid w:val="00AB3D62"/>
    <w:rsid w:val="00AB7792"/>
    <w:rsid w:val="00AC05B1"/>
    <w:rsid w:val="00AC154E"/>
    <w:rsid w:val="00AC2F3B"/>
    <w:rsid w:val="00AC450C"/>
    <w:rsid w:val="00AC5FB5"/>
    <w:rsid w:val="00AC7966"/>
    <w:rsid w:val="00AD33B8"/>
    <w:rsid w:val="00AD340B"/>
    <w:rsid w:val="00AD356C"/>
    <w:rsid w:val="00AD3F4B"/>
    <w:rsid w:val="00AD6CF5"/>
    <w:rsid w:val="00AE092A"/>
    <w:rsid w:val="00AE2914"/>
    <w:rsid w:val="00AE3A61"/>
    <w:rsid w:val="00AE45C0"/>
    <w:rsid w:val="00AE6D15"/>
    <w:rsid w:val="00AE7023"/>
    <w:rsid w:val="00AE7105"/>
    <w:rsid w:val="00AE78AA"/>
    <w:rsid w:val="00AE7B6B"/>
    <w:rsid w:val="00AF0EF3"/>
    <w:rsid w:val="00AF1F49"/>
    <w:rsid w:val="00AF2D81"/>
    <w:rsid w:val="00AF57F3"/>
    <w:rsid w:val="00B00354"/>
    <w:rsid w:val="00B01D75"/>
    <w:rsid w:val="00B02463"/>
    <w:rsid w:val="00B04182"/>
    <w:rsid w:val="00B05ECF"/>
    <w:rsid w:val="00B07AE3"/>
    <w:rsid w:val="00B11430"/>
    <w:rsid w:val="00B128F2"/>
    <w:rsid w:val="00B12A5D"/>
    <w:rsid w:val="00B15B1E"/>
    <w:rsid w:val="00B16A48"/>
    <w:rsid w:val="00B242F4"/>
    <w:rsid w:val="00B2477A"/>
    <w:rsid w:val="00B24D1C"/>
    <w:rsid w:val="00B26633"/>
    <w:rsid w:val="00B30072"/>
    <w:rsid w:val="00B30481"/>
    <w:rsid w:val="00B3312F"/>
    <w:rsid w:val="00B34A0E"/>
    <w:rsid w:val="00B34C58"/>
    <w:rsid w:val="00B353EB"/>
    <w:rsid w:val="00B4016F"/>
    <w:rsid w:val="00B407AC"/>
    <w:rsid w:val="00B4293F"/>
    <w:rsid w:val="00B42BED"/>
    <w:rsid w:val="00B43374"/>
    <w:rsid w:val="00B439C4"/>
    <w:rsid w:val="00B43ACB"/>
    <w:rsid w:val="00B4535E"/>
    <w:rsid w:val="00B4589B"/>
    <w:rsid w:val="00B50303"/>
    <w:rsid w:val="00B50984"/>
    <w:rsid w:val="00B52552"/>
    <w:rsid w:val="00B52A8C"/>
    <w:rsid w:val="00B54707"/>
    <w:rsid w:val="00B56155"/>
    <w:rsid w:val="00B618FE"/>
    <w:rsid w:val="00B62F11"/>
    <w:rsid w:val="00B63042"/>
    <w:rsid w:val="00B636A8"/>
    <w:rsid w:val="00B64F37"/>
    <w:rsid w:val="00B665C6"/>
    <w:rsid w:val="00B70FA2"/>
    <w:rsid w:val="00B72AD8"/>
    <w:rsid w:val="00B74441"/>
    <w:rsid w:val="00B7480F"/>
    <w:rsid w:val="00B758A5"/>
    <w:rsid w:val="00B805AF"/>
    <w:rsid w:val="00B814AA"/>
    <w:rsid w:val="00B81C63"/>
    <w:rsid w:val="00B82BD5"/>
    <w:rsid w:val="00B82D46"/>
    <w:rsid w:val="00B84512"/>
    <w:rsid w:val="00B848C0"/>
    <w:rsid w:val="00B84E13"/>
    <w:rsid w:val="00B84F5B"/>
    <w:rsid w:val="00B86617"/>
    <w:rsid w:val="00B869EC"/>
    <w:rsid w:val="00B87260"/>
    <w:rsid w:val="00B91C74"/>
    <w:rsid w:val="00B92383"/>
    <w:rsid w:val="00B9397A"/>
    <w:rsid w:val="00B95B6C"/>
    <w:rsid w:val="00B9633D"/>
    <w:rsid w:val="00B967D5"/>
    <w:rsid w:val="00B974C8"/>
    <w:rsid w:val="00B97579"/>
    <w:rsid w:val="00BA148C"/>
    <w:rsid w:val="00BA2EBE"/>
    <w:rsid w:val="00BA5F58"/>
    <w:rsid w:val="00BA5FDD"/>
    <w:rsid w:val="00BB0340"/>
    <w:rsid w:val="00BB0F28"/>
    <w:rsid w:val="00BB2DFF"/>
    <w:rsid w:val="00BB458A"/>
    <w:rsid w:val="00BB568A"/>
    <w:rsid w:val="00BB693F"/>
    <w:rsid w:val="00BB6C11"/>
    <w:rsid w:val="00BC0AC2"/>
    <w:rsid w:val="00BC4248"/>
    <w:rsid w:val="00BC5953"/>
    <w:rsid w:val="00BC6D55"/>
    <w:rsid w:val="00BD00D3"/>
    <w:rsid w:val="00BD0B54"/>
    <w:rsid w:val="00BD1659"/>
    <w:rsid w:val="00BD3AA9"/>
    <w:rsid w:val="00BD4A18"/>
    <w:rsid w:val="00BD4DAC"/>
    <w:rsid w:val="00BD6DB2"/>
    <w:rsid w:val="00BD73A1"/>
    <w:rsid w:val="00BE11CF"/>
    <w:rsid w:val="00BE1F60"/>
    <w:rsid w:val="00BE21AB"/>
    <w:rsid w:val="00BE50D3"/>
    <w:rsid w:val="00BE55CB"/>
    <w:rsid w:val="00BE7067"/>
    <w:rsid w:val="00BF3BB2"/>
    <w:rsid w:val="00BF3C1A"/>
    <w:rsid w:val="00BF617A"/>
    <w:rsid w:val="00C000BA"/>
    <w:rsid w:val="00C0379D"/>
    <w:rsid w:val="00C0382F"/>
    <w:rsid w:val="00C03931"/>
    <w:rsid w:val="00C04E28"/>
    <w:rsid w:val="00C05FE3"/>
    <w:rsid w:val="00C11DA9"/>
    <w:rsid w:val="00C13624"/>
    <w:rsid w:val="00C212B5"/>
    <w:rsid w:val="00C2136D"/>
    <w:rsid w:val="00C214EE"/>
    <w:rsid w:val="00C22957"/>
    <w:rsid w:val="00C2314B"/>
    <w:rsid w:val="00C244A0"/>
    <w:rsid w:val="00C24971"/>
    <w:rsid w:val="00C25355"/>
    <w:rsid w:val="00C26BE5"/>
    <w:rsid w:val="00C26E4D"/>
    <w:rsid w:val="00C27909"/>
    <w:rsid w:val="00C27B03"/>
    <w:rsid w:val="00C314E1"/>
    <w:rsid w:val="00C32472"/>
    <w:rsid w:val="00C3266E"/>
    <w:rsid w:val="00C34397"/>
    <w:rsid w:val="00C359B6"/>
    <w:rsid w:val="00C35EC8"/>
    <w:rsid w:val="00C36C5C"/>
    <w:rsid w:val="00C40503"/>
    <w:rsid w:val="00C4095D"/>
    <w:rsid w:val="00C41020"/>
    <w:rsid w:val="00C41CE6"/>
    <w:rsid w:val="00C4220D"/>
    <w:rsid w:val="00C42910"/>
    <w:rsid w:val="00C46A18"/>
    <w:rsid w:val="00C53F53"/>
    <w:rsid w:val="00C57A9C"/>
    <w:rsid w:val="00C601D2"/>
    <w:rsid w:val="00C61B29"/>
    <w:rsid w:val="00C65BCC"/>
    <w:rsid w:val="00C65FDF"/>
    <w:rsid w:val="00C66970"/>
    <w:rsid w:val="00C71F4D"/>
    <w:rsid w:val="00C7778F"/>
    <w:rsid w:val="00C81BB3"/>
    <w:rsid w:val="00C82A1A"/>
    <w:rsid w:val="00C83936"/>
    <w:rsid w:val="00C841BA"/>
    <w:rsid w:val="00C84C10"/>
    <w:rsid w:val="00C8691C"/>
    <w:rsid w:val="00C86CB4"/>
    <w:rsid w:val="00C96295"/>
    <w:rsid w:val="00C96364"/>
    <w:rsid w:val="00C96A3D"/>
    <w:rsid w:val="00C977DD"/>
    <w:rsid w:val="00CA03DF"/>
    <w:rsid w:val="00CA168A"/>
    <w:rsid w:val="00CA2097"/>
    <w:rsid w:val="00CA357E"/>
    <w:rsid w:val="00CA44F9"/>
    <w:rsid w:val="00CA49EC"/>
    <w:rsid w:val="00CA4A69"/>
    <w:rsid w:val="00CA639E"/>
    <w:rsid w:val="00CA7BC0"/>
    <w:rsid w:val="00CB09FB"/>
    <w:rsid w:val="00CB2B57"/>
    <w:rsid w:val="00CB6F0D"/>
    <w:rsid w:val="00CB722E"/>
    <w:rsid w:val="00CC0C1A"/>
    <w:rsid w:val="00CC1F0D"/>
    <w:rsid w:val="00CC3E0C"/>
    <w:rsid w:val="00CC58D3"/>
    <w:rsid w:val="00CC6923"/>
    <w:rsid w:val="00CC784D"/>
    <w:rsid w:val="00CD5D33"/>
    <w:rsid w:val="00CD6688"/>
    <w:rsid w:val="00CE2568"/>
    <w:rsid w:val="00CE4D25"/>
    <w:rsid w:val="00CF1E15"/>
    <w:rsid w:val="00CF4AF6"/>
    <w:rsid w:val="00D005CE"/>
    <w:rsid w:val="00D00A8D"/>
    <w:rsid w:val="00D03268"/>
    <w:rsid w:val="00D0337B"/>
    <w:rsid w:val="00D05ADB"/>
    <w:rsid w:val="00D07777"/>
    <w:rsid w:val="00D079B2"/>
    <w:rsid w:val="00D114E9"/>
    <w:rsid w:val="00D15C48"/>
    <w:rsid w:val="00D17CD8"/>
    <w:rsid w:val="00D17FE4"/>
    <w:rsid w:val="00D2040E"/>
    <w:rsid w:val="00D22148"/>
    <w:rsid w:val="00D226B7"/>
    <w:rsid w:val="00D233FA"/>
    <w:rsid w:val="00D2527C"/>
    <w:rsid w:val="00D25A85"/>
    <w:rsid w:val="00D26EB3"/>
    <w:rsid w:val="00D27867"/>
    <w:rsid w:val="00D313B3"/>
    <w:rsid w:val="00D3308E"/>
    <w:rsid w:val="00D33B64"/>
    <w:rsid w:val="00D33D7C"/>
    <w:rsid w:val="00D355A7"/>
    <w:rsid w:val="00D35B8E"/>
    <w:rsid w:val="00D37B1E"/>
    <w:rsid w:val="00D40F07"/>
    <w:rsid w:val="00D429C6"/>
    <w:rsid w:val="00D4468E"/>
    <w:rsid w:val="00D47748"/>
    <w:rsid w:val="00D5178F"/>
    <w:rsid w:val="00D518DF"/>
    <w:rsid w:val="00D54CC3"/>
    <w:rsid w:val="00D54CDD"/>
    <w:rsid w:val="00D56728"/>
    <w:rsid w:val="00D56ECB"/>
    <w:rsid w:val="00D6041A"/>
    <w:rsid w:val="00D60E84"/>
    <w:rsid w:val="00D61258"/>
    <w:rsid w:val="00D6205C"/>
    <w:rsid w:val="00D633EB"/>
    <w:rsid w:val="00D65F0D"/>
    <w:rsid w:val="00D67AA9"/>
    <w:rsid w:val="00D710C4"/>
    <w:rsid w:val="00D7169C"/>
    <w:rsid w:val="00D71DF1"/>
    <w:rsid w:val="00D736AC"/>
    <w:rsid w:val="00D747AA"/>
    <w:rsid w:val="00D75A7E"/>
    <w:rsid w:val="00D80DB7"/>
    <w:rsid w:val="00D82FF7"/>
    <w:rsid w:val="00D83E40"/>
    <w:rsid w:val="00D84271"/>
    <w:rsid w:val="00D847FE"/>
    <w:rsid w:val="00D84C19"/>
    <w:rsid w:val="00D8539D"/>
    <w:rsid w:val="00D85D39"/>
    <w:rsid w:val="00D8680E"/>
    <w:rsid w:val="00D86B9C"/>
    <w:rsid w:val="00D900CD"/>
    <w:rsid w:val="00D90A39"/>
    <w:rsid w:val="00D9123D"/>
    <w:rsid w:val="00D94ABC"/>
    <w:rsid w:val="00D95E26"/>
    <w:rsid w:val="00D964EA"/>
    <w:rsid w:val="00D966D0"/>
    <w:rsid w:val="00D9784A"/>
    <w:rsid w:val="00DA0C59"/>
    <w:rsid w:val="00DA3684"/>
    <w:rsid w:val="00DA3991"/>
    <w:rsid w:val="00DA39B7"/>
    <w:rsid w:val="00DA72A1"/>
    <w:rsid w:val="00DA7F95"/>
    <w:rsid w:val="00DB00C6"/>
    <w:rsid w:val="00DB01F1"/>
    <w:rsid w:val="00DB108A"/>
    <w:rsid w:val="00DB1C51"/>
    <w:rsid w:val="00DB3222"/>
    <w:rsid w:val="00DB75A8"/>
    <w:rsid w:val="00DB7E6C"/>
    <w:rsid w:val="00DC0FE2"/>
    <w:rsid w:val="00DC201D"/>
    <w:rsid w:val="00DC375C"/>
    <w:rsid w:val="00DC4F68"/>
    <w:rsid w:val="00DC64B0"/>
    <w:rsid w:val="00DC6B1E"/>
    <w:rsid w:val="00DC6B6E"/>
    <w:rsid w:val="00DC7658"/>
    <w:rsid w:val="00DC7A26"/>
    <w:rsid w:val="00DD252A"/>
    <w:rsid w:val="00DD5949"/>
    <w:rsid w:val="00DD5A29"/>
    <w:rsid w:val="00DD5D9D"/>
    <w:rsid w:val="00DE1DFC"/>
    <w:rsid w:val="00DE2E5C"/>
    <w:rsid w:val="00DE35CB"/>
    <w:rsid w:val="00DE36AC"/>
    <w:rsid w:val="00DF0EF0"/>
    <w:rsid w:val="00DF21E9"/>
    <w:rsid w:val="00DF22C7"/>
    <w:rsid w:val="00DF3780"/>
    <w:rsid w:val="00DF53CA"/>
    <w:rsid w:val="00DF5588"/>
    <w:rsid w:val="00DF5CC9"/>
    <w:rsid w:val="00E005D3"/>
    <w:rsid w:val="00E00D11"/>
    <w:rsid w:val="00E00F14"/>
    <w:rsid w:val="00E018C9"/>
    <w:rsid w:val="00E01CB8"/>
    <w:rsid w:val="00E03130"/>
    <w:rsid w:val="00E0499B"/>
    <w:rsid w:val="00E06386"/>
    <w:rsid w:val="00E075C5"/>
    <w:rsid w:val="00E1051A"/>
    <w:rsid w:val="00E111F3"/>
    <w:rsid w:val="00E11668"/>
    <w:rsid w:val="00E118E7"/>
    <w:rsid w:val="00E121FD"/>
    <w:rsid w:val="00E122B7"/>
    <w:rsid w:val="00E13711"/>
    <w:rsid w:val="00E1723F"/>
    <w:rsid w:val="00E21B55"/>
    <w:rsid w:val="00E21BD4"/>
    <w:rsid w:val="00E221D3"/>
    <w:rsid w:val="00E24EB4"/>
    <w:rsid w:val="00E26580"/>
    <w:rsid w:val="00E27F92"/>
    <w:rsid w:val="00E30635"/>
    <w:rsid w:val="00E320ED"/>
    <w:rsid w:val="00E33AFB"/>
    <w:rsid w:val="00E34218"/>
    <w:rsid w:val="00E34B17"/>
    <w:rsid w:val="00E41918"/>
    <w:rsid w:val="00E4294E"/>
    <w:rsid w:val="00E4555B"/>
    <w:rsid w:val="00E46282"/>
    <w:rsid w:val="00E462AA"/>
    <w:rsid w:val="00E5216E"/>
    <w:rsid w:val="00E5356B"/>
    <w:rsid w:val="00E537DF"/>
    <w:rsid w:val="00E5529C"/>
    <w:rsid w:val="00E5564C"/>
    <w:rsid w:val="00E55CF8"/>
    <w:rsid w:val="00E60154"/>
    <w:rsid w:val="00E60761"/>
    <w:rsid w:val="00E657C6"/>
    <w:rsid w:val="00E6678D"/>
    <w:rsid w:val="00E73B3A"/>
    <w:rsid w:val="00E74CB0"/>
    <w:rsid w:val="00E75D40"/>
    <w:rsid w:val="00E77A4A"/>
    <w:rsid w:val="00E81965"/>
    <w:rsid w:val="00E81A88"/>
    <w:rsid w:val="00E82344"/>
    <w:rsid w:val="00E8341F"/>
    <w:rsid w:val="00E84C82"/>
    <w:rsid w:val="00E84D64"/>
    <w:rsid w:val="00E87408"/>
    <w:rsid w:val="00E90B04"/>
    <w:rsid w:val="00E914C4"/>
    <w:rsid w:val="00E934F5"/>
    <w:rsid w:val="00E9622C"/>
    <w:rsid w:val="00E96961"/>
    <w:rsid w:val="00EA72EC"/>
    <w:rsid w:val="00EA785D"/>
    <w:rsid w:val="00EB11CB"/>
    <w:rsid w:val="00EB1327"/>
    <w:rsid w:val="00EB1C71"/>
    <w:rsid w:val="00EB275A"/>
    <w:rsid w:val="00EB57CA"/>
    <w:rsid w:val="00EB5880"/>
    <w:rsid w:val="00EB786A"/>
    <w:rsid w:val="00EB7C0F"/>
    <w:rsid w:val="00EB7D05"/>
    <w:rsid w:val="00EC0A69"/>
    <w:rsid w:val="00EC104C"/>
    <w:rsid w:val="00EC1578"/>
    <w:rsid w:val="00EC1BFC"/>
    <w:rsid w:val="00EC1C72"/>
    <w:rsid w:val="00EC3356"/>
    <w:rsid w:val="00EC3CC9"/>
    <w:rsid w:val="00EC5D85"/>
    <w:rsid w:val="00EC680A"/>
    <w:rsid w:val="00EC6975"/>
    <w:rsid w:val="00ED0830"/>
    <w:rsid w:val="00ED3C43"/>
    <w:rsid w:val="00ED45CB"/>
    <w:rsid w:val="00ED511C"/>
    <w:rsid w:val="00ED52FE"/>
    <w:rsid w:val="00ED7229"/>
    <w:rsid w:val="00EE25CB"/>
    <w:rsid w:val="00EE2974"/>
    <w:rsid w:val="00EE2BED"/>
    <w:rsid w:val="00EE374B"/>
    <w:rsid w:val="00EE4118"/>
    <w:rsid w:val="00EE4A87"/>
    <w:rsid w:val="00EF2869"/>
    <w:rsid w:val="00F003EA"/>
    <w:rsid w:val="00F05442"/>
    <w:rsid w:val="00F05D60"/>
    <w:rsid w:val="00F060ED"/>
    <w:rsid w:val="00F07224"/>
    <w:rsid w:val="00F07FD3"/>
    <w:rsid w:val="00F11BB5"/>
    <w:rsid w:val="00F1296C"/>
    <w:rsid w:val="00F1316D"/>
    <w:rsid w:val="00F1342E"/>
    <w:rsid w:val="00F1417B"/>
    <w:rsid w:val="00F14C23"/>
    <w:rsid w:val="00F1712D"/>
    <w:rsid w:val="00F17306"/>
    <w:rsid w:val="00F17A17"/>
    <w:rsid w:val="00F2052D"/>
    <w:rsid w:val="00F208A0"/>
    <w:rsid w:val="00F2115E"/>
    <w:rsid w:val="00F23DFA"/>
    <w:rsid w:val="00F27B3D"/>
    <w:rsid w:val="00F30ABD"/>
    <w:rsid w:val="00F323F0"/>
    <w:rsid w:val="00F3314B"/>
    <w:rsid w:val="00F34243"/>
    <w:rsid w:val="00F34B99"/>
    <w:rsid w:val="00F35AE9"/>
    <w:rsid w:val="00F40B02"/>
    <w:rsid w:val="00F40C40"/>
    <w:rsid w:val="00F41E81"/>
    <w:rsid w:val="00F42331"/>
    <w:rsid w:val="00F42861"/>
    <w:rsid w:val="00F46395"/>
    <w:rsid w:val="00F47FDE"/>
    <w:rsid w:val="00F512F3"/>
    <w:rsid w:val="00F513FB"/>
    <w:rsid w:val="00F514F4"/>
    <w:rsid w:val="00F51720"/>
    <w:rsid w:val="00F51CF2"/>
    <w:rsid w:val="00F5248E"/>
    <w:rsid w:val="00F52CEE"/>
    <w:rsid w:val="00F52DAB"/>
    <w:rsid w:val="00F543F0"/>
    <w:rsid w:val="00F55E3E"/>
    <w:rsid w:val="00F57601"/>
    <w:rsid w:val="00F62613"/>
    <w:rsid w:val="00F63F27"/>
    <w:rsid w:val="00F73F99"/>
    <w:rsid w:val="00F75F80"/>
    <w:rsid w:val="00F81D29"/>
    <w:rsid w:val="00F82A89"/>
    <w:rsid w:val="00F863EE"/>
    <w:rsid w:val="00F877F6"/>
    <w:rsid w:val="00F87B40"/>
    <w:rsid w:val="00F90BE5"/>
    <w:rsid w:val="00F91C4D"/>
    <w:rsid w:val="00F91D94"/>
    <w:rsid w:val="00F921D1"/>
    <w:rsid w:val="00F92FD9"/>
    <w:rsid w:val="00F93173"/>
    <w:rsid w:val="00F948DE"/>
    <w:rsid w:val="00F95A39"/>
    <w:rsid w:val="00F97210"/>
    <w:rsid w:val="00FA0231"/>
    <w:rsid w:val="00FA37B1"/>
    <w:rsid w:val="00FA3E0B"/>
    <w:rsid w:val="00FA5439"/>
    <w:rsid w:val="00FA5EF7"/>
    <w:rsid w:val="00FA6684"/>
    <w:rsid w:val="00FA731E"/>
    <w:rsid w:val="00FA7498"/>
    <w:rsid w:val="00FA7BD0"/>
    <w:rsid w:val="00FB034A"/>
    <w:rsid w:val="00FB1DCF"/>
    <w:rsid w:val="00FB260A"/>
    <w:rsid w:val="00FB2B38"/>
    <w:rsid w:val="00FB61CE"/>
    <w:rsid w:val="00FB62B3"/>
    <w:rsid w:val="00FB7A07"/>
    <w:rsid w:val="00FC04CC"/>
    <w:rsid w:val="00FC2066"/>
    <w:rsid w:val="00FC4594"/>
    <w:rsid w:val="00FC6358"/>
    <w:rsid w:val="00FD1381"/>
    <w:rsid w:val="00FD320D"/>
    <w:rsid w:val="00FD76A9"/>
    <w:rsid w:val="00FD7A81"/>
    <w:rsid w:val="00FE1B98"/>
    <w:rsid w:val="00FE23DE"/>
    <w:rsid w:val="00FE6C57"/>
    <w:rsid w:val="00FE7E56"/>
    <w:rsid w:val="00FF137D"/>
    <w:rsid w:val="00FF1801"/>
    <w:rsid w:val="00FF325C"/>
    <w:rsid w:val="00FF64E5"/>
    <w:rsid w:val="00FF6842"/>
    <w:rsid w:val="00FF6883"/>
    <w:rsid w:val="00FF6FD7"/>
    <w:rsid w:val="013E2686"/>
    <w:rsid w:val="014C26A4"/>
    <w:rsid w:val="015F1816"/>
    <w:rsid w:val="017C196D"/>
    <w:rsid w:val="01E8026D"/>
    <w:rsid w:val="021F6D86"/>
    <w:rsid w:val="024840D7"/>
    <w:rsid w:val="024847D6"/>
    <w:rsid w:val="02500680"/>
    <w:rsid w:val="0293673F"/>
    <w:rsid w:val="03450EA4"/>
    <w:rsid w:val="03EB59E0"/>
    <w:rsid w:val="04050DBF"/>
    <w:rsid w:val="044C0D19"/>
    <w:rsid w:val="04877EA0"/>
    <w:rsid w:val="04A171B4"/>
    <w:rsid w:val="04C24424"/>
    <w:rsid w:val="04C63BD8"/>
    <w:rsid w:val="052160AC"/>
    <w:rsid w:val="0539619A"/>
    <w:rsid w:val="0653116B"/>
    <w:rsid w:val="06C57E6F"/>
    <w:rsid w:val="070457D8"/>
    <w:rsid w:val="07AF1BE8"/>
    <w:rsid w:val="07C33A75"/>
    <w:rsid w:val="07E2214C"/>
    <w:rsid w:val="07F52B34"/>
    <w:rsid w:val="08362309"/>
    <w:rsid w:val="08605CB5"/>
    <w:rsid w:val="08670714"/>
    <w:rsid w:val="08674B8F"/>
    <w:rsid w:val="08A63D15"/>
    <w:rsid w:val="08C61AF1"/>
    <w:rsid w:val="08CE2ECA"/>
    <w:rsid w:val="08DD09D6"/>
    <w:rsid w:val="08F5105E"/>
    <w:rsid w:val="08FC36AC"/>
    <w:rsid w:val="0926781E"/>
    <w:rsid w:val="0A232776"/>
    <w:rsid w:val="0A5151D8"/>
    <w:rsid w:val="0ADE1E63"/>
    <w:rsid w:val="0ADE7ACE"/>
    <w:rsid w:val="0B064214"/>
    <w:rsid w:val="0B201C12"/>
    <w:rsid w:val="0B6151C6"/>
    <w:rsid w:val="0B8F09B6"/>
    <w:rsid w:val="0B90608C"/>
    <w:rsid w:val="0B9C6927"/>
    <w:rsid w:val="0BD13BA5"/>
    <w:rsid w:val="0BD3755E"/>
    <w:rsid w:val="0BE107DE"/>
    <w:rsid w:val="0BEC0128"/>
    <w:rsid w:val="0C0E7E79"/>
    <w:rsid w:val="0C47064F"/>
    <w:rsid w:val="0C537D45"/>
    <w:rsid w:val="0C7B29E0"/>
    <w:rsid w:val="0C833088"/>
    <w:rsid w:val="0CBD4449"/>
    <w:rsid w:val="0D0B3D64"/>
    <w:rsid w:val="0D832323"/>
    <w:rsid w:val="0D9208DA"/>
    <w:rsid w:val="0DA47D15"/>
    <w:rsid w:val="0DB3584C"/>
    <w:rsid w:val="0DBE7B57"/>
    <w:rsid w:val="0DCB4EF4"/>
    <w:rsid w:val="0DD74424"/>
    <w:rsid w:val="0DFF6DF7"/>
    <w:rsid w:val="0E163DF4"/>
    <w:rsid w:val="0E2C15B7"/>
    <w:rsid w:val="0E8A2A67"/>
    <w:rsid w:val="0EAE7F1E"/>
    <w:rsid w:val="0EBE42C2"/>
    <w:rsid w:val="0EC83C07"/>
    <w:rsid w:val="0ECF0DC1"/>
    <w:rsid w:val="0EE539C7"/>
    <w:rsid w:val="0F0F1D4A"/>
    <w:rsid w:val="0F1E241C"/>
    <w:rsid w:val="0F2D7E01"/>
    <w:rsid w:val="0F76748F"/>
    <w:rsid w:val="0FBB799F"/>
    <w:rsid w:val="0FD7663F"/>
    <w:rsid w:val="0FE16B50"/>
    <w:rsid w:val="0FE73EE9"/>
    <w:rsid w:val="10D80401"/>
    <w:rsid w:val="10EC1F8D"/>
    <w:rsid w:val="111B209C"/>
    <w:rsid w:val="113E5D8A"/>
    <w:rsid w:val="116752E1"/>
    <w:rsid w:val="11A76FFD"/>
    <w:rsid w:val="11C91A1B"/>
    <w:rsid w:val="12767ED2"/>
    <w:rsid w:val="12D35F9F"/>
    <w:rsid w:val="12E43A7C"/>
    <w:rsid w:val="133E2072"/>
    <w:rsid w:val="134D4B46"/>
    <w:rsid w:val="13BA03CD"/>
    <w:rsid w:val="13CB2A49"/>
    <w:rsid w:val="13F51ECE"/>
    <w:rsid w:val="13F5516D"/>
    <w:rsid w:val="143015EC"/>
    <w:rsid w:val="143801CB"/>
    <w:rsid w:val="1494372C"/>
    <w:rsid w:val="149D7835"/>
    <w:rsid w:val="14A11D12"/>
    <w:rsid w:val="14B71810"/>
    <w:rsid w:val="14E14168"/>
    <w:rsid w:val="15497022"/>
    <w:rsid w:val="156652A6"/>
    <w:rsid w:val="15BD4C9F"/>
    <w:rsid w:val="15EF3AF7"/>
    <w:rsid w:val="168C0FAD"/>
    <w:rsid w:val="173E6BA5"/>
    <w:rsid w:val="175B1321"/>
    <w:rsid w:val="175F4879"/>
    <w:rsid w:val="17A41D79"/>
    <w:rsid w:val="17F7785D"/>
    <w:rsid w:val="180F65FF"/>
    <w:rsid w:val="182C1DF0"/>
    <w:rsid w:val="185C4B32"/>
    <w:rsid w:val="187361A2"/>
    <w:rsid w:val="18E30FD6"/>
    <w:rsid w:val="18F473F4"/>
    <w:rsid w:val="18F63DAF"/>
    <w:rsid w:val="18FC3673"/>
    <w:rsid w:val="19081158"/>
    <w:rsid w:val="19267614"/>
    <w:rsid w:val="192D693B"/>
    <w:rsid w:val="193C7538"/>
    <w:rsid w:val="1A2A7EC3"/>
    <w:rsid w:val="1A2D0068"/>
    <w:rsid w:val="1A2F003B"/>
    <w:rsid w:val="1A5C473C"/>
    <w:rsid w:val="1AA05C35"/>
    <w:rsid w:val="1AC04694"/>
    <w:rsid w:val="1B5F527B"/>
    <w:rsid w:val="1BA76BA3"/>
    <w:rsid w:val="1BDC448C"/>
    <w:rsid w:val="1BEE08AF"/>
    <w:rsid w:val="1C4F5223"/>
    <w:rsid w:val="1C7378BE"/>
    <w:rsid w:val="1C7D4E8B"/>
    <w:rsid w:val="1CAE056D"/>
    <w:rsid w:val="1D3B431A"/>
    <w:rsid w:val="1D463501"/>
    <w:rsid w:val="1D840FC9"/>
    <w:rsid w:val="1DB21FDA"/>
    <w:rsid w:val="1DF81475"/>
    <w:rsid w:val="1E4476CB"/>
    <w:rsid w:val="1E473FF1"/>
    <w:rsid w:val="1E847A9F"/>
    <w:rsid w:val="1ED22147"/>
    <w:rsid w:val="1F1D477C"/>
    <w:rsid w:val="1F2A0FA2"/>
    <w:rsid w:val="1F882656"/>
    <w:rsid w:val="1FC01AF4"/>
    <w:rsid w:val="20317AB3"/>
    <w:rsid w:val="20631A24"/>
    <w:rsid w:val="20713A86"/>
    <w:rsid w:val="20A57BD4"/>
    <w:rsid w:val="20AA62CB"/>
    <w:rsid w:val="20B742D1"/>
    <w:rsid w:val="21222D0B"/>
    <w:rsid w:val="21405983"/>
    <w:rsid w:val="214E79EF"/>
    <w:rsid w:val="215D225D"/>
    <w:rsid w:val="216D020D"/>
    <w:rsid w:val="21CF28DE"/>
    <w:rsid w:val="21D00F87"/>
    <w:rsid w:val="21D82F94"/>
    <w:rsid w:val="225E3148"/>
    <w:rsid w:val="22612BE7"/>
    <w:rsid w:val="22BE097D"/>
    <w:rsid w:val="22C146E6"/>
    <w:rsid w:val="22C4328E"/>
    <w:rsid w:val="23414526"/>
    <w:rsid w:val="235932F1"/>
    <w:rsid w:val="238428AD"/>
    <w:rsid w:val="23A13257"/>
    <w:rsid w:val="23C93413"/>
    <w:rsid w:val="24934920"/>
    <w:rsid w:val="249A4004"/>
    <w:rsid w:val="24BB5C18"/>
    <w:rsid w:val="24FA7735"/>
    <w:rsid w:val="25201685"/>
    <w:rsid w:val="252C2672"/>
    <w:rsid w:val="25502E51"/>
    <w:rsid w:val="256D4768"/>
    <w:rsid w:val="258260ED"/>
    <w:rsid w:val="25C03667"/>
    <w:rsid w:val="25FC0579"/>
    <w:rsid w:val="26466D0D"/>
    <w:rsid w:val="264F3AE6"/>
    <w:rsid w:val="269F45A7"/>
    <w:rsid w:val="269F64C8"/>
    <w:rsid w:val="26E17572"/>
    <w:rsid w:val="270129A7"/>
    <w:rsid w:val="272F72E2"/>
    <w:rsid w:val="275B21B7"/>
    <w:rsid w:val="279B1E5B"/>
    <w:rsid w:val="27EF30D0"/>
    <w:rsid w:val="28180C8B"/>
    <w:rsid w:val="284275D7"/>
    <w:rsid w:val="28853A3B"/>
    <w:rsid w:val="28C52BC1"/>
    <w:rsid w:val="28DC615D"/>
    <w:rsid w:val="28E12C57"/>
    <w:rsid w:val="2908260A"/>
    <w:rsid w:val="295029B7"/>
    <w:rsid w:val="297D24F1"/>
    <w:rsid w:val="29B6075C"/>
    <w:rsid w:val="2A0535BB"/>
    <w:rsid w:val="2A077209"/>
    <w:rsid w:val="2A3C733D"/>
    <w:rsid w:val="2A586756"/>
    <w:rsid w:val="2A8E3487"/>
    <w:rsid w:val="2B71562A"/>
    <w:rsid w:val="2BB7496D"/>
    <w:rsid w:val="2BE23A8A"/>
    <w:rsid w:val="2C0C4826"/>
    <w:rsid w:val="2C4F7710"/>
    <w:rsid w:val="2C740E0B"/>
    <w:rsid w:val="2C7D4CB1"/>
    <w:rsid w:val="2D910499"/>
    <w:rsid w:val="2DD9710F"/>
    <w:rsid w:val="2DE53D06"/>
    <w:rsid w:val="2E243715"/>
    <w:rsid w:val="2E7806D6"/>
    <w:rsid w:val="2EEC0DDD"/>
    <w:rsid w:val="2F833C9E"/>
    <w:rsid w:val="2FE564DE"/>
    <w:rsid w:val="303803AA"/>
    <w:rsid w:val="30404323"/>
    <w:rsid w:val="304822F5"/>
    <w:rsid w:val="306A22A0"/>
    <w:rsid w:val="30774293"/>
    <w:rsid w:val="308154F3"/>
    <w:rsid w:val="309763D7"/>
    <w:rsid w:val="30BB5967"/>
    <w:rsid w:val="30FB5B8B"/>
    <w:rsid w:val="314636BD"/>
    <w:rsid w:val="318F632C"/>
    <w:rsid w:val="31CE5FE9"/>
    <w:rsid w:val="31D4032E"/>
    <w:rsid w:val="31D9592F"/>
    <w:rsid w:val="32977AF8"/>
    <w:rsid w:val="32EA73D6"/>
    <w:rsid w:val="3364747B"/>
    <w:rsid w:val="33822C8E"/>
    <w:rsid w:val="338471E1"/>
    <w:rsid w:val="33AC7EE9"/>
    <w:rsid w:val="33D74B96"/>
    <w:rsid w:val="34421759"/>
    <w:rsid w:val="346644C3"/>
    <w:rsid w:val="34AB62AE"/>
    <w:rsid w:val="34E63ED8"/>
    <w:rsid w:val="34F43DE1"/>
    <w:rsid w:val="35057676"/>
    <w:rsid w:val="351F3659"/>
    <w:rsid w:val="354B08F2"/>
    <w:rsid w:val="355E5DFD"/>
    <w:rsid w:val="35865871"/>
    <w:rsid w:val="35A02AEA"/>
    <w:rsid w:val="35B53DF1"/>
    <w:rsid w:val="35D419DA"/>
    <w:rsid w:val="35FE1B6C"/>
    <w:rsid w:val="36124C6D"/>
    <w:rsid w:val="362471B6"/>
    <w:rsid w:val="36407D2B"/>
    <w:rsid w:val="366054B9"/>
    <w:rsid w:val="366A09FC"/>
    <w:rsid w:val="367B6063"/>
    <w:rsid w:val="369D4B3F"/>
    <w:rsid w:val="36B6227A"/>
    <w:rsid w:val="37085C1A"/>
    <w:rsid w:val="37304431"/>
    <w:rsid w:val="373D4279"/>
    <w:rsid w:val="3773706B"/>
    <w:rsid w:val="37F82F13"/>
    <w:rsid w:val="37FA52E4"/>
    <w:rsid w:val="38053EB8"/>
    <w:rsid w:val="38080D1C"/>
    <w:rsid w:val="38123949"/>
    <w:rsid w:val="382602FC"/>
    <w:rsid w:val="38352C3B"/>
    <w:rsid w:val="38750761"/>
    <w:rsid w:val="388109FB"/>
    <w:rsid w:val="38AC3930"/>
    <w:rsid w:val="38C56C0D"/>
    <w:rsid w:val="38FE5C7B"/>
    <w:rsid w:val="391F4380"/>
    <w:rsid w:val="39331DC9"/>
    <w:rsid w:val="39C50A6C"/>
    <w:rsid w:val="3A303088"/>
    <w:rsid w:val="3AF77A6B"/>
    <w:rsid w:val="3B082DE1"/>
    <w:rsid w:val="3B0B4B41"/>
    <w:rsid w:val="3B2460B8"/>
    <w:rsid w:val="3B2640A1"/>
    <w:rsid w:val="3B4C1ED1"/>
    <w:rsid w:val="3B5270D0"/>
    <w:rsid w:val="3B991FD8"/>
    <w:rsid w:val="3BD827B4"/>
    <w:rsid w:val="3C0B1989"/>
    <w:rsid w:val="3C637F43"/>
    <w:rsid w:val="3C65291F"/>
    <w:rsid w:val="3CDD2778"/>
    <w:rsid w:val="3CF6759A"/>
    <w:rsid w:val="3CFC52FF"/>
    <w:rsid w:val="3DDE450A"/>
    <w:rsid w:val="3DDF42CD"/>
    <w:rsid w:val="3E295C16"/>
    <w:rsid w:val="3E4A0063"/>
    <w:rsid w:val="3EA101DD"/>
    <w:rsid w:val="3EA90437"/>
    <w:rsid w:val="3EBC434B"/>
    <w:rsid w:val="3EDB11FE"/>
    <w:rsid w:val="3F073ADC"/>
    <w:rsid w:val="3F212F4E"/>
    <w:rsid w:val="3F577E93"/>
    <w:rsid w:val="3FA15AA1"/>
    <w:rsid w:val="3FB6105E"/>
    <w:rsid w:val="3FBC6AD9"/>
    <w:rsid w:val="40240823"/>
    <w:rsid w:val="405A5969"/>
    <w:rsid w:val="405B05D0"/>
    <w:rsid w:val="408B24EB"/>
    <w:rsid w:val="40B545A0"/>
    <w:rsid w:val="40CC32FB"/>
    <w:rsid w:val="41071092"/>
    <w:rsid w:val="41635215"/>
    <w:rsid w:val="41913FE4"/>
    <w:rsid w:val="41BB6E00"/>
    <w:rsid w:val="41E01F77"/>
    <w:rsid w:val="41F67C46"/>
    <w:rsid w:val="424262B6"/>
    <w:rsid w:val="42870F07"/>
    <w:rsid w:val="42A97AB7"/>
    <w:rsid w:val="42AC5B1F"/>
    <w:rsid w:val="42C54070"/>
    <w:rsid w:val="42F45BAA"/>
    <w:rsid w:val="43004304"/>
    <w:rsid w:val="432B3072"/>
    <w:rsid w:val="4338647E"/>
    <w:rsid w:val="43461EC8"/>
    <w:rsid w:val="43771FAF"/>
    <w:rsid w:val="43955808"/>
    <w:rsid w:val="4397166E"/>
    <w:rsid w:val="439C056B"/>
    <w:rsid w:val="43DB72E5"/>
    <w:rsid w:val="43DF3F25"/>
    <w:rsid w:val="43FB120E"/>
    <w:rsid w:val="444D0D74"/>
    <w:rsid w:val="4514709C"/>
    <w:rsid w:val="4537679D"/>
    <w:rsid w:val="45425C2D"/>
    <w:rsid w:val="468B31C3"/>
    <w:rsid w:val="46BE78FB"/>
    <w:rsid w:val="46D242AC"/>
    <w:rsid w:val="46DC7056"/>
    <w:rsid w:val="46FC05F4"/>
    <w:rsid w:val="477257F5"/>
    <w:rsid w:val="47D30ED0"/>
    <w:rsid w:val="48010AA9"/>
    <w:rsid w:val="48490323"/>
    <w:rsid w:val="484E62F9"/>
    <w:rsid w:val="486A7235"/>
    <w:rsid w:val="493C25D4"/>
    <w:rsid w:val="493E4F4B"/>
    <w:rsid w:val="495C0735"/>
    <w:rsid w:val="49A34DCE"/>
    <w:rsid w:val="4A1B48DF"/>
    <w:rsid w:val="4B651970"/>
    <w:rsid w:val="4B686921"/>
    <w:rsid w:val="4B7E4033"/>
    <w:rsid w:val="4B843F6C"/>
    <w:rsid w:val="4C217F13"/>
    <w:rsid w:val="4C460B8E"/>
    <w:rsid w:val="4C7505B3"/>
    <w:rsid w:val="4C957FEA"/>
    <w:rsid w:val="4CA02E7A"/>
    <w:rsid w:val="4CEF395A"/>
    <w:rsid w:val="4D0C050F"/>
    <w:rsid w:val="4D905BEF"/>
    <w:rsid w:val="4DCE30C8"/>
    <w:rsid w:val="4DE04F2F"/>
    <w:rsid w:val="4E74636C"/>
    <w:rsid w:val="4EA31B8D"/>
    <w:rsid w:val="4EBA525B"/>
    <w:rsid w:val="4F3C62C5"/>
    <w:rsid w:val="4F5A37B4"/>
    <w:rsid w:val="4F93321A"/>
    <w:rsid w:val="4F9C3315"/>
    <w:rsid w:val="503A41C4"/>
    <w:rsid w:val="509C2473"/>
    <w:rsid w:val="50BA5ED0"/>
    <w:rsid w:val="50BD36B1"/>
    <w:rsid w:val="513B7615"/>
    <w:rsid w:val="515E1C2D"/>
    <w:rsid w:val="51612C25"/>
    <w:rsid w:val="518A1ADC"/>
    <w:rsid w:val="519623EB"/>
    <w:rsid w:val="51BE1955"/>
    <w:rsid w:val="51CA0754"/>
    <w:rsid w:val="52154838"/>
    <w:rsid w:val="5221731D"/>
    <w:rsid w:val="52826B6C"/>
    <w:rsid w:val="52C80D51"/>
    <w:rsid w:val="52DC6BD6"/>
    <w:rsid w:val="530771CB"/>
    <w:rsid w:val="531D5B22"/>
    <w:rsid w:val="53407165"/>
    <w:rsid w:val="534A700C"/>
    <w:rsid w:val="536527D2"/>
    <w:rsid w:val="537D395D"/>
    <w:rsid w:val="53902314"/>
    <w:rsid w:val="53C13416"/>
    <w:rsid w:val="54192343"/>
    <w:rsid w:val="544A0B7D"/>
    <w:rsid w:val="546C0184"/>
    <w:rsid w:val="54822C8B"/>
    <w:rsid w:val="54BB0F6A"/>
    <w:rsid w:val="54C310F4"/>
    <w:rsid w:val="555E7850"/>
    <w:rsid w:val="556E6847"/>
    <w:rsid w:val="55782BE6"/>
    <w:rsid w:val="55E957AB"/>
    <w:rsid w:val="565A0534"/>
    <w:rsid w:val="566B0C1F"/>
    <w:rsid w:val="567D7CFB"/>
    <w:rsid w:val="569A0592"/>
    <w:rsid w:val="56FE7A61"/>
    <w:rsid w:val="57140074"/>
    <w:rsid w:val="57160EA0"/>
    <w:rsid w:val="573E5A1D"/>
    <w:rsid w:val="57485FB4"/>
    <w:rsid w:val="57520793"/>
    <w:rsid w:val="57A314E8"/>
    <w:rsid w:val="57C973EE"/>
    <w:rsid w:val="57DD65CB"/>
    <w:rsid w:val="57E5633F"/>
    <w:rsid w:val="588A3951"/>
    <w:rsid w:val="58B31002"/>
    <w:rsid w:val="58EB436A"/>
    <w:rsid w:val="590A16A0"/>
    <w:rsid w:val="59215726"/>
    <w:rsid w:val="594139E5"/>
    <w:rsid w:val="5A27111D"/>
    <w:rsid w:val="5A675A2F"/>
    <w:rsid w:val="5A8A49D4"/>
    <w:rsid w:val="5AB42FF2"/>
    <w:rsid w:val="5B384BB4"/>
    <w:rsid w:val="5B6419FA"/>
    <w:rsid w:val="5B7F09C0"/>
    <w:rsid w:val="5B80134A"/>
    <w:rsid w:val="5BDB4617"/>
    <w:rsid w:val="5BE62DD4"/>
    <w:rsid w:val="5C563FD3"/>
    <w:rsid w:val="5C5679F9"/>
    <w:rsid w:val="5C74200C"/>
    <w:rsid w:val="5C9F4F32"/>
    <w:rsid w:val="5CD16391"/>
    <w:rsid w:val="5D192F00"/>
    <w:rsid w:val="5D2B2243"/>
    <w:rsid w:val="5DD0488A"/>
    <w:rsid w:val="5DD3540E"/>
    <w:rsid w:val="5DD72E80"/>
    <w:rsid w:val="5DD8260A"/>
    <w:rsid w:val="5DFE30F3"/>
    <w:rsid w:val="5E510700"/>
    <w:rsid w:val="5E615DD9"/>
    <w:rsid w:val="5E640BEB"/>
    <w:rsid w:val="5E660B09"/>
    <w:rsid w:val="5E754B9B"/>
    <w:rsid w:val="5EBD4F3C"/>
    <w:rsid w:val="5EDA221B"/>
    <w:rsid w:val="5EDD6B3D"/>
    <w:rsid w:val="5EE20E9C"/>
    <w:rsid w:val="5F2142EE"/>
    <w:rsid w:val="5F6E0BB6"/>
    <w:rsid w:val="5F7F3964"/>
    <w:rsid w:val="5FBE1B3D"/>
    <w:rsid w:val="5FD42BF4"/>
    <w:rsid w:val="5FEA46E0"/>
    <w:rsid w:val="5FEA4945"/>
    <w:rsid w:val="60807BFF"/>
    <w:rsid w:val="60934D78"/>
    <w:rsid w:val="60A415A2"/>
    <w:rsid w:val="60E21F13"/>
    <w:rsid w:val="60FF5949"/>
    <w:rsid w:val="61002B99"/>
    <w:rsid w:val="61334486"/>
    <w:rsid w:val="615D65CA"/>
    <w:rsid w:val="61C733B5"/>
    <w:rsid w:val="61CD6067"/>
    <w:rsid w:val="61F66CE4"/>
    <w:rsid w:val="6222562A"/>
    <w:rsid w:val="623D6CC3"/>
    <w:rsid w:val="62522A10"/>
    <w:rsid w:val="62652744"/>
    <w:rsid w:val="62BE5AD3"/>
    <w:rsid w:val="62CB2F58"/>
    <w:rsid w:val="62E3238C"/>
    <w:rsid w:val="62E37DF5"/>
    <w:rsid w:val="62E84D64"/>
    <w:rsid w:val="62FD6D75"/>
    <w:rsid w:val="633448DA"/>
    <w:rsid w:val="6396798B"/>
    <w:rsid w:val="644A18DC"/>
    <w:rsid w:val="64A5151D"/>
    <w:rsid w:val="64A81B03"/>
    <w:rsid w:val="64B81251"/>
    <w:rsid w:val="64CC7479"/>
    <w:rsid w:val="654B7431"/>
    <w:rsid w:val="65AC46E8"/>
    <w:rsid w:val="65AD2600"/>
    <w:rsid w:val="65B36BB3"/>
    <w:rsid w:val="65E333A5"/>
    <w:rsid w:val="65FD5CAD"/>
    <w:rsid w:val="665E3732"/>
    <w:rsid w:val="66770072"/>
    <w:rsid w:val="66C96EB2"/>
    <w:rsid w:val="672F50CE"/>
    <w:rsid w:val="674F7309"/>
    <w:rsid w:val="68093B71"/>
    <w:rsid w:val="680D6614"/>
    <w:rsid w:val="685847A6"/>
    <w:rsid w:val="689A16A6"/>
    <w:rsid w:val="689F7D14"/>
    <w:rsid w:val="68C06A08"/>
    <w:rsid w:val="68D1545E"/>
    <w:rsid w:val="68E80A38"/>
    <w:rsid w:val="69342E70"/>
    <w:rsid w:val="69344C1E"/>
    <w:rsid w:val="694A1418"/>
    <w:rsid w:val="69763F48"/>
    <w:rsid w:val="69D55676"/>
    <w:rsid w:val="69F04D6A"/>
    <w:rsid w:val="69FA1237"/>
    <w:rsid w:val="6A8108A4"/>
    <w:rsid w:val="6B1B7E43"/>
    <w:rsid w:val="6BAD55D3"/>
    <w:rsid w:val="6BAD699C"/>
    <w:rsid w:val="6BC2746E"/>
    <w:rsid w:val="6BD864AF"/>
    <w:rsid w:val="6C407267"/>
    <w:rsid w:val="6CCE7942"/>
    <w:rsid w:val="6CE0089C"/>
    <w:rsid w:val="6D720589"/>
    <w:rsid w:val="6D7F3EF0"/>
    <w:rsid w:val="6D844615"/>
    <w:rsid w:val="6DB92E8C"/>
    <w:rsid w:val="6E8650E2"/>
    <w:rsid w:val="6EA11109"/>
    <w:rsid w:val="6EC20C67"/>
    <w:rsid w:val="6EEE03E3"/>
    <w:rsid w:val="6EF60224"/>
    <w:rsid w:val="6EFA08DD"/>
    <w:rsid w:val="6F7E3EEC"/>
    <w:rsid w:val="6F7E5C73"/>
    <w:rsid w:val="700A66D9"/>
    <w:rsid w:val="700B74D8"/>
    <w:rsid w:val="70637F93"/>
    <w:rsid w:val="70685F48"/>
    <w:rsid w:val="70716ED8"/>
    <w:rsid w:val="70F3716D"/>
    <w:rsid w:val="713C690F"/>
    <w:rsid w:val="715069F1"/>
    <w:rsid w:val="718E2012"/>
    <w:rsid w:val="720F2861"/>
    <w:rsid w:val="722E3A16"/>
    <w:rsid w:val="72C96FEA"/>
    <w:rsid w:val="73052F30"/>
    <w:rsid w:val="734336E4"/>
    <w:rsid w:val="734648C7"/>
    <w:rsid w:val="735B4AB6"/>
    <w:rsid w:val="737C0CC1"/>
    <w:rsid w:val="738D727D"/>
    <w:rsid w:val="739E0C4B"/>
    <w:rsid w:val="73D8789D"/>
    <w:rsid w:val="73E3171A"/>
    <w:rsid w:val="7425398B"/>
    <w:rsid w:val="743200A5"/>
    <w:rsid w:val="744E5160"/>
    <w:rsid w:val="744E5768"/>
    <w:rsid w:val="744F3E92"/>
    <w:rsid w:val="745B39A7"/>
    <w:rsid w:val="745D7ABB"/>
    <w:rsid w:val="746C0AE1"/>
    <w:rsid w:val="74C531F6"/>
    <w:rsid w:val="74D736BD"/>
    <w:rsid w:val="75143091"/>
    <w:rsid w:val="758B3E18"/>
    <w:rsid w:val="759D3967"/>
    <w:rsid w:val="75B94C2E"/>
    <w:rsid w:val="75C8458D"/>
    <w:rsid w:val="75EF56F2"/>
    <w:rsid w:val="761F01EE"/>
    <w:rsid w:val="76223B35"/>
    <w:rsid w:val="76A553AD"/>
    <w:rsid w:val="76D23D36"/>
    <w:rsid w:val="773F4EBA"/>
    <w:rsid w:val="776B3F01"/>
    <w:rsid w:val="777131E5"/>
    <w:rsid w:val="77754C38"/>
    <w:rsid w:val="779A5590"/>
    <w:rsid w:val="77C41D55"/>
    <w:rsid w:val="78415C70"/>
    <w:rsid w:val="78494935"/>
    <w:rsid w:val="78B3678D"/>
    <w:rsid w:val="78C22246"/>
    <w:rsid w:val="791415E6"/>
    <w:rsid w:val="793C38E0"/>
    <w:rsid w:val="79C618C2"/>
    <w:rsid w:val="79DF763F"/>
    <w:rsid w:val="7A401675"/>
    <w:rsid w:val="7A4C721F"/>
    <w:rsid w:val="7A505E09"/>
    <w:rsid w:val="7AB55F76"/>
    <w:rsid w:val="7AD11756"/>
    <w:rsid w:val="7AF30750"/>
    <w:rsid w:val="7B2373FA"/>
    <w:rsid w:val="7B407DD6"/>
    <w:rsid w:val="7B4A7005"/>
    <w:rsid w:val="7B9E207A"/>
    <w:rsid w:val="7BA901F2"/>
    <w:rsid w:val="7BE129E3"/>
    <w:rsid w:val="7BF102DB"/>
    <w:rsid w:val="7C0D1A2A"/>
    <w:rsid w:val="7C5B4B65"/>
    <w:rsid w:val="7C873D8A"/>
    <w:rsid w:val="7CC0265F"/>
    <w:rsid w:val="7D272678"/>
    <w:rsid w:val="7D3D1905"/>
    <w:rsid w:val="7D491FD6"/>
    <w:rsid w:val="7D9F4260"/>
    <w:rsid w:val="7E3338BA"/>
    <w:rsid w:val="7E3A2967"/>
    <w:rsid w:val="7E6B68CE"/>
    <w:rsid w:val="7E7457B8"/>
    <w:rsid w:val="7E867872"/>
    <w:rsid w:val="7E99228A"/>
    <w:rsid w:val="7E9F1C14"/>
    <w:rsid w:val="7EC13187"/>
    <w:rsid w:val="7EC83C17"/>
    <w:rsid w:val="7EE36A72"/>
    <w:rsid w:val="7EE90C95"/>
    <w:rsid w:val="7F2005B6"/>
    <w:rsid w:val="7F73429A"/>
    <w:rsid w:val="7F740BE1"/>
    <w:rsid w:val="7FF22E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1"/>
    <w:qFormat/>
    <w:uiPriority w:val="0"/>
    <w:pPr>
      <w:keepNext/>
      <w:keepLines/>
      <w:spacing w:before="340" w:after="330" w:line="578" w:lineRule="auto"/>
      <w:outlineLvl w:val="0"/>
    </w:pPr>
    <w:rPr>
      <w:b/>
      <w:bCs/>
      <w:kern w:val="44"/>
      <w:sz w:val="44"/>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semiHidden/>
    <w:qFormat/>
    <w:uiPriority w:val="0"/>
    <w:pPr>
      <w:tabs>
        <w:tab w:val="right" w:leader="dot" w:pos="9241"/>
      </w:tabs>
      <w:ind w:firstLine="505" w:firstLineChars="500"/>
      <w:jc w:val="left"/>
    </w:pPr>
    <w:rPr>
      <w:rFonts w:ascii="宋体"/>
      <w:szCs w:val="21"/>
    </w:rPr>
  </w:style>
  <w:style w:type="paragraph" w:styleId="5">
    <w:name w:val="index 8"/>
    <w:basedOn w:val="1"/>
    <w:next w:val="1"/>
    <w:qFormat/>
    <w:uiPriority w:val="0"/>
    <w:pPr>
      <w:ind w:left="1680" w:hanging="210"/>
      <w:jc w:val="left"/>
    </w:pPr>
    <w:rPr>
      <w:rFonts w:ascii="Calibri" w:hAnsi="Calibri"/>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qFormat/>
    <w:uiPriority w:val="0"/>
    <w:pPr>
      <w:ind w:left="1050" w:hanging="210"/>
      <w:jc w:val="left"/>
    </w:pPr>
    <w:rPr>
      <w:rFonts w:ascii="Calibri" w:hAnsi="Calibri"/>
      <w:sz w:val="20"/>
      <w:szCs w:val="20"/>
    </w:rPr>
  </w:style>
  <w:style w:type="paragraph" w:styleId="8">
    <w:name w:val="Document Map"/>
    <w:basedOn w:val="1"/>
    <w:semiHidden/>
    <w:qFormat/>
    <w:uiPriority w:val="0"/>
    <w:pPr>
      <w:shd w:val="clear" w:color="auto" w:fill="000080"/>
    </w:pPr>
  </w:style>
  <w:style w:type="paragraph" w:styleId="9">
    <w:name w:val="annotation text"/>
    <w:basedOn w:val="1"/>
    <w:link w:val="158"/>
    <w:semiHidden/>
    <w:unhideWhenUsed/>
    <w:qFormat/>
    <w:uiPriority w:val="0"/>
    <w:pPr>
      <w:jc w:val="left"/>
    </w:pPr>
  </w:style>
  <w:style w:type="paragraph" w:styleId="10">
    <w:name w:val="index 6"/>
    <w:basedOn w:val="1"/>
    <w:next w:val="1"/>
    <w:qFormat/>
    <w:uiPriority w:val="0"/>
    <w:pPr>
      <w:ind w:left="1260" w:hanging="210"/>
      <w:jc w:val="left"/>
    </w:pPr>
    <w:rPr>
      <w:rFonts w:ascii="Calibri" w:hAnsi="Calibri"/>
      <w:sz w:val="20"/>
      <w:szCs w:val="20"/>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szCs w:val="21"/>
    </w:rPr>
  </w:style>
  <w:style w:type="paragraph" w:styleId="13">
    <w:name w:val="toc 3"/>
    <w:basedOn w:val="1"/>
    <w:next w:val="1"/>
    <w:qFormat/>
    <w:uiPriority w:val="39"/>
    <w:pPr>
      <w:tabs>
        <w:tab w:val="right" w:leader="dot" w:pos="9241"/>
      </w:tabs>
      <w:ind w:firstLine="102" w:firstLineChars="100"/>
      <w:jc w:val="left"/>
    </w:pPr>
    <w:rPr>
      <w:rFonts w:ascii="宋体"/>
      <w:szCs w:val="21"/>
    </w:rPr>
  </w:style>
  <w:style w:type="paragraph" w:styleId="14">
    <w:name w:val="toc 8"/>
    <w:basedOn w:val="1"/>
    <w:next w:val="1"/>
    <w:semiHidden/>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Date"/>
    <w:basedOn w:val="1"/>
    <w:next w:val="1"/>
    <w:link w:val="187"/>
    <w:semiHidden/>
    <w:unhideWhenUsed/>
    <w:qFormat/>
    <w:uiPriority w:val="0"/>
    <w:pPr>
      <w:ind w:left="100" w:leftChars="2500"/>
    </w:pPr>
  </w:style>
  <w:style w:type="paragraph" w:styleId="17">
    <w:name w:val="endnote text"/>
    <w:basedOn w:val="1"/>
    <w:semiHidden/>
    <w:qFormat/>
    <w:uiPriority w:val="0"/>
    <w:pPr>
      <w:snapToGrid w:val="0"/>
      <w:jc w:val="left"/>
    </w:pPr>
  </w:style>
  <w:style w:type="paragraph" w:styleId="18">
    <w:name w:val="Balloon Text"/>
    <w:basedOn w:val="1"/>
    <w:link w:val="145"/>
    <w:qFormat/>
    <w:uiPriority w:val="0"/>
    <w:rPr>
      <w:sz w:val="18"/>
      <w:szCs w:val="18"/>
    </w:rPr>
  </w:style>
  <w:style w:type="paragraph" w:styleId="19">
    <w:name w:val="footer"/>
    <w:basedOn w:val="1"/>
    <w:qFormat/>
    <w:uiPriority w:val="0"/>
    <w:pPr>
      <w:snapToGrid w:val="0"/>
      <w:ind w:right="210" w:rightChars="100"/>
      <w:jc w:val="right"/>
    </w:pPr>
    <w:rPr>
      <w:sz w:val="18"/>
      <w:szCs w:val="18"/>
    </w:rPr>
  </w:style>
  <w:style w:type="paragraph" w:styleId="20">
    <w:name w:val="header"/>
    <w:basedOn w:val="1"/>
    <w:qFormat/>
    <w:uiPriority w:val="0"/>
    <w:pPr>
      <w:snapToGrid w:val="0"/>
      <w:jc w:val="left"/>
    </w:pPr>
    <w:rPr>
      <w:sz w:val="18"/>
      <w:szCs w:val="18"/>
    </w:rPr>
  </w:style>
  <w:style w:type="paragraph" w:styleId="21">
    <w:name w:val="toc 1"/>
    <w:basedOn w:val="1"/>
    <w:next w:val="1"/>
    <w:qFormat/>
    <w:uiPriority w:val="39"/>
    <w:pPr>
      <w:tabs>
        <w:tab w:val="right" w:leader="dot" w:pos="9241"/>
      </w:tabs>
      <w:spacing w:beforeLines="25" w:afterLines="25"/>
      <w:jc w:val="left"/>
    </w:pPr>
    <w:rPr>
      <w:rFonts w:ascii="宋体"/>
      <w:szCs w:val="21"/>
    </w:rPr>
  </w:style>
  <w:style w:type="paragraph" w:styleId="22">
    <w:name w:val="toc 4"/>
    <w:basedOn w:val="1"/>
    <w:next w:val="1"/>
    <w:semiHidden/>
    <w:qFormat/>
    <w:uiPriority w:val="0"/>
    <w:pPr>
      <w:tabs>
        <w:tab w:val="right" w:leader="dot" w:pos="9241"/>
      </w:tabs>
      <w:ind w:firstLine="198" w:firstLineChars="200"/>
      <w:jc w:val="left"/>
    </w:pPr>
    <w:rPr>
      <w:rFonts w:ascii="宋体"/>
      <w:szCs w:val="21"/>
    </w:rPr>
  </w:style>
  <w:style w:type="paragraph" w:styleId="23">
    <w:name w:val="index heading"/>
    <w:basedOn w:val="1"/>
    <w:next w:val="24"/>
    <w:qFormat/>
    <w:uiPriority w:val="0"/>
    <w:pPr>
      <w:spacing w:before="120" w:after="120"/>
      <w:jc w:val="center"/>
    </w:pPr>
    <w:rPr>
      <w:rFonts w:ascii="Calibri" w:hAnsi="Calibri"/>
      <w:b/>
      <w:bCs/>
      <w:iCs/>
      <w:szCs w:val="20"/>
    </w:rPr>
  </w:style>
  <w:style w:type="paragraph" w:styleId="24">
    <w:name w:val="index 1"/>
    <w:basedOn w:val="1"/>
    <w:next w:val="25"/>
    <w:qFormat/>
    <w:uiPriority w:val="0"/>
    <w:pPr>
      <w:tabs>
        <w:tab w:val="right" w:leader="dot" w:pos="9299"/>
      </w:tabs>
      <w:jc w:val="left"/>
    </w:pPr>
    <w:rPr>
      <w:rFonts w:ascii="宋体"/>
      <w:szCs w:val="21"/>
    </w:rPr>
  </w:style>
  <w:style w:type="paragraph" w:customStyle="1" w:styleId="25">
    <w:name w:val="段"/>
    <w:link w:val="4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6">
    <w:name w:val="footnote text"/>
    <w:basedOn w:val="1"/>
    <w:qFormat/>
    <w:uiPriority w:val="0"/>
    <w:pPr>
      <w:numPr>
        <w:ilvl w:val="0"/>
        <w:numId w:val="1"/>
      </w:numPr>
      <w:snapToGrid w:val="0"/>
      <w:jc w:val="left"/>
    </w:pPr>
    <w:rPr>
      <w:rFonts w:ascii="宋体"/>
      <w:sz w:val="18"/>
      <w:szCs w:val="18"/>
    </w:rPr>
  </w:style>
  <w:style w:type="paragraph" w:styleId="27">
    <w:name w:val="toc 6"/>
    <w:basedOn w:val="1"/>
    <w:next w:val="1"/>
    <w:semiHidden/>
    <w:qFormat/>
    <w:uiPriority w:val="0"/>
    <w:pPr>
      <w:tabs>
        <w:tab w:val="right" w:leader="dot" w:pos="9241"/>
      </w:tabs>
      <w:ind w:firstLine="403" w:firstLineChars="400"/>
      <w:jc w:val="left"/>
    </w:pPr>
    <w:rPr>
      <w:rFonts w:ascii="宋体"/>
      <w:szCs w:val="21"/>
    </w:rPr>
  </w:style>
  <w:style w:type="paragraph" w:styleId="28">
    <w:name w:val="index 7"/>
    <w:basedOn w:val="1"/>
    <w:next w:val="1"/>
    <w:qFormat/>
    <w:uiPriority w:val="0"/>
    <w:pPr>
      <w:ind w:left="1470" w:hanging="210"/>
      <w:jc w:val="left"/>
    </w:pPr>
    <w:rPr>
      <w:rFonts w:ascii="Calibri" w:hAnsi="Calibri"/>
      <w:sz w:val="20"/>
      <w:szCs w:val="20"/>
    </w:rPr>
  </w:style>
  <w:style w:type="paragraph" w:styleId="29">
    <w:name w:val="index 9"/>
    <w:basedOn w:val="1"/>
    <w:next w:val="1"/>
    <w:qFormat/>
    <w:uiPriority w:val="0"/>
    <w:pPr>
      <w:ind w:left="1890" w:hanging="210"/>
      <w:jc w:val="left"/>
    </w:pPr>
    <w:rPr>
      <w:rFonts w:ascii="Calibri" w:hAnsi="Calibri"/>
      <w:sz w:val="20"/>
      <w:szCs w:val="20"/>
    </w:rPr>
  </w:style>
  <w:style w:type="paragraph" w:styleId="30">
    <w:name w:val="toc 2"/>
    <w:basedOn w:val="1"/>
    <w:next w:val="1"/>
    <w:qFormat/>
    <w:uiPriority w:val="39"/>
    <w:pPr>
      <w:tabs>
        <w:tab w:val="right" w:leader="dot" w:pos="9241"/>
      </w:tabs>
    </w:pPr>
    <w:rPr>
      <w:rFonts w:ascii="宋体"/>
      <w:szCs w:val="21"/>
    </w:rPr>
  </w:style>
  <w:style w:type="paragraph" w:styleId="31">
    <w:name w:val="toc 9"/>
    <w:basedOn w:val="1"/>
    <w:next w:val="1"/>
    <w:semiHidden/>
    <w:qFormat/>
    <w:uiPriority w:val="0"/>
    <w:pPr>
      <w:ind w:left="1470"/>
      <w:jc w:val="left"/>
    </w:pPr>
    <w:rPr>
      <w:sz w:val="20"/>
      <w:szCs w:val="20"/>
    </w:rPr>
  </w:style>
  <w:style w:type="paragraph" w:styleId="32">
    <w:name w:val="Normal (Web)"/>
    <w:basedOn w:val="1"/>
    <w:semiHidden/>
    <w:unhideWhenUsed/>
    <w:qFormat/>
    <w:uiPriority w:val="99"/>
    <w:pPr>
      <w:spacing w:beforeAutospacing="1" w:afterAutospacing="1"/>
      <w:jc w:val="left"/>
    </w:pPr>
    <w:rPr>
      <w:kern w:val="0"/>
      <w:sz w:val="24"/>
    </w:rPr>
  </w:style>
  <w:style w:type="paragraph" w:styleId="33">
    <w:name w:val="index 2"/>
    <w:basedOn w:val="1"/>
    <w:next w:val="1"/>
    <w:qFormat/>
    <w:uiPriority w:val="0"/>
    <w:pPr>
      <w:ind w:left="420" w:hanging="210"/>
      <w:jc w:val="left"/>
    </w:pPr>
    <w:rPr>
      <w:rFonts w:ascii="Calibri" w:hAnsi="Calibri"/>
      <w:sz w:val="20"/>
      <w:szCs w:val="20"/>
    </w:rPr>
  </w:style>
  <w:style w:type="paragraph" w:styleId="34">
    <w:name w:val="annotation subject"/>
    <w:basedOn w:val="9"/>
    <w:next w:val="9"/>
    <w:link w:val="159"/>
    <w:semiHidden/>
    <w:unhideWhenUsed/>
    <w:qFormat/>
    <w:uiPriority w:val="0"/>
    <w:rPr>
      <w:b/>
      <w:bCs/>
    </w:rPr>
  </w:style>
  <w:style w:type="table" w:styleId="36">
    <w:name w:val="Table Grid"/>
    <w:basedOn w:val="35"/>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8">
    <w:name w:val="endnote reference"/>
    <w:semiHidden/>
    <w:qFormat/>
    <w:uiPriority w:val="0"/>
    <w:rPr>
      <w:vertAlign w:val="superscript"/>
    </w:rPr>
  </w:style>
  <w:style w:type="character" w:styleId="39">
    <w:name w:val="page number"/>
    <w:qFormat/>
    <w:uiPriority w:val="0"/>
    <w:rPr>
      <w:rFonts w:ascii="Times New Roman" w:hAnsi="Times New Roman" w:eastAsia="宋体"/>
      <w:sz w:val="18"/>
    </w:rPr>
  </w:style>
  <w:style w:type="character" w:styleId="40">
    <w:name w:val="FollowedHyperlink"/>
    <w:qFormat/>
    <w:uiPriority w:val="0"/>
    <w:rPr>
      <w:color w:val="800080"/>
      <w:u w:val="single"/>
    </w:rPr>
  </w:style>
  <w:style w:type="character" w:styleId="41">
    <w:name w:val="Emphasis"/>
    <w:basedOn w:val="37"/>
    <w:qFormat/>
    <w:uiPriority w:val="20"/>
    <w:rPr>
      <w:i/>
      <w:iCs/>
    </w:rPr>
  </w:style>
  <w:style w:type="character" w:styleId="42">
    <w:name w:val="Hyperlink"/>
    <w:qFormat/>
    <w:uiPriority w:val="99"/>
    <w:rPr>
      <w:color w:val="0000FF"/>
      <w:spacing w:val="0"/>
      <w:w w:val="100"/>
      <w:szCs w:val="21"/>
      <w:u w:val="single"/>
    </w:rPr>
  </w:style>
  <w:style w:type="character" w:styleId="43">
    <w:name w:val="annotation reference"/>
    <w:basedOn w:val="37"/>
    <w:semiHidden/>
    <w:unhideWhenUsed/>
    <w:qFormat/>
    <w:uiPriority w:val="0"/>
    <w:rPr>
      <w:sz w:val="21"/>
      <w:szCs w:val="21"/>
    </w:rPr>
  </w:style>
  <w:style w:type="character" w:styleId="44">
    <w:name w:val="footnote reference"/>
    <w:semiHidden/>
    <w:qFormat/>
    <w:uiPriority w:val="0"/>
    <w:rPr>
      <w:vertAlign w:val="superscript"/>
    </w:rPr>
  </w:style>
  <w:style w:type="character" w:customStyle="1" w:styleId="45">
    <w:name w:val="段 Char"/>
    <w:link w:val="25"/>
    <w:qFormat/>
    <w:uiPriority w:val="0"/>
    <w:rPr>
      <w:rFonts w:ascii="宋体"/>
      <w:sz w:val="21"/>
      <w:lang w:val="en-US" w:eastAsia="zh-CN" w:bidi="ar-SA"/>
    </w:rPr>
  </w:style>
  <w:style w:type="paragraph" w:customStyle="1" w:styleId="46">
    <w:name w:val="一级条标题"/>
    <w:next w:val="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9">
    <w:name w:val="章标题"/>
    <w:next w:val="25"/>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0">
    <w:name w:val="二级条标题"/>
    <w:basedOn w:val="46"/>
    <w:next w:val="1"/>
    <w:qFormat/>
    <w:uiPriority w:val="0"/>
    <w:pPr>
      <w:numPr>
        <w:ilvl w:val="0"/>
        <w:numId w:val="0"/>
      </w:numPr>
      <w:spacing w:before="50" w:after="50"/>
      <w:outlineLvl w:val="3"/>
    </w:pPr>
  </w:style>
  <w:style w:type="paragraph" w:customStyle="1" w:styleId="5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2">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3">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4">
    <w:name w:val="目次、标准名称标题"/>
    <w:basedOn w:val="1"/>
    <w:next w:val="25"/>
    <w:link w:val="1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5">
    <w:name w:val="三级条标题"/>
    <w:basedOn w:val="50"/>
    <w:next w:val="1"/>
    <w:qFormat/>
    <w:uiPriority w:val="0"/>
    <w:pPr>
      <w:numPr>
        <w:ilvl w:val="3"/>
      </w:numPr>
      <w:outlineLvl w:val="4"/>
    </w:pPr>
  </w:style>
  <w:style w:type="paragraph" w:customStyle="1" w:styleId="56">
    <w:name w:val="示例"/>
    <w:next w:val="57"/>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7">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8">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9">
    <w:name w:val="四级条标题"/>
    <w:basedOn w:val="55"/>
    <w:next w:val="1"/>
    <w:qFormat/>
    <w:uiPriority w:val="0"/>
    <w:pPr>
      <w:numPr>
        <w:ilvl w:val="4"/>
      </w:numPr>
      <w:outlineLvl w:val="5"/>
    </w:pPr>
  </w:style>
  <w:style w:type="paragraph" w:customStyle="1" w:styleId="60">
    <w:name w:val="五级条标题"/>
    <w:basedOn w:val="59"/>
    <w:next w:val="25"/>
    <w:qFormat/>
    <w:uiPriority w:val="0"/>
    <w:pPr>
      <w:numPr>
        <w:ilvl w:val="5"/>
      </w:numPr>
      <w:outlineLvl w:val="6"/>
    </w:pPr>
  </w:style>
  <w:style w:type="paragraph" w:customStyle="1" w:styleId="61">
    <w:name w:val="注："/>
    <w:next w:val="25"/>
    <w:link w:val="153"/>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2">
    <w:name w:val="注×："/>
    <w:qFormat/>
    <w:uiPriority w:val="0"/>
    <w:pPr>
      <w:widowControl w:val="0"/>
      <w:numPr>
        <w:ilvl w:val="0"/>
        <w:numId w:val="7"/>
      </w:numPr>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63">
    <w:name w:val="字母编号列项（一级）"/>
    <w:link w:val="154"/>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4">
    <w:name w:val="列项◆（三级）"/>
    <w:basedOn w:val="1"/>
    <w:qFormat/>
    <w:uiPriority w:val="0"/>
    <w:pPr>
      <w:numPr>
        <w:ilvl w:val="2"/>
        <w:numId w:val="3"/>
      </w:numPr>
    </w:pPr>
    <w:rPr>
      <w:rFonts w:ascii="宋体"/>
      <w:szCs w:val="21"/>
    </w:rPr>
  </w:style>
  <w:style w:type="paragraph" w:customStyle="1" w:styleId="65">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6">
    <w:name w:val="示例×："/>
    <w:basedOn w:val="49"/>
    <w:qFormat/>
    <w:uiPriority w:val="0"/>
    <w:pPr>
      <w:numPr>
        <w:numId w:val="8"/>
      </w:numPr>
      <w:spacing w:beforeLines="0" w:afterLines="0"/>
      <w:outlineLvl w:val="9"/>
    </w:pPr>
    <w:rPr>
      <w:rFonts w:ascii="宋体" w:eastAsia="宋体"/>
      <w:sz w:val="18"/>
      <w:szCs w:val="18"/>
    </w:rPr>
  </w:style>
  <w:style w:type="paragraph" w:customStyle="1" w:styleId="67">
    <w:name w:val="二级无"/>
    <w:basedOn w:val="50"/>
    <w:qFormat/>
    <w:uiPriority w:val="0"/>
    <w:pPr>
      <w:spacing w:beforeLines="0" w:afterLines="0"/>
    </w:pPr>
    <w:rPr>
      <w:rFonts w:ascii="宋体" w:eastAsia="宋体"/>
    </w:rPr>
  </w:style>
  <w:style w:type="paragraph" w:customStyle="1" w:styleId="68">
    <w:name w:val="注：（正文）"/>
    <w:basedOn w:val="61"/>
    <w:next w:val="25"/>
    <w:qFormat/>
    <w:uiPriority w:val="0"/>
    <w:pPr>
      <w:numPr>
        <w:numId w:val="9"/>
      </w:numPr>
      <w:ind w:left="726" w:hanging="363"/>
    </w:pPr>
  </w:style>
  <w:style w:type="paragraph" w:customStyle="1" w:styleId="69">
    <w:name w:val="注×：（正文）"/>
    <w:qFormat/>
    <w:uiPriority w:val="0"/>
    <w:pPr>
      <w:numPr>
        <w:ilvl w:val="0"/>
        <w:numId w:val="10"/>
      </w:numPr>
      <w:ind w:left="811" w:hanging="448"/>
      <w:jc w:val="both"/>
    </w:pPr>
    <w:rPr>
      <w:rFonts w:ascii="宋体" w:hAnsi="Times New Roman" w:eastAsia="宋体" w:cs="Times New Roman"/>
      <w:sz w:val="18"/>
      <w:szCs w:val="18"/>
      <w:lang w:val="en-US" w:eastAsia="zh-CN" w:bidi="ar-SA"/>
    </w:rPr>
  </w:style>
  <w:style w:type="paragraph" w:customStyle="1" w:styleId="70">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1">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3">
    <w:name w:val="标准书眉_偶数页"/>
    <w:basedOn w:val="48"/>
    <w:next w:val="1"/>
    <w:qFormat/>
    <w:uiPriority w:val="0"/>
    <w:pPr>
      <w:jc w:val="left"/>
    </w:pPr>
  </w:style>
  <w:style w:type="paragraph" w:customStyle="1" w:styleId="74">
    <w:name w:val="标准书眉一"/>
    <w:qFormat/>
    <w:uiPriority w:val="0"/>
    <w:pPr>
      <w:jc w:val="both"/>
    </w:pPr>
    <w:rPr>
      <w:rFonts w:ascii="Times New Roman" w:hAnsi="Times New Roman" w:eastAsia="宋体" w:cs="Times New Roman"/>
      <w:lang w:val="en-US" w:eastAsia="zh-CN" w:bidi="ar-SA"/>
    </w:rPr>
  </w:style>
  <w:style w:type="paragraph" w:customStyle="1" w:styleId="75">
    <w:name w:val="参考文献"/>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6">
    <w:name w:val="参考文献、索引标题"/>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7">
    <w:name w:val="发布"/>
    <w:qFormat/>
    <w:uiPriority w:val="0"/>
    <w:rPr>
      <w:rFonts w:ascii="黑体" w:eastAsia="黑体"/>
      <w:spacing w:val="85"/>
      <w:w w:val="100"/>
      <w:position w:val="3"/>
      <w:sz w:val="28"/>
      <w:szCs w:val="28"/>
    </w:rPr>
  </w:style>
  <w:style w:type="paragraph" w:customStyle="1" w:styleId="78">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9">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3">
    <w:name w:val="封面标准英文名称"/>
    <w:basedOn w:val="82"/>
    <w:qFormat/>
    <w:uiPriority w:val="0"/>
    <w:pPr>
      <w:framePr w:wrap="around"/>
      <w:spacing w:before="370" w:line="400" w:lineRule="exact"/>
    </w:pPr>
    <w:rPr>
      <w:rFonts w:ascii="Times New Roman"/>
      <w:sz w:val="28"/>
      <w:szCs w:val="28"/>
    </w:rPr>
  </w:style>
  <w:style w:type="paragraph" w:customStyle="1" w:styleId="84">
    <w:name w:val="封面一致性程度标识"/>
    <w:basedOn w:val="83"/>
    <w:qFormat/>
    <w:uiPriority w:val="0"/>
    <w:pPr>
      <w:framePr w:wrap="around"/>
      <w:spacing w:before="440"/>
    </w:pPr>
    <w:rPr>
      <w:rFonts w:ascii="宋体" w:eastAsia="宋体"/>
    </w:rPr>
  </w:style>
  <w:style w:type="paragraph" w:customStyle="1" w:styleId="85">
    <w:name w:val="封面标准文稿类别"/>
    <w:basedOn w:val="84"/>
    <w:qFormat/>
    <w:uiPriority w:val="0"/>
    <w:pPr>
      <w:framePr w:wrap="around"/>
      <w:spacing w:after="160" w:line="240" w:lineRule="auto"/>
    </w:pPr>
    <w:rPr>
      <w:sz w:val="24"/>
    </w:rPr>
  </w:style>
  <w:style w:type="paragraph" w:customStyle="1" w:styleId="86">
    <w:name w:val="封面标准文稿编辑信息"/>
    <w:basedOn w:val="85"/>
    <w:qFormat/>
    <w:uiPriority w:val="0"/>
    <w:pPr>
      <w:framePr w:wrap="around"/>
      <w:spacing w:before="180" w:line="180" w:lineRule="exact"/>
    </w:pPr>
    <w:rPr>
      <w:sz w:val="21"/>
    </w:rPr>
  </w:style>
  <w:style w:type="paragraph" w:customStyle="1" w:styleId="87">
    <w:name w:val="封面正文"/>
    <w:qFormat/>
    <w:uiPriority w:val="0"/>
    <w:pPr>
      <w:jc w:val="both"/>
    </w:pPr>
    <w:rPr>
      <w:rFonts w:ascii="Times New Roman" w:hAnsi="Times New Roman" w:eastAsia="宋体" w:cs="Times New Roman"/>
      <w:lang w:val="en-US" w:eastAsia="zh-CN" w:bidi="ar-SA"/>
    </w:rPr>
  </w:style>
  <w:style w:type="paragraph" w:customStyle="1" w:styleId="88">
    <w:name w:val="附录标识"/>
    <w:basedOn w:val="1"/>
    <w:next w:val="25"/>
    <w:link w:val="150"/>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9">
    <w:name w:val="附录标题"/>
    <w:basedOn w:val="25"/>
    <w:next w:val="25"/>
    <w:link w:val="149"/>
    <w:qFormat/>
    <w:uiPriority w:val="0"/>
    <w:pPr>
      <w:ind w:firstLine="0" w:firstLineChars="0"/>
      <w:jc w:val="center"/>
    </w:pPr>
    <w:rPr>
      <w:rFonts w:ascii="黑体" w:eastAsia="黑体"/>
    </w:rPr>
  </w:style>
  <w:style w:type="paragraph" w:customStyle="1" w:styleId="90">
    <w:name w:val="附录表标号"/>
    <w:basedOn w:val="1"/>
    <w:next w:val="25"/>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91">
    <w:name w:val="附录表标题"/>
    <w:basedOn w:val="1"/>
    <w:next w:val="25"/>
    <w:qFormat/>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92">
    <w:name w:val="附录二级条标题"/>
    <w:basedOn w:val="1"/>
    <w:next w:val="25"/>
    <w:qFormat/>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3">
    <w:name w:val="附录二级无"/>
    <w:basedOn w:val="92"/>
    <w:qFormat/>
    <w:uiPriority w:val="0"/>
    <w:pPr>
      <w:tabs>
        <w:tab w:val="clear" w:pos="360"/>
      </w:tabs>
      <w:spacing w:beforeLines="0" w:afterLines="0"/>
    </w:pPr>
    <w:rPr>
      <w:rFonts w:ascii="宋体" w:eastAsia="宋体"/>
      <w:szCs w:val="21"/>
    </w:rPr>
  </w:style>
  <w:style w:type="paragraph" w:customStyle="1" w:styleId="94">
    <w:name w:val="附录公式"/>
    <w:basedOn w:val="25"/>
    <w:next w:val="25"/>
    <w:link w:val="95"/>
    <w:qFormat/>
    <w:uiPriority w:val="0"/>
  </w:style>
  <w:style w:type="character" w:customStyle="1" w:styleId="95">
    <w:name w:val="附录公式 Char"/>
    <w:basedOn w:val="45"/>
    <w:link w:val="94"/>
    <w:qFormat/>
    <w:uiPriority w:val="0"/>
    <w:rPr>
      <w:rFonts w:ascii="宋体"/>
      <w:sz w:val="21"/>
      <w:lang w:val="en-US" w:eastAsia="zh-CN" w:bidi="ar-SA"/>
    </w:rPr>
  </w:style>
  <w:style w:type="paragraph" w:customStyle="1" w:styleId="96">
    <w:name w:val="附录公式编号制表符"/>
    <w:basedOn w:val="1"/>
    <w:next w:val="25"/>
    <w:qFormat/>
    <w:uiPriority w:val="0"/>
    <w:pPr>
      <w:widowControl/>
      <w:tabs>
        <w:tab w:val="center" w:pos="4201"/>
        <w:tab w:val="right" w:leader="dot" w:pos="9298"/>
      </w:tabs>
      <w:autoSpaceDE w:val="0"/>
      <w:autoSpaceDN w:val="0"/>
    </w:pPr>
    <w:rPr>
      <w:rFonts w:ascii="宋体"/>
      <w:kern w:val="0"/>
      <w:szCs w:val="20"/>
    </w:rPr>
  </w:style>
  <w:style w:type="paragraph" w:customStyle="1" w:styleId="97">
    <w:name w:val="附录三级条标题"/>
    <w:basedOn w:val="92"/>
    <w:next w:val="25"/>
    <w:qFormat/>
    <w:uiPriority w:val="0"/>
    <w:pPr>
      <w:numPr>
        <w:ilvl w:val="4"/>
      </w:numPr>
      <w:outlineLvl w:val="4"/>
    </w:pPr>
  </w:style>
  <w:style w:type="paragraph" w:customStyle="1" w:styleId="98">
    <w:name w:val="附录三级无"/>
    <w:basedOn w:val="97"/>
    <w:qFormat/>
    <w:uiPriority w:val="0"/>
    <w:pPr>
      <w:tabs>
        <w:tab w:val="clear" w:pos="360"/>
      </w:tabs>
      <w:spacing w:beforeLines="0" w:afterLines="0"/>
    </w:pPr>
    <w:rPr>
      <w:rFonts w:ascii="宋体" w:eastAsia="宋体"/>
      <w:szCs w:val="21"/>
    </w:rPr>
  </w:style>
  <w:style w:type="paragraph" w:customStyle="1" w:styleId="99">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100">
    <w:name w:val="附录四级条标题"/>
    <w:basedOn w:val="97"/>
    <w:next w:val="25"/>
    <w:qFormat/>
    <w:uiPriority w:val="0"/>
    <w:pPr>
      <w:numPr>
        <w:ilvl w:val="5"/>
      </w:numPr>
      <w:outlineLvl w:val="5"/>
    </w:pPr>
  </w:style>
  <w:style w:type="paragraph" w:customStyle="1" w:styleId="101">
    <w:name w:val="附录四级无"/>
    <w:basedOn w:val="100"/>
    <w:qFormat/>
    <w:uiPriority w:val="0"/>
    <w:pPr>
      <w:tabs>
        <w:tab w:val="clear" w:pos="360"/>
      </w:tabs>
      <w:spacing w:beforeLines="0" w:afterLines="0"/>
    </w:pPr>
    <w:rPr>
      <w:rFonts w:ascii="宋体" w:eastAsia="宋体"/>
      <w:szCs w:val="21"/>
    </w:rPr>
  </w:style>
  <w:style w:type="paragraph" w:customStyle="1" w:styleId="102">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3">
    <w:name w:val="附录图标题"/>
    <w:basedOn w:val="1"/>
    <w:next w:val="25"/>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104">
    <w:name w:val="附录五级条标题"/>
    <w:basedOn w:val="100"/>
    <w:next w:val="25"/>
    <w:qFormat/>
    <w:uiPriority w:val="0"/>
    <w:pPr>
      <w:numPr>
        <w:ilvl w:val="6"/>
      </w:numPr>
      <w:outlineLvl w:val="6"/>
    </w:pPr>
  </w:style>
  <w:style w:type="paragraph" w:customStyle="1" w:styleId="105">
    <w:name w:val="附录五级无"/>
    <w:basedOn w:val="104"/>
    <w:qFormat/>
    <w:uiPriority w:val="0"/>
    <w:pPr>
      <w:tabs>
        <w:tab w:val="clear" w:pos="360"/>
      </w:tabs>
      <w:spacing w:beforeLines="0" w:afterLines="0"/>
    </w:pPr>
    <w:rPr>
      <w:rFonts w:ascii="宋体" w:eastAsia="宋体"/>
      <w:szCs w:val="21"/>
    </w:rPr>
  </w:style>
  <w:style w:type="paragraph" w:customStyle="1" w:styleId="106">
    <w:name w:val="附录章标题"/>
    <w:next w:val="25"/>
    <w:qFormat/>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7">
    <w:name w:val="附录一级条标题"/>
    <w:basedOn w:val="106"/>
    <w:next w:val="25"/>
    <w:link w:val="148"/>
    <w:qFormat/>
    <w:uiPriority w:val="0"/>
    <w:pPr>
      <w:numPr>
        <w:ilvl w:val="2"/>
      </w:numPr>
      <w:autoSpaceDN w:val="0"/>
      <w:spacing w:beforeLines="50" w:afterLines="50"/>
      <w:outlineLvl w:val="2"/>
    </w:pPr>
  </w:style>
  <w:style w:type="paragraph" w:customStyle="1" w:styleId="108">
    <w:name w:val="附录一级无"/>
    <w:basedOn w:val="107"/>
    <w:qFormat/>
    <w:uiPriority w:val="0"/>
    <w:pPr>
      <w:tabs>
        <w:tab w:val="clear" w:pos="360"/>
      </w:tabs>
      <w:spacing w:beforeLines="0" w:afterLines="0"/>
    </w:pPr>
    <w:rPr>
      <w:rFonts w:ascii="宋体" w:eastAsia="宋体"/>
      <w:szCs w:val="21"/>
    </w:rPr>
  </w:style>
  <w:style w:type="paragraph" w:customStyle="1" w:styleId="109">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1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3">
    <w:name w:val="其他标准标志"/>
    <w:basedOn w:val="70"/>
    <w:qFormat/>
    <w:uiPriority w:val="0"/>
    <w:pPr>
      <w:framePr w:w="6101" w:wrap="around" w:vAnchor="page" w:hAnchor="page" w:x="4673" w:y="942"/>
    </w:pPr>
    <w:rPr>
      <w:w w:val="130"/>
    </w:rPr>
  </w:style>
  <w:style w:type="paragraph" w:customStyle="1" w:styleId="11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5">
    <w:name w:val="其他发布部门"/>
    <w:basedOn w:val="78"/>
    <w:qFormat/>
    <w:uiPriority w:val="0"/>
    <w:pPr>
      <w:framePr w:wrap="around" w:y="15310"/>
      <w:spacing w:line="0" w:lineRule="atLeast"/>
    </w:pPr>
    <w:rPr>
      <w:rFonts w:ascii="黑体" w:eastAsia="黑体"/>
      <w:b w:val="0"/>
    </w:rPr>
  </w:style>
  <w:style w:type="paragraph" w:customStyle="1" w:styleId="116">
    <w:name w:val="前言、引言标题"/>
    <w:next w:val="2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7">
    <w:name w:val="三级无"/>
    <w:basedOn w:val="55"/>
    <w:qFormat/>
    <w:uiPriority w:val="0"/>
    <w:pPr>
      <w:spacing w:beforeLines="0" w:afterLines="0"/>
    </w:pPr>
    <w:rPr>
      <w:rFonts w:ascii="宋体" w:eastAsia="宋体"/>
    </w:rPr>
  </w:style>
  <w:style w:type="paragraph" w:customStyle="1" w:styleId="118">
    <w:name w:val="实施日期"/>
    <w:qFormat/>
    <w:uiPriority w:val="0"/>
    <w:pPr>
      <w:framePr w:w="3997" w:h="471" w:hRule="exact" w:vSpace="181" w:wrap="around" w:vAnchor="page" w:hAnchor="page" w:x="7089" w:y="14097"/>
      <w:jc w:val="right"/>
    </w:pPr>
    <w:rPr>
      <w:rFonts w:ascii="Times New Roman" w:hAnsi="Times New Roman" w:eastAsia="黑体" w:cs="Times New Roman"/>
      <w:sz w:val="28"/>
      <w:lang w:val="en-US" w:eastAsia="zh-CN" w:bidi="ar-SA"/>
    </w:rPr>
  </w:style>
  <w:style w:type="paragraph" w:customStyle="1" w:styleId="119">
    <w:name w:val="示例后文字"/>
    <w:basedOn w:val="25"/>
    <w:next w:val="25"/>
    <w:qFormat/>
    <w:uiPriority w:val="0"/>
    <w:pPr>
      <w:ind w:firstLine="360"/>
    </w:pPr>
    <w:rPr>
      <w:sz w:val="18"/>
    </w:rPr>
  </w:style>
  <w:style w:type="paragraph" w:customStyle="1" w:styleId="120">
    <w:name w:val="首示例"/>
    <w:next w:val="25"/>
    <w:link w:val="121"/>
    <w:qFormat/>
    <w:uiPriority w:val="0"/>
    <w:pPr>
      <w:tabs>
        <w:tab w:val="left" w:pos="360"/>
      </w:tabs>
    </w:pPr>
    <w:rPr>
      <w:rFonts w:ascii="宋体" w:hAnsi="宋体" w:eastAsia="宋体" w:cs="Times New Roman"/>
      <w:kern w:val="2"/>
      <w:sz w:val="18"/>
      <w:szCs w:val="18"/>
      <w:lang w:val="en-US" w:eastAsia="zh-CN" w:bidi="ar-SA"/>
    </w:rPr>
  </w:style>
  <w:style w:type="character" w:customStyle="1" w:styleId="121">
    <w:name w:val="首示例 Char"/>
    <w:link w:val="120"/>
    <w:qFormat/>
    <w:uiPriority w:val="0"/>
    <w:rPr>
      <w:rFonts w:ascii="宋体" w:hAnsi="宋体"/>
      <w:kern w:val="2"/>
      <w:sz w:val="18"/>
      <w:szCs w:val="18"/>
    </w:rPr>
  </w:style>
  <w:style w:type="paragraph" w:customStyle="1" w:styleId="122">
    <w:name w:val="四级无"/>
    <w:basedOn w:val="59"/>
    <w:qFormat/>
    <w:uiPriority w:val="0"/>
    <w:pPr>
      <w:spacing w:beforeLines="0" w:afterLines="0"/>
    </w:pPr>
    <w:rPr>
      <w:rFonts w:ascii="宋体" w:eastAsia="宋体"/>
    </w:rPr>
  </w:style>
  <w:style w:type="paragraph" w:customStyle="1" w:styleId="123">
    <w:name w:val="条文脚注"/>
    <w:basedOn w:val="26"/>
    <w:qFormat/>
    <w:uiPriority w:val="0"/>
    <w:pPr>
      <w:numPr>
        <w:numId w:val="0"/>
      </w:numPr>
      <w:jc w:val="both"/>
    </w:pPr>
  </w:style>
  <w:style w:type="paragraph" w:customStyle="1" w:styleId="124">
    <w:name w:val="图标脚注说明"/>
    <w:basedOn w:val="25"/>
    <w:qFormat/>
    <w:uiPriority w:val="0"/>
    <w:pPr>
      <w:ind w:left="840" w:hanging="420" w:firstLineChars="0"/>
    </w:pPr>
    <w:rPr>
      <w:sz w:val="18"/>
      <w:szCs w:val="18"/>
    </w:rPr>
  </w:style>
  <w:style w:type="paragraph" w:customStyle="1" w:styleId="125">
    <w:name w:val="图表脚注说明"/>
    <w:basedOn w:val="1"/>
    <w:qFormat/>
    <w:uiPriority w:val="0"/>
    <w:pPr>
      <w:numPr>
        <w:ilvl w:val="0"/>
        <w:numId w:val="15"/>
      </w:numPr>
    </w:pPr>
    <w:rPr>
      <w:rFonts w:ascii="宋体"/>
      <w:sz w:val="18"/>
      <w:szCs w:val="18"/>
    </w:rPr>
  </w:style>
  <w:style w:type="paragraph" w:customStyle="1" w:styleId="126">
    <w:name w:val="图的脚注"/>
    <w:next w:val="25"/>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7">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8">
    <w:name w:val="五级无"/>
    <w:basedOn w:val="60"/>
    <w:qFormat/>
    <w:uiPriority w:val="0"/>
    <w:pPr>
      <w:spacing w:beforeLines="0" w:afterLines="0"/>
    </w:pPr>
    <w:rPr>
      <w:rFonts w:ascii="宋体" w:eastAsia="宋体"/>
    </w:rPr>
  </w:style>
  <w:style w:type="paragraph" w:customStyle="1" w:styleId="129">
    <w:name w:val="一级无"/>
    <w:basedOn w:val="46"/>
    <w:qFormat/>
    <w:uiPriority w:val="0"/>
    <w:pPr>
      <w:spacing w:beforeLines="0" w:afterLines="0"/>
    </w:pPr>
    <w:rPr>
      <w:rFonts w:ascii="宋体" w:eastAsia="宋体"/>
    </w:rPr>
  </w:style>
  <w:style w:type="paragraph" w:customStyle="1" w:styleId="130">
    <w:name w:val="正文表标题"/>
    <w:next w:val="25"/>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31">
    <w:name w:val="正文公式编号制表符"/>
    <w:basedOn w:val="25"/>
    <w:next w:val="25"/>
    <w:qFormat/>
    <w:uiPriority w:val="0"/>
    <w:pPr>
      <w:ind w:firstLine="0" w:firstLineChars="0"/>
    </w:pPr>
  </w:style>
  <w:style w:type="paragraph" w:customStyle="1" w:styleId="132">
    <w:name w:val="正文图标题"/>
    <w:next w:val="25"/>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33">
    <w:name w:val="终结线"/>
    <w:basedOn w:val="1"/>
    <w:qFormat/>
    <w:uiPriority w:val="0"/>
    <w:pPr>
      <w:framePr w:hSpace="181" w:vSpace="181" w:wrap="around" w:vAnchor="text" w:hAnchor="margin" w:xAlign="center" w:y="285"/>
    </w:pPr>
  </w:style>
  <w:style w:type="paragraph" w:customStyle="1" w:styleId="134">
    <w:name w:val="其他发布日期"/>
    <w:qFormat/>
    <w:uiPriority w:val="0"/>
    <w:pPr>
      <w:framePr w:w="3997" w:h="471" w:hRule="exact" w:vSpace="181" w:wrap="around" w:vAnchor="page" w:hAnchor="page" w:x="1419" w:y="14097" w:anchorLock="1"/>
    </w:pPr>
    <w:rPr>
      <w:rFonts w:ascii="Times New Roman" w:hAnsi="Times New Roman" w:eastAsia="黑体" w:cs="Times New Roman"/>
      <w:sz w:val="28"/>
      <w:lang w:val="en-US" w:eastAsia="zh-CN" w:bidi="ar-SA"/>
    </w:rPr>
  </w:style>
  <w:style w:type="paragraph" w:customStyle="1" w:styleId="135">
    <w:name w:val="其他实施日期"/>
    <w:basedOn w:val="118"/>
    <w:qFormat/>
    <w:uiPriority w:val="0"/>
    <w:pPr>
      <w:framePr w:wrap="around"/>
    </w:pPr>
  </w:style>
  <w:style w:type="paragraph" w:customStyle="1" w:styleId="136">
    <w:name w:val="封面标准名称2"/>
    <w:basedOn w:val="82"/>
    <w:qFormat/>
    <w:uiPriority w:val="0"/>
    <w:pPr>
      <w:framePr w:wrap="around" w:y="4469"/>
      <w:spacing w:beforeLines="630"/>
    </w:pPr>
  </w:style>
  <w:style w:type="paragraph" w:customStyle="1" w:styleId="137">
    <w:name w:val="封面标准英文名称2"/>
    <w:basedOn w:val="83"/>
    <w:qFormat/>
    <w:uiPriority w:val="0"/>
    <w:pPr>
      <w:framePr w:wrap="around" w:y="4469"/>
    </w:pPr>
  </w:style>
  <w:style w:type="paragraph" w:customStyle="1" w:styleId="138">
    <w:name w:val="封面一致性程度标识2"/>
    <w:basedOn w:val="84"/>
    <w:qFormat/>
    <w:uiPriority w:val="0"/>
    <w:pPr>
      <w:framePr w:wrap="around" w:y="4469"/>
    </w:pPr>
  </w:style>
  <w:style w:type="paragraph" w:customStyle="1" w:styleId="139">
    <w:name w:val="封面标准文稿类别2"/>
    <w:basedOn w:val="85"/>
    <w:qFormat/>
    <w:uiPriority w:val="0"/>
    <w:pPr>
      <w:framePr w:wrap="around" w:y="4469"/>
    </w:pPr>
  </w:style>
  <w:style w:type="paragraph" w:customStyle="1" w:styleId="140">
    <w:name w:val="封面标准文稿编辑信息2"/>
    <w:basedOn w:val="86"/>
    <w:qFormat/>
    <w:uiPriority w:val="0"/>
    <w:pPr>
      <w:framePr w:wrap="around" w:y="4469"/>
    </w:pPr>
  </w:style>
  <w:style w:type="paragraph" w:customStyle="1" w:styleId="141">
    <w:name w:val="标准名称"/>
    <w:basedOn w:val="54"/>
    <w:link w:val="144"/>
    <w:qFormat/>
    <w:uiPriority w:val="0"/>
  </w:style>
  <w:style w:type="character" w:styleId="142">
    <w:name w:val="Placeholder Text"/>
    <w:basedOn w:val="37"/>
    <w:semiHidden/>
    <w:qFormat/>
    <w:uiPriority w:val="99"/>
    <w:rPr>
      <w:color w:val="808080"/>
    </w:rPr>
  </w:style>
  <w:style w:type="character" w:customStyle="1" w:styleId="143">
    <w:name w:val="目次、标准名称标题 Char"/>
    <w:basedOn w:val="37"/>
    <w:link w:val="54"/>
    <w:qFormat/>
    <w:uiPriority w:val="0"/>
    <w:rPr>
      <w:rFonts w:ascii="黑体" w:eastAsia="黑体"/>
      <w:sz w:val="32"/>
      <w:shd w:val="clear" w:color="FFFFFF" w:fill="FFFFFF"/>
    </w:rPr>
  </w:style>
  <w:style w:type="character" w:customStyle="1" w:styleId="144">
    <w:name w:val="标准名称 Char"/>
    <w:basedOn w:val="143"/>
    <w:link w:val="141"/>
    <w:qFormat/>
    <w:uiPriority w:val="0"/>
    <w:rPr>
      <w:rFonts w:ascii="黑体" w:eastAsia="黑体"/>
      <w:sz w:val="32"/>
      <w:shd w:val="clear" w:color="FFFFFF" w:fill="FFFFFF"/>
    </w:rPr>
  </w:style>
  <w:style w:type="character" w:customStyle="1" w:styleId="145">
    <w:name w:val="批注框文本 字符"/>
    <w:basedOn w:val="37"/>
    <w:link w:val="18"/>
    <w:qFormat/>
    <w:uiPriority w:val="0"/>
    <w:rPr>
      <w:kern w:val="2"/>
      <w:sz w:val="18"/>
      <w:szCs w:val="18"/>
    </w:rPr>
  </w:style>
  <w:style w:type="character" w:customStyle="1" w:styleId="146">
    <w:name w:val="未处理的提及1"/>
    <w:basedOn w:val="37"/>
    <w:semiHidden/>
    <w:unhideWhenUsed/>
    <w:qFormat/>
    <w:uiPriority w:val="99"/>
    <w:rPr>
      <w:color w:val="605E5C"/>
      <w:shd w:val="clear" w:color="auto" w:fill="E1DFDD"/>
    </w:rPr>
  </w:style>
  <w:style w:type="table" w:customStyle="1" w:styleId="147">
    <w:name w:val="网格型11"/>
    <w:basedOn w:val="35"/>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8">
    <w:name w:val="附录一级条标题 Char"/>
    <w:link w:val="107"/>
    <w:qFormat/>
    <w:uiPriority w:val="0"/>
    <w:rPr>
      <w:rFonts w:ascii="黑体" w:eastAsia="黑体"/>
      <w:kern w:val="21"/>
      <w:sz w:val="21"/>
    </w:rPr>
  </w:style>
  <w:style w:type="character" w:customStyle="1" w:styleId="149">
    <w:name w:val="附录标题 Char"/>
    <w:link w:val="89"/>
    <w:qFormat/>
    <w:uiPriority w:val="0"/>
    <w:rPr>
      <w:rFonts w:ascii="黑体" w:eastAsia="黑体"/>
    </w:rPr>
  </w:style>
  <w:style w:type="character" w:customStyle="1" w:styleId="150">
    <w:name w:val="附录标识 Char"/>
    <w:link w:val="88"/>
    <w:qFormat/>
    <w:uiPriority w:val="0"/>
    <w:rPr>
      <w:rFonts w:ascii="黑体" w:eastAsia="黑体"/>
      <w:sz w:val="21"/>
      <w:shd w:val="clear" w:color="FFFFFF" w:fill="FFFFFF"/>
    </w:rPr>
  </w:style>
  <w:style w:type="paragraph" w:styleId="151">
    <w:name w:val="List Paragraph"/>
    <w:basedOn w:val="1"/>
    <w:qFormat/>
    <w:uiPriority w:val="34"/>
    <w:pPr>
      <w:ind w:firstLine="420" w:firstLineChars="200"/>
    </w:pPr>
    <w:rPr>
      <w:rFonts w:ascii="Calibri" w:hAnsi="Calibri"/>
      <w:szCs w:val="22"/>
    </w:rPr>
  </w:style>
  <w:style w:type="paragraph" w:customStyle="1" w:styleId="152">
    <w:name w:val="Body text|1"/>
    <w:basedOn w:val="1"/>
    <w:qFormat/>
    <w:uiPriority w:val="0"/>
    <w:pPr>
      <w:spacing w:line="329" w:lineRule="auto"/>
      <w:ind w:firstLine="400"/>
      <w:jc w:val="left"/>
    </w:pPr>
    <w:rPr>
      <w:rFonts w:ascii="宋体" w:hAnsi="宋体" w:cs="宋体"/>
      <w:sz w:val="20"/>
      <w:szCs w:val="20"/>
      <w:lang w:val="zh-TW" w:eastAsia="zh-TW" w:bidi="zh-TW"/>
    </w:rPr>
  </w:style>
  <w:style w:type="character" w:customStyle="1" w:styleId="153">
    <w:name w:val="注： Char"/>
    <w:link w:val="61"/>
    <w:qFormat/>
    <w:uiPriority w:val="0"/>
    <w:rPr>
      <w:rFonts w:ascii="宋体"/>
      <w:sz w:val="18"/>
      <w:szCs w:val="18"/>
    </w:rPr>
  </w:style>
  <w:style w:type="character" w:customStyle="1" w:styleId="154">
    <w:name w:val="字母编号列项（一级） Char"/>
    <w:link w:val="63"/>
    <w:qFormat/>
    <w:uiPriority w:val="0"/>
    <w:rPr>
      <w:rFonts w:ascii="宋体"/>
      <w:sz w:val="21"/>
    </w:rPr>
  </w:style>
  <w:style w:type="character" w:customStyle="1" w:styleId="155">
    <w:name w:val="fontstyle01"/>
    <w:basedOn w:val="37"/>
    <w:qFormat/>
    <w:uiPriority w:val="0"/>
    <w:rPr>
      <w:rFonts w:hint="eastAsia" w:ascii="宋体" w:hAnsi="宋体" w:eastAsia="宋体"/>
      <w:color w:val="000000"/>
      <w:sz w:val="24"/>
      <w:szCs w:val="24"/>
    </w:rPr>
  </w:style>
  <w:style w:type="paragraph" w:customStyle="1" w:styleId="156">
    <w:name w:val="WPSOffice手动目录 1"/>
    <w:qFormat/>
    <w:uiPriority w:val="0"/>
    <w:rPr>
      <w:rFonts w:ascii="Times New Roman" w:hAnsi="Times New Roman" w:eastAsia="宋体" w:cs="Times New Roman"/>
      <w:lang w:val="en-US" w:eastAsia="zh-CN" w:bidi="ar-SA"/>
    </w:rPr>
  </w:style>
  <w:style w:type="paragraph" w:customStyle="1" w:styleId="157">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58">
    <w:name w:val="批注文字 字符"/>
    <w:basedOn w:val="37"/>
    <w:link w:val="9"/>
    <w:semiHidden/>
    <w:qFormat/>
    <w:uiPriority w:val="0"/>
    <w:rPr>
      <w:kern w:val="2"/>
      <w:sz w:val="21"/>
      <w:szCs w:val="24"/>
    </w:rPr>
  </w:style>
  <w:style w:type="character" w:customStyle="1" w:styleId="159">
    <w:name w:val="批注主题 字符"/>
    <w:basedOn w:val="158"/>
    <w:link w:val="34"/>
    <w:semiHidden/>
    <w:qFormat/>
    <w:uiPriority w:val="0"/>
    <w:rPr>
      <w:b/>
      <w:bCs/>
      <w:kern w:val="2"/>
      <w:sz w:val="21"/>
      <w:szCs w:val="24"/>
    </w:rPr>
  </w:style>
  <w:style w:type="paragraph" w:customStyle="1" w:styleId="160">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161">
    <w:name w:val="标题 1 字符"/>
    <w:basedOn w:val="37"/>
    <w:link w:val="2"/>
    <w:qFormat/>
    <w:uiPriority w:val="0"/>
    <w:rPr>
      <w:b/>
      <w:bCs/>
      <w:kern w:val="44"/>
      <w:sz w:val="44"/>
      <w:szCs w:val="44"/>
    </w:rPr>
  </w:style>
  <w:style w:type="paragraph" w:customStyle="1" w:styleId="162">
    <w:name w:val="TOC 标题1"/>
    <w:basedOn w:val="2"/>
    <w:next w:val="1"/>
    <w:semiHidden/>
    <w:unhideWhenUsed/>
    <w:qFormat/>
    <w:uiPriority w:val="39"/>
    <w:pPr>
      <w:outlineLvl w:val="9"/>
    </w:pPr>
  </w:style>
  <w:style w:type="paragraph" w:customStyle="1" w:styleId="163">
    <w:name w:val="标准文件_段"/>
    <w:link w:val="17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4">
    <w:name w:val="标准文件_二级条标题"/>
    <w:next w:val="163"/>
    <w:qFormat/>
    <w:uiPriority w:val="0"/>
    <w:pPr>
      <w:widowControl w:val="0"/>
      <w:spacing w:beforeLines="50" w:afterLines="50"/>
      <w:jc w:val="both"/>
      <w:outlineLvl w:val="2"/>
    </w:pPr>
    <w:rPr>
      <w:rFonts w:ascii="黑体" w:hAnsi="Times New Roman" w:eastAsia="黑体" w:cs="Times New Roman"/>
      <w:sz w:val="21"/>
      <w:lang w:val="en-US" w:eastAsia="zh-CN" w:bidi="ar-SA"/>
    </w:rPr>
  </w:style>
  <w:style w:type="paragraph" w:customStyle="1" w:styleId="165">
    <w:name w:val="标准文件_三级条标题"/>
    <w:basedOn w:val="164"/>
    <w:next w:val="163"/>
    <w:qFormat/>
    <w:uiPriority w:val="0"/>
    <w:pPr>
      <w:widowControl/>
      <w:outlineLvl w:val="3"/>
    </w:pPr>
  </w:style>
  <w:style w:type="paragraph" w:customStyle="1" w:styleId="166">
    <w:name w:val="标准文件_四级条标题"/>
    <w:next w:val="163"/>
    <w:qFormat/>
    <w:uiPriority w:val="0"/>
    <w:pPr>
      <w:widowControl w:val="0"/>
      <w:spacing w:beforeLines="50" w:afterLines="50"/>
      <w:jc w:val="both"/>
      <w:outlineLvl w:val="4"/>
    </w:pPr>
    <w:rPr>
      <w:rFonts w:ascii="黑体" w:hAnsi="Times New Roman" w:eastAsia="黑体" w:cs="Times New Roman"/>
      <w:sz w:val="21"/>
      <w:lang w:val="en-US" w:eastAsia="zh-CN" w:bidi="ar-SA"/>
    </w:rPr>
  </w:style>
  <w:style w:type="paragraph" w:customStyle="1" w:styleId="167">
    <w:name w:val="标准文件_五级条标题"/>
    <w:next w:val="163"/>
    <w:qFormat/>
    <w:uiPriority w:val="0"/>
    <w:pPr>
      <w:widowControl w:val="0"/>
      <w:spacing w:beforeLines="50" w:afterLines="50"/>
      <w:jc w:val="both"/>
      <w:outlineLvl w:val="5"/>
    </w:pPr>
    <w:rPr>
      <w:rFonts w:ascii="黑体" w:hAnsi="Times New Roman" w:eastAsia="黑体" w:cs="Times New Roman"/>
      <w:sz w:val="21"/>
      <w:lang w:val="en-US" w:eastAsia="zh-CN" w:bidi="ar-SA"/>
    </w:rPr>
  </w:style>
  <w:style w:type="paragraph" w:customStyle="1" w:styleId="168">
    <w:name w:val="标准文件_章标题"/>
    <w:next w:val="163"/>
    <w:qFormat/>
    <w:uiPriority w:val="0"/>
    <w:pPr>
      <w:spacing w:beforeLines="100" w:afterLines="100"/>
      <w:jc w:val="both"/>
      <w:outlineLvl w:val="0"/>
    </w:pPr>
    <w:rPr>
      <w:rFonts w:ascii="黑体" w:hAnsi="Times New Roman" w:eastAsia="黑体" w:cs="Times New Roman"/>
      <w:sz w:val="21"/>
      <w:lang w:val="en-US" w:eastAsia="zh-CN" w:bidi="ar-SA"/>
    </w:rPr>
  </w:style>
  <w:style w:type="paragraph" w:customStyle="1" w:styleId="169">
    <w:name w:val="标准文件_一级条标题"/>
    <w:basedOn w:val="168"/>
    <w:next w:val="163"/>
    <w:qFormat/>
    <w:uiPriority w:val="0"/>
    <w:pPr>
      <w:spacing w:beforeLines="50" w:afterLines="50"/>
      <w:outlineLvl w:val="1"/>
    </w:pPr>
  </w:style>
  <w:style w:type="paragraph" w:customStyle="1" w:styleId="170">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character" w:customStyle="1" w:styleId="171">
    <w:name w:val="标准文件_段 Char"/>
    <w:link w:val="163"/>
    <w:qFormat/>
    <w:uiPriority w:val="0"/>
    <w:rPr>
      <w:rFonts w:ascii="宋体"/>
      <w:sz w:val="21"/>
    </w:rPr>
  </w:style>
  <w:style w:type="paragraph" w:customStyle="1" w:styleId="172">
    <w:name w:val="标准文件_术语条一"/>
    <w:basedOn w:val="1"/>
    <w:next w:val="163"/>
    <w:qFormat/>
    <w:uiPriority w:val="0"/>
    <w:pPr>
      <w:widowControl/>
      <w:numPr>
        <w:ilvl w:val="2"/>
        <w:numId w:val="2"/>
      </w:numPr>
    </w:pPr>
    <w:rPr>
      <w:rFonts w:ascii="宋体"/>
      <w:kern w:val="0"/>
      <w:szCs w:val="20"/>
    </w:rPr>
  </w:style>
  <w:style w:type="paragraph" w:customStyle="1" w:styleId="173">
    <w:name w:val="标准文件_一级无标题"/>
    <w:basedOn w:val="169"/>
    <w:qFormat/>
    <w:uiPriority w:val="0"/>
    <w:pPr>
      <w:numPr>
        <w:ilvl w:val="2"/>
        <w:numId w:val="1"/>
      </w:numPr>
      <w:spacing w:beforeLines="0" w:afterLines="0"/>
      <w:ind w:left="283"/>
      <w:outlineLvl w:val="9"/>
    </w:pPr>
    <w:rPr>
      <w:rFonts w:ascii="宋体" w:eastAsia="宋体"/>
    </w:rPr>
  </w:style>
  <w:style w:type="paragraph" w:customStyle="1" w:styleId="174">
    <w:name w:val="标准文件_二级无标题"/>
    <w:basedOn w:val="164"/>
    <w:qFormat/>
    <w:uiPriority w:val="0"/>
    <w:pPr>
      <w:spacing w:beforeLines="0" w:afterLines="0"/>
      <w:outlineLvl w:val="9"/>
    </w:pPr>
    <w:rPr>
      <w:rFonts w:ascii="宋体" w:eastAsia="宋体"/>
    </w:rPr>
  </w:style>
  <w:style w:type="paragraph" w:customStyle="1" w:styleId="175">
    <w:name w:val="标准文件_三级无标题"/>
    <w:basedOn w:val="165"/>
    <w:qFormat/>
    <w:uiPriority w:val="0"/>
    <w:pPr>
      <w:spacing w:beforeLines="0" w:afterLines="0"/>
      <w:outlineLvl w:val="9"/>
    </w:pPr>
    <w:rPr>
      <w:rFonts w:ascii="宋体" w:eastAsia="宋体"/>
    </w:rPr>
  </w:style>
  <w:style w:type="character" w:customStyle="1" w:styleId="176">
    <w:name w:val="Char Style 27"/>
    <w:basedOn w:val="37"/>
    <w:link w:val="177"/>
    <w:qFormat/>
    <w:uiPriority w:val="0"/>
    <w:rPr>
      <w:rFonts w:ascii="宋体" w:hAnsi="宋体" w:cs="宋体"/>
    </w:rPr>
  </w:style>
  <w:style w:type="paragraph" w:customStyle="1" w:styleId="177">
    <w:name w:val="Style 26"/>
    <w:basedOn w:val="1"/>
    <w:link w:val="176"/>
    <w:qFormat/>
    <w:uiPriority w:val="0"/>
    <w:pPr>
      <w:spacing w:line="319" w:lineRule="auto"/>
      <w:ind w:firstLine="400"/>
      <w:jc w:val="left"/>
    </w:pPr>
    <w:rPr>
      <w:rFonts w:ascii="宋体" w:hAnsi="宋体" w:cs="宋体"/>
      <w:kern w:val="0"/>
      <w:sz w:val="20"/>
      <w:szCs w:val="20"/>
    </w:rPr>
  </w:style>
  <w:style w:type="character" w:customStyle="1" w:styleId="178">
    <w:name w:val="Char Style 3"/>
    <w:basedOn w:val="37"/>
    <w:link w:val="179"/>
    <w:qFormat/>
    <w:uiPriority w:val="0"/>
  </w:style>
  <w:style w:type="paragraph" w:customStyle="1" w:styleId="179">
    <w:name w:val="Style 2"/>
    <w:basedOn w:val="1"/>
    <w:link w:val="178"/>
    <w:qFormat/>
    <w:uiPriority w:val="0"/>
    <w:pPr>
      <w:spacing w:after="60" w:line="319" w:lineRule="auto"/>
      <w:jc w:val="left"/>
    </w:pPr>
    <w:rPr>
      <w:kern w:val="0"/>
      <w:sz w:val="20"/>
      <w:szCs w:val="20"/>
    </w:rPr>
  </w:style>
  <w:style w:type="character" w:customStyle="1" w:styleId="180">
    <w:name w:val="Char Style 20"/>
    <w:basedOn w:val="37"/>
    <w:link w:val="181"/>
    <w:qFormat/>
    <w:uiPriority w:val="0"/>
  </w:style>
  <w:style w:type="paragraph" w:customStyle="1" w:styleId="181">
    <w:name w:val="Style 19"/>
    <w:basedOn w:val="1"/>
    <w:link w:val="180"/>
    <w:qFormat/>
    <w:uiPriority w:val="0"/>
    <w:pPr>
      <w:jc w:val="left"/>
    </w:pPr>
    <w:rPr>
      <w:kern w:val="0"/>
      <w:sz w:val="20"/>
      <w:szCs w:val="20"/>
    </w:rPr>
  </w:style>
  <w:style w:type="character" w:customStyle="1" w:styleId="182">
    <w:name w:val="Char Style 33"/>
    <w:basedOn w:val="37"/>
    <w:link w:val="183"/>
    <w:qFormat/>
    <w:uiPriority w:val="0"/>
    <w:rPr>
      <w:rFonts w:ascii="宋体" w:hAnsi="宋体" w:cs="宋体"/>
    </w:rPr>
  </w:style>
  <w:style w:type="paragraph" w:customStyle="1" w:styleId="183">
    <w:name w:val="Style 32"/>
    <w:basedOn w:val="1"/>
    <w:link w:val="182"/>
    <w:qFormat/>
    <w:uiPriority w:val="0"/>
    <w:pPr>
      <w:jc w:val="left"/>
    </w:pPr>
    <w:rPr>
      <w:rFonts w:ascii="宋体" w:hAnsi="宋体" w:cs="宋体"/>
      <w:kern w:val="0"/>
      <w:sz w:val="20"/>
      <w:szCs w:val="20"/>
    </w:rPr>
  </w:style>
  <w:style w:type="character" w:customStyle="1" w:styleId="184">
    <w:name w:val="Char Style 36"/>
    <w:basedOn w:val="37"/>
    <w:link w:val="185"/>
    <w:qFormat/>
    <w:uiPriority w:val="0"/>
    <w:rPr>
      <w:rFonts w:ascii="宋体" w:hAnsi="宋体" w:cs="宋体"/>
    </w:rPr>
  </w:style>
  <w:style w:type="paragraph" w:customStyle="1" w:styleId="185">
    <w:name w:val="Style 35"/>
    <w:basedOn w:val="1"/>
    <w:link w:val="184"/>
    <w:qFormat/>
    <w:uiPriority w:val="0"/>
    <w:pPr>
      <w:spacing w:line="319" w:lineRule="auto"/>
      <w:ind w:firstLine="400"/>
      <w:jc w:val="left"/>
    </w:pPr>
    <w:rPr>
      <w:rFonts w:ascii="宋体" w:hAnsi="宋体" w:cs="宋体"/>
      <w:kern w:val="0"/>
      <w:sz w:val="20"/>
      <w:szCs w:val="20"/>
    </w:rPr>
  </w:style>
  <w:style w:type="paragraph" w:customStyle="1" w:styleId="18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187">
    <w:name w:val="日期 字符"/>
    <w:basedOn w:val="37"/>
    <w:link w:val="16"/>
    <w:semiHidden/>
    <w:qFormat/>
    <w:uiPriority w:val="0"/>
    <w:rPr>
      <w:kern w:val="2"/>
      <w:sz w:val="21"/>
      <w:szCs w:val="24"/>
    </w:rPr>
  </w:style>
  <w:style w:type="paragraph" w:customStyle="1" w:styleId="188">
    <w:name w:val="国标-正文"/>
    <w:basedOn w:val="1"/>
    <w:qFormat/>
    <w:uiPriority w:val="0"/>
    <w:pPr>
      <w:autoSpaceDE w:val="0"/>
      <w:autoSpaceDN w:val="0"/>
      <w:adjustRightInd w:val="0"/>
      <w:spacing w:line="360" w:lineRule="auto"/>
      <w:jc w:val="left"/>
    </w:pPr>
    <w:rPr>
      <w:bCs/>
      <w:kern w:val="0"/>
      <w:sz w:val="24"/>
      <w:szCs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emf"/><Relationship Id="rId17" Type="http://schemas.openxmlformats.org/officeDocument/2006/relationships/package" Target="embeddings/Microsoft_Visio___1.vsdx"/><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6F4A03-CE3F-4E58-9CDD-CCB04D448391}">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18</Pages>
  <Words>11198</Words>
  <Characters>12267</Characters>
  <Lines>103</Lines>
  <Paragraphs>29</Paragraphs>
  <TotalTime>0</TotalTime>
  <ScaleCrop>false</ScaleCrop>
  <LinksUpToDate>false</LinksUpToDate>
  <CharactersWithSpaces>12759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2024-09-27T01:30:00Z</dcterms:created>
  <dc:creator>Pixianwen</dc:creator>
  <cp:lastModifiedBy>Xy</cp:lastModifiedBy>
  <cp:lastPrinted>2020-12-22T05:02:00Z</cp:lastPrinted>
  <dcterms:modified xsi:type="dcterms:W3CDTF">2024-09-29T01:39:22Z</dcterms:modified>
  <dc:title>标准名称</dc:title>
  <cp:revision>187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_2015_ms_pID_725343">
    <vt:lpwstr>(3)RjmDTJqrtZi3crUDpbm5vjlvYNRlhm7Qxc1SCOhlCkHugTHVQFLMaWYl9f4Onriz6pmL0S93
jKk7IXYH8HGhH6W4nyuZfUays7QrPLCmuzBMoVCrDqOPOgSUFOgg4CiJMud9TEJsAgg/MQ4M
n4FlwL/2wl6Ygz4cviAY07rxPuv/xBjresgDlJxN8JmMHvffpCAkujscM4Nd3m/17ILXcx6w
i27AzKUJFLd6Xp9CEx</vt:lpwstr>
  </property>
  <property fmtid="{D5CDD505-2E9C-101B-9397-08002B2CF9AE}" pid="4" name="_2015_ms_pID_7253431">
    <vt:lpwstr>GcdpX6Op6Mp8FLegJwI1G44RW/OkhEyXtMYZppiRhqklUWksUzz64g
BHp6cILruqJXn0nlFUJA+s+9wxbugTpeZq8eet0o1LdzQnvhsI9fDeV2IePQTZtNHlXINTEu
6sxJhmOnhx2CPk4tWhxGVQE2xk95t8aikidnlvHkBJQF3LMfFDoQMJASwzAKf+8GEhWrN0Wg
AgMrdluJHHERrGOjWfi9TpG5z5TfAs4rOA+y</vt:lpwstr>
  </property>
  <property fmtid="{D5CDD505-2E9C-101B-9397-08002B2CF9AE}" pid="5" name="_2015_ms_pID_7253432">
    <vt:lpwstr>Upql21i8zxzRIOFUntwyqu8=</vt:lpwstr>
  </property>
  <property fmtid="{D5CDD505-2E9C-101B-9397-08002B2CF9AE}" pid="6" name="ICV">
    <vt:lpwstr>A31A5A4576624E328148186490CAD1E3_12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1725933961</vt:lpwstr>
  </property>
</Properties>
</file>