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DE1BA">
      <w:pPr>
        <w:adjustRightInd w:val="0"/>
        <w:spacing w:line="360" w:lineRule="auto"/>
        <w:jc w:val="center"/>
        <w:rPr>
          <w:rFonts w:ascii="黑体" w:hAnsi="黑体" w:eastAsia="黑体"/>
          <w:sz w:val="32"/>
          <w:szCs w:val="32"/>
        </w:rPr>
      </w:pPr>
      <w:r>
        <w:rPr>
          <w:rFonts w:hint="eastAsia" w:ascii="黑体" w:hAnsi="黑体" w:eastAsia="黑体"/>
          <w:sz w:val="32"/>
          <w:szCs w:val="32"/>
        </w:rPr>
        <w:t>CCAA团体</w:t>
      </w:r>
      <w:r>
        <w:rPr>
          <w:rFonts w:ascii="黑体" w:hAnsi="黑体" w:eastAsia="黑体"/>
          <w:sz w:val="32"/>
          <w:szCs w:val="32"/>
        </w:rPr>
        <w:t>标准草案编制说明</w:t>
      </w:r>
    </w:p>
    <w:p w14:paraId="6C6A3C3D">
      <w:pPr>
        <w:autoSpaceDE w:val="0"/>
        <w:autoSpaceDN w:val="0"/>
        <w:adjustRightInd w:val="0"/>
        <w:jc w:val="center"/>
        <w:rPr>
          <w:rFonts w:asciiTheme="minorEastAsia" w:hAnsiTheme="minorEastAsia"/>
          <w:color w:val="000000"/>
          <w:szCs w:val="21"/>
        </w:rPr>
      </w:pPr>
      <w:r>
        <w:rPr>
          <w:rFonts w:hint="eastAsia" w:asciiTheme="minorEastAsia" w:hAnsiTheme="minorEastAsia"/>
          <w:color w:val="000000"/>
          <w:szCs w:val="21"/>
        </w:rPr>
        <w:t xml:space="preserve"> </w:t>
      </w:r>
    </w:p>
    <w:tbl>
      <w:tblPr>
        <w:tblStyle w:val="10"/>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70"/>
        <w:gridCol w:w="538"/>
        <w:gridCol w:w="3573"/>
        <w:gridCol w:w="1276"/>
        <w:gridCol w:w="2126"/>
      </w:tblGrid>
      <w:tr w14:paraId="2413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tcPr>
          <w:p w14:paraId="07004972">
            <w:pPr>
              <w:jc w:val="center"/>
              <w:rPr>
                <w:rFonts w:ascii="Times New Roman" w:hAnsi="Times New Roman" w:eastAsia="宋体" w:cs="Times New Roman"/>
              </w:rPr>
            </w:pPr>
            <w:r>
              <w:rPr>
                <w:rFonts w:ascii="Times New Roman" w:hAnsi="Times New Roman" w:eastAsia="宋体" w:cs="Times New Roman"/>
                <w:b/>
                <w:color w:val="000000"/>
                <w:sz w:val="28"/>
                <w:szCs w:val="28"/>
              </w:rPr>
              <w:t>基本信息</w:t>
            </w:r>
          </w:p>
        </w:tc>
      </w:tr>
      <w:tr w14:paraId="0B6F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restart"/>
          </w:tcPr>
          <w:p w14:paraId="7714B4EE">
            <w:pPr>
              <w:rPr>
                <w:rFonts w:ascii="Times New Roman" w:hAnsi="Times New Roman" w:eastAsia="宋体" w:cs="Times New Roman"/>
              </w:rPr>
            </w:pPr>
            <w:r>
              <w:rPr>
                <w:rFonts w:ascii="Times New Roman" w:hAnsi="Times New Roman" w:eastAsia="宋体" w:cs="Times New Roman"/>
                <w:color w:val="000000"/>
                <w:szCs w:val="21"/>
              </w:rPr>
              <w:t>标准草案名称</w:t>
            </w:r>
          </w:p>
        </w:tc>
        <w:tc>
          <w:tcPr>
            <w:tcW w:w="708" w:type="dxa"/>
            <w:gridSpan w:val="2"/>
            <w:vAlign w:val="center"/>
          </w:tcPr>
          <w:p w14:paraId="2E8BF213">
            <w:pPr>
              <w:jc w:val="center"/>
              <w:rPr>
                <w:rFonts w:ascii="Times New Roman" w:hAnsi="Times New Roman" w:eastAsia="宋体" w:cs="Times New Roman"/>
              </w:rPr>
            </w:pPr>
            <w:r>
              <w:rPr>
                <w:rFonts w:ascii="Times New Roman" w:hAnsi="Times New Roman" w:eastAsia="宋体" w:cs="Times New Roman"/>
                <w:color w:val="000000"/>
                <w:szCs w:val="21"/>
              </w:rPr>
              <w:t>中文</w:t>
            </w:r>
          </w:p>
        </w:tc>
        <w:tc>
          <w:tcPr>
            <w:tcW w:w="6975" w:type="dxa"/>
            <w:gridSpan w:val="3"/>
            <w:vAlign w:val="center"/>
          </w:tcPr>
          <w:p w14:paraId="1DE27A41">
            <w:pPr>
              <w:rPr>
                <w:rFonts w:ascii="Times New Roman" w:hAnsi="Times New Roman" w:eastAsia="宋体" w:cs="Times New Roman"/>
              </w:rPr>
            </w:pPr>
            <w:r>
              <w:rPr>
                <w:rFonts w:hint="eastAsia" w:ascii="Times New Roman" w:hAnsi="Times New Roman" w:eastAsia="宋体" w:cs="Times New Roman"/>
                <w:lang w:val="en-US" w:eastAsia="zh-CN"/>
              </w:rPr>
              <w:t>模块化</w:t>
            </w:r>
            <w:r>
              <w:rPr>
                <w:rFonts w:hint="eastAsia" w:ascii="Times New Roman" w:hAnsi="Times New Roman" w:eastAsia="宋体" w:cs="Times New Roman"/>
              </w:rPr>
              <w:t>数据中心</w:t>
            </w:r>
            <w:r>
              <w:rPr>
                <w:rFonts w:hint="eastAsia" w:ascii="Times New Roman" w:hAnsi="Times New Roman" w:eastAsia="宋体" w:cs="Times New Roman"/>
                <w:lang w:val="en-US" w:eastAsia="zh-CN"/>
              </w:rPr>
              <w:t>产品</w:t>
            </w:r>
            <w:r>
              <w:rPr>
                <w:rFonts w:hint="eastAsia" w:ascii="Times New Roman" w:hAnsi="Times New Roman" w:eastAsia="宋体" w:cs="Times New Roman"/>
              </w:rPr>
              <w:t>评价要求</w:t>
            </w:r>
          </w:p>
        </w:tc>
      </w:tr>
      <w:tr w14:paraId="5E0B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continue"/>
          </w:tcPr>
          <w:p w14:paraId="382278DC">
            <w:pPr>
              <w:rPr>
                <w:rFonts w:ascii="Times New Roman" w:hAnsi="Times New Roman" w:eastAsia="宋体" w:cs="Times New Roman"/>
              </w:rPr>
            </w:pPr>
          </w:p>
        </w:tc>
        <w:tc>
          <w:tcPr>
            <w:tcW w:w="708" w:type="dxa"/>
            <w:gridSpan w:val="2"/>
            <w:vAlign w:val="center"/>
          </w:tcPr>
          <w:p w14:paraId="647F2DED">
            <w:pPr>
              <w:jc w:val="center"/>
              <w:rPr>
                <w:rFonts w:ascii="Times New Roman" w:hAnsi="Times New Roman" w:eastAsia="宋体" w:cs="Times New Roman"/>
              </w:rPr>
            </w:pPr>
            <w:r>
              <w:rPr>
                <w:rFonts w:ascii="Times New Roman" w:hAnsi="Times New Roman" w:eastAsia="宋体" w:cs="Times New Roman"/>
                <w:color w:val="000000"/>
                <w:szCs w:val="21"/>
              </w:rPr>
              <w:t>英文</w:t>
            </w:r>
          </w:p>
        </w:tc>
        <w:tc>
          <w:tcPr>
            <w:tcW w:w="6975" w:type="dxa"/>
            <w:gridSpan w:val="3"/>
            <w:vAlign w:val="center"/>
          </w:tcPr>
          <w:p w14:paraId="5BB63997">
            <w:pPr>
              <w:rPr>
                <w:rFonts w:hint="eastAsia" w:ascii="Times New Roman" w:hAnsi="Times New Roman" w:eastAsia="宋体" w:cs="Times New Roman"/>
                <w:lang w:val="en-US" w:eastAsia="zh-CN"/>
              </w:rPr>
            </w:pPr>
            <w:r>
              <w:rPr>
                <w:rFonts w:hint="eastAsia" w:ascii="Times New Roman" w:hAnsi="Times New Roman" w:eastAsia="宋体" w:cs="Times New Roman"/>
              </w:rPr>
              <w:t>Evaluation standard of modular data center product</w:t>
            </w:r>
            <w:r>
              <w:rPr>
                <w:rFonts w:hint="eastAsia" w:ascii="Times New Roman" w:hAnsi="Times New Roman" w:eastAsia="宋体" w:cs="Times New Roman"/>
                <w:lang w:val="en-US" w:eastAsia="zh-CN"/>
              </w:rPr>
              <w:t>s</w:t>
            </w:r>
          </w:p>
        </w:tc>
      </w:tr>
      <w:tr w14:paraId="6E86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3E9E68F9">
            <w:pPr>
              <w:rPr>
                <w:rFonts w:ascii="Times New Roman" w:hAnsi="Times New Roman" w:eastAsia="宋体" w:cs="Times New Roman"/>
              </w:rPr>
            </w:pPr>
            <w:r>
              <w:rPr>
                <w:rFonts w:ascii="Times New Roman" w:hAnsi="Times New Roman" w:eastAsia="宋体" w:cs="Times New Roman"/>
                <w:color w:val="000000"/>
                <w:szCs w:val="21"/>
              </w:rPr>
              <w:t>项目类型</w:t>
            </w:r>
          </w:p>
        </w:tc>
        <w:tc>
          <w:tcPr>
            <w:tcW w:w="4281" w:type="dxa"/>
            <w:gridSpan w:val="3"/>
            <w:vAlign w:val="center"/>
          </w:tcPr>
          <w:p w14:paraId="00439242">
            <w:pPr>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sym w:font="Wingdings 2" w:char="F052"/>
            </w:r>
            <w:r>
              <w:rPr>
                <w:rFonts w:ascii="Times New Roman" w:hAnsi="Times New Roman" w:eastAsia="宋体" w:cs="Times New Roman"/>
                <w:snapToGrid w:val="0"/>
                <w:color w:val="000000"/>
                <w:kern w:val="0"/>
                <w:szCs w:val="21"/>
              </w:rPr>
              <w:t>制定     □修订</w:t>
            </w:r>
          </w:p>
          <w:p w14:paraId="513698E9">
            <w:pPr>
              <w:jc w:val="center"/>
              <w:rPr>
                <w:rFonts w:ascii="Times New Roman" w:hAnsi="Times New Roman" w:eastAsia="宋体" w:cs="Times New Roman"/>
              </w:rPr>
            </w:pPr>
            <w:r>
              <w:rPr>
                <w:rFonts w:ascii="Times New Roman" w:hAnsi="Times New Roman" w:eastAsia="宋体" w:cs="Times New Roman"/>
                <w:szCs w:val="21"/>
              </w:rPr>
              <w:t>（被修订标准名称及编号：          ）</w:t>
            </w:r>
          </w:p>
        </w:tc>
        <w:tc>
          <w:tcPr>
            <w:tcW w:w="1276" w:type="dxa"/>
          </w:tcPr>
          <w:p w14:paraId="2A1F3E3F">
            <w:pPr>
              <w:jc w:val="center"/>
              <w:rPr>
                <w:rFonts w:ascii="Times New Roman" w:hAnsi="Times New Roman" w:eastAsia="宋体" w:cs="Times New Roman"/>
              </w:rPr>
            </w:pPr>
            <w:r>
              <w:rPr>
                <w:rFonts w:ascii="Times New Roman" w:hAnsi="Times New Roman" w:eastAsia="宋体" w:cs="Times New Roman"/>
                <w:color w:val="000000"/>
                <w:szCs w:val="21"/>
              </w:rPr>
              <w:t>计划编号</w:t>
            </w:r>
          </w:p>
        </w:tc>
        <w:tc>
          <w:tcPr>
            <w:tcW w:w="2126" w:type="dxa"/>
          </w:tcPr>
          <w:p w14:paraId="03A97A2C">
            <w:pPr>
              <w:rPr>
                <w:rFonts w:hint="eastAsia" w:ascii="Times New Roman" w:hAnsi="Times New Roman" w:eastAsia="宋体" w:cs="Times New Roman"/>
                <w:szCs w:val="21"/>
                <w:lang w:eastAsia="zh-CN"/>
              </w:rPr>
            </w:pPr>
            <w:r>
              <w:rPr>
                <w:rFonts w:hint="eastAsia" w:ascii="Times New Roman" w:hAnsi="Times New Roman" w:eastAsia="宋体" w:cs="Times New Roman"/>
                <w:szCs w:val="21"/>
              </w:rPr>
              <w:t>2024TB026</w:t>
            </w:r>
          </w:p>
        </w:tc>
      </w:tr>
      <w:tr w14:paraId="21B8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00521C14">
            <w:pPr>
              <w:rPr>
                <w:rFonts w:ascii="Times New Roman" w:hAnsi="Times New Roman" w:eastAsia="宋体" w:cs="Times New Roman"/>
                <w:color w:val="000000"/>
                <w:szCs w:val="21"/>
              </w:rPr>
            </w:pPr>
            <w:r>
              <w:rPr>
                <w:rFonts w:ascii="Times New Roman" w:hAnsi="Times New Roman" w:eastAsia="宋体" w:cs="Times New Roman"/>
                <w:color w:val="000000"/>
                <w:szCs w:val="21"/>
              </w:rPr>
              <w:t>起止时间</w:t>
            </w:r>
          </w:p>
        </w:tc>
        <w:tc>
          <w:tcPr>
            <w:tcW w:w="7683" w:type="dxa"/>
            <w:gridSpan w:val="5"/>
            <w:vAlign w:val="center"/>
          </w:tcPr>
          <w:p w14:paraId="03B8BCE5">
            <w:pPr>
              <w:jc w:val="center"/>
              <w:rPr>
                <w:rFonts w:hint="default" w:ascii="Times New Roman" w:hAnsi="Times New Roman" w:eastAsia="宋体" w:cs="Times New Roman"/>
                <w:szCs w:val="21"/>
                <w:lang w:val="en-US" w:eastAsia="zh-CN"/>
              </w:rPr>
            </w:pPr>
            <w:r>
              <w:rPr>
                <w:rFonts w:ascii="Times New Roman" w:hAnsi="Times New Roman" w:eastAsia="宋体" w:cs="Times New Roman"/>
                <w:color w:val="000000"/>
                <w:szCs w:val="21"/>
              </w:rPr>
              <w:t>202</w:t>
            </w:r>
            <w:r>
              <w:rPr>
                <w:rFonts w:hint="eastAsia" w:ascii="Times New Roman" w:hAnsi="Times New Roman" w:eastAsia="宋体" w:cs="Times New Roman"/>
                <w:color w:val="000000"/>
                <w:szCs w:val="21"/>
                <w:lang w:val="en-US" w:eastAsia="zh-CN"/>
              </w:rPr>
              <w:t>4</w:t>
            </w:r>
            <w:r>
              <w:rPr>
                <w:rFonts w:ascii="Times New Roman" w:hAnsi="Times New Roman" w:eastAsia="宋体" w:cs="Times New Roman"/>
                <w:color w:val="000000"/>
                <w:szCs w:val="21"/>
              </w:rPr>
              <w:t>年</w:t>
            </w:r>
            <w:r>
              <w:rPr>
                <w:rFonts w:hint="eastAsia" w:ascii="Times New Roman" w:hAnsi="Times New Roman" w:eastAsia="宋体" w:cs="Times New Roman"/>
                <w:color w:val="000000"/>
                <w:szCs w:val="21"/>
                <w:lang w:val="en-US" w:eastAsia="zh-CN"/>
              </w:rPr>
              <w:t>8</w:t>
            </w:r>
            <w:r>
              <w:rPr>
                <w:rFonts w:ascii="Times New Roman" w:hAnsi="Times New Roman" w:eastAsia="宋体" w:cs="Times New Roman"/>
                <w:color w:val="000000"/>
                <w:szCs w:val="21"/>
              </w:rPr>
              <w:t>月</w:t>
            </w:r>
            <w:r>
              <w:rPr>
                <w:rFonts w:hint="eastAsia" w:ascii="Times New Roman" w:hAnsi="Times New Roman" w:eastAsia="宋体" w:cs="Times New Roman"/>
                <w:color w:val="000000"/>
                <w:szCs w:val="21"/>
                <w:lang w:val="en-US" w:eastAsia="zh-CN"/>
              </w:rPr>
              <w:t xml:space="preserve">5日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lang w:val="en-US" w:eastAsia="zh-CN"/>
              </w:rPr>
              <w:t xml:space="preserve"> </w:t>
            </w:r>
            <w:r>
              <w:rPr>
                <w:rFonts w:ascii="Times New Roman" w:hAnsi="Times New Roman" w:eastAsia="宋体" w:cs="Times New Roman"/>
                <w:color w:val="000000"/>
                <w:szCs w:val="21"/>
              </w:rPr>
              <w:t>202</w:t>
            </w:r>
            <w:r>
              <w:rPr>
                <w:rFonts w:hint="eastAsia" w:ascii="Times New Roman" w:hAnsi="Times New Roman" w:eastAsia="宋体" w:cs="Times New Roman"/>
                <w:color w:val="000000"/>
                <w:szCs w:val="21"/>
                <w:lang w:val="en-US" w:eastAsia="zh-CN"/>
              </w:rPr>
              <w:t>4</w:t>
            </w:r>
            <w:r>
              <w:rPr>
                <w:rFonts w:ascii="Times New Roman" w:hAnsi="Times New Roman" w:eastAsia="宋体" w:cs="Times New Roman"/>
                <w:color w:val="000000"/>
                <w:szCs w:val="21"/>
              </w:rPr>
              <w:t>年</w:t>
            </w:r>
            <w:r>
              <w:rPr>
                <w:rFonts w:hint="eastAsia" w:ascii="Times New Roman" w:hAnsi="Times New Roman" w:eastAsia="宋体" w:cs="Times New Roman"/>
                <w:color w:val="000000"/>
                <w:szCs w:val="21"/>
                <w:lang w:val="en-US" w:eastAsia="zh-CN"/>
              </w:rPr>
              <w:t>9</w:t>
            </w:r>
            <w:r>
              <w:rPr>
                <w:rFonts w:ascii="Times New Roman" w:hAnsi="Times New Roman" w:eastAsia="宋体" w:cs="Times New Roman"/>
                <w:color w:val="000000"/>
                <w:szCs w:val="21"/>
              </w:rPr>
              <w:t>月</w:t>
            </w:r>
            <w:r>
              <w:rPr>
                <w:rFonts w:hint="eastAsia" w:ascii="Times New Roman" w:hAnsi="Times New Roman" w:eastAsia="宋体" w:cs="Times New Roman"/>
                <w:color w:val="000000"/>
                <w:szCs w:val="21"/>
                <w:lang w:val="en-US" w:eastAsia="zh-CN"/>
              </w:rPr>
              <w:t>29日</w:t>
            </w:r>
          </w:p>
        </w:tc>
      </w:tr>
      <w:tr w14:paraId="7E21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0D34829C">
            <w:pPr>
              <w:rPr>
                <w:rFonts w:ascii="Times New Roman" w:hAnsi="Times New Roman" w:eastAsia="宋体" w:cs="Times New Roman"/>
                <w:color w:val="000000"/>
                <w:szCs w:val="21"/>
              </w:rPr>
            </w:pPr>
            <w:r>
              <w:rPr>
                <w:rFonts w:ascii="Times New Roman" w:hAnsi="Times New Roman" w:eastAsia="宋体" w:cs="Times New Roman"/>
                <w:color w:val="000000"/>
                <w:szCs w:val="21"/>
              </w:rPr>
              <w:t>标准起草单位</w:t>
            </w:r>
          </w:p>
        </w:tc>
        <w:tc>
          <w:tcPr>
            <w:tcW w:w="7683" w:type="dxa"/>
            <w:gridSpan w:val="5"/>
            <w:vAlign w:val="center"/>
          </w:tcPr>
          <w:p w14:paraId="57FD451A">
            <w:pPr>
              <w:jc w:val="left"/>
              <w:rPr>
                <w:rFonts w:ascii="Times New Roman" w:hAnsi="Times New Roman" w:eastAsia="宋体" w:cs="Times New Roman"/>
                <w:szCs w:val="21"/>
              </w:rPr>
            </w:pPr>
            <w:r>
              <w:rPr>
                <w:rFonts w:hint="eastAsia" w:ascii="Times New Roman" w:hAnsi="Times New Roman" w:eastAsia="宋体" w:cs="Times New Roman"/>
                <w:szCs w:val="21"/>
              </w:rPr>
              <w:t>中国质量认证中心</w:t>
            </w:r>
            <w:r>
              <w:rPr>
                <w:rFonts w:hint="eastAsia" w:ascii="Times New Roman" w:hAnsi="Times New Roman" w:eastAsia="宋体" w:cs="Times New Roman"/>
                <w:szCs w:val="21"/>
                <w:lang w:val="en-US" w:eastAsia="zh-CN"/>
              </w:rPr>
              <w:t>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中国计量科学研究院</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中国认证认可协会、</w:t>
            </w:r>
            <w:r>
              <w:rPr>
                <w:rFonts w:hint="eastAsia" w:ascii="Times New Roman" w:hAnsi="Times New Roman" w:eastAsia="宋体" w:cs="Times New Roman"/>
                <w:szCs w:val="21"/>
              </w:rPr>
              <w:t>华为数字能源技术有限公司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西藏自治区信息资源中心</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住房和城乡建设部信息中心</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中国建筑标准设计研究院有限公司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中国电信股份有限公司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上海上证数据服务有限责任公司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人保信息科技有限公司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中国海关科学技术研究中心</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成方金融信息技术服务有限公司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北京中科合盈数据科技有限公司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北京中航信柏润科技有限公司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中通维易科技服务有限公司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华章数据技术有限公司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北京大学计算中心</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中国医学科学院北京协和医院</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中国质量认证中心有限公司华南实验室</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北京中认检测技术服务有限公司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工业和信息化部电子第五研究所计量检测中心</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中国电子技术标准化研究院绿色发展研究中心</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中讯邮电咨询设计院有限公司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上海迪佑拂科技咨询服务有限公司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安而信检测技术有限公司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公诚管理咨询有限公司</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北京中科仙络智算科技股份有限公司</w:t>
            </w:r>
            <w:r>
              <w:rPr>
                <w:rFonts w:hint="eastAsia" w:ascii="Times New Roman" w:hAnsi="Times New Roman" w:eastAsia="宋体" w:cs="Times New Roman"/>
                <w:szCs w:val="21"/>
                <w:lang w:val="en-US" w:eastAsia="zh-CN"/>
              </w:rPr>
              <w:t>等</w:t>
            </w:r>
            <w:r>
              <w:rPr>
                <w:rFonts w:hint="eastAsia" w:ascii="Times New Roman" w:hAnsi="Times New Roman" w:eastAsia="宋体" w:cs="Times New Roman"/>
                <w:szCs w:val="21"/>
              </w:rPr>
              <w:t>。</w:t>
            </w:r>
          </w:p>
        </w:tc>
      </w:tr>
      <w:tr w14:paraId="611F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18F689C4">
            <w:pPr>
              <w:rPr>
                <w:rFonts w:ascii="Times New Roman" w:hAnsi="Times New Roman" w:eastAsia="宋体" w:cs="Times New Roman"/>
                <w:color w:val="000000"/>
                <w:szCs w:val="21"/>
              </w:rPr>
            </w:pPr>
            <w:r>
              <w:rPr>
                <w:rFonts w:ascii="Times New Roman" w:hAnsi="Times New Roman" w:eastAsia="宋体" w:cs="Times New Roman"/>
                <w:color w:val="000000"/>
                <w:szCs w:val="21"/>
              </w:rPr>
              <w:t>起草组成员</w:t>
            </w:r>
          </w:p>
        </w:tc>
        <w:tc>
          <w:tcPr>
            <w:tcW w:w="7683" w:type="dxa"/>
            <w:gridSpan w:val="5"/>
            <w:vAlign w:val="center"/>
          </w:tcPr>
          <w:p w14:paraId="5F5F31AA">
            <w:pPr>
              <w:pStyle w:val="19"/>
              <w:rPr>
                <w:rFonts w:hAnsi="宋体" w:eastAsia="宋体" w:cs="Times New Roman"/>
                <w:szCs w:val="21"/>
              </w:rPr>
            </w:pPr>
            <w:r>
              <w:rPr>
                <w:rFonts w:hint="eastAsia" w:hAnsi="宋体" w:eastAsia="宋体" w:cs="Times New Roman"/>
                <w:szCs w:val="21"/>
                <w:lang w:val="en-US" w:eastAsia="zh-CN"/>
              </w:rPr>
              <w:t>陈凯、</w:t>
            </w:r>
            <w:r>
              <w:rPr>
                <w:rFonts w:hint="eastAsia" w:hAnsi="宋体" w:eastAsia="宋体" w:cs="Times New Roman"/>
                <w:szCs w:val="21"/>
                <w:highlight w:val="none"/>
                <w:lang w:val="en-US" w:eastAsia="zh-CN"/>
              </w:rPr>
              <w:t>郑涓、沈庆飞、王亚宁、</w:t>
            </w:r>
            <w:r>
              <w:rPr>
                <w:rFonts w:hint="eastAsia" w:hAnsi="宋体" w:eastAsia="宋体" w:cs="Times New Roman"/>
                <w:szCs w:val="21"/>
                <w:lang w:val="en-US" w:eastAsia="zh-CN"/>
              </w:rPr>
              <w:t>李宝宇、张开、赵俊鹏、摆世虎、赵国辉、吴晓晖、许轶、陈乔乔、许书琪、吕玉峰、丁俨、郭振、康海军、陈太伟、郭校年、郑越凯、尚群、苏博、陈鹏、罗宇舟、汪丽娟、陈玥、徐为、马文涛、肖鑫、倪圣健、樊朝阳、鹿福祥、苏军、苏陈奇、齐庆瑞、徐钧、张凯博、徐浩洋、孙宇</w:t>
            </w:r>
            <w:r>
              <w:rPr>
                <w:rFonts w:hint="eastAsia" w:hAnsi="宋体" w:eastAsia="宋体" w:cs="Times New Roman"/>
                <w:szCs w:val="21"/>
              </w:rPr>
              <w:t>等</w:t>
            </w:r>
          </w:p>
        </w:tc>
      </w:tr>
      <w:tr w14:paraId="5768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478C2804">
            <w:pPr>
              <w:rPr>
                <w:rFonts w:ascii="Times New Roman" w:hAnsi="Times New Roman" w:eastAsia="宋体" w:cs="Times New Roman"/>
                <w:color w:val="000000"/>
                <w:szCs w:val="21"/>
              </w:rPr>
            </w:pPr>
            <w:r>
              <w:rPr>
                <w:rFonts w:ascii="Times New Roman" w:hAnsi="Times New Roman" w:eastAsia="宋体" w:cs="Times New Roman"/>
                <w:color w:val="000000"/>
                <w:szCs w:val="21"/>
              </w:rPr>
              <w:t>项目调整情况</w:t>
            </w:r>
          </w:p>
        </w:tc>
        <w:tc>
          <w:tcPr>
            <w:tcW w:w="7683" w:type="dxa"/>
            <w:gridSpan w:val="5"/>
            <w:vAlign w:val="center"/>
          </w:tcPr>
          <w:p w14:paraId="14973E0C">
            <w:pPr>
              <w:jc w:val="left"/>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无</w:t>
            </w:r>
          </w:p>
        </w:tc>
      </w:tr>
      <w:tr w14:paraId="47C5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2EF804FD">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背景、目的和意义</w:t>
            </w:r>
          </w:p>
        </w:tc>
      </w:tr>
      <w:tr w14:paraId="6694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1E328F3C">
            <w:pPr>
              <w:rPr>
                <w:rFonts w:ascii="Times New Roman" w:hAnsi="Times New Roman" w:eastAsia="宋体" w:cs="Times New Roman"/>
                <w:color w:val="000000"/>
                <w:szCs w:val="21"/>
              </w:rPr>
            </w:pPr>
            <w:r>
              <w:rPr>
                <w:rFonts w:ascii="Times New Roman" w:hAnsi="Times New Roman" w:eastAsia="宋体" w:cs="Times New Roman"/>
                <w:color w:val="000000"/>
                <w:szCs w:val="21"/>
              </w:rPr>
              <w:t>背景</w:t>
            </w:r>
          </w:p>
        </w:tc>
        <w:tc>
          <w:tcPr>
            <w:tcW w:w="7683" w:type="dxa"/>
            <w:gridSpan w:val="5"/>
            <w:vAlign w:val="center"/>
          </w:tcPr>
          <w:p w14:paraId="4BDA2281">
            <w:pPr>
              <w:ind w:firstLine="420" w:firstLineChars="200"/>
              <w:jc w:val="left"/>
              <w:rPr>
                <w:rFonts w:hint="eastAsia" w:hAnsi="宋体" w:eastAsia="宋体" w:cs="Times New Roman"/>
                <w:szCs w:val="21"/>
                <w:lang w:eastAsia="zh-CN"/>
              </w:rPr>
            </w:pPr>
            <w:r>
              <w:rPr>
                <w:rFonts w:hint="eastAsia" w:hAnsi="宋体" w:eastAsia="宋体" w:cs="Times New Roman"/>
                <w:szCs w:val="21"/>
              </w:rPr>
              <w:t>近年来，在“新基建”和“东数西算”等战略的引领下，《“十四五”数字经济发展规划》以及《新型数据中心发展三年行动计划（2021-2023）》等政策的支撑下，数据中心行业的发展模式逐渐从“高速”发展转为“高质”发展，数据中心朝着模块化、绿色化的方向不断演进，模块化数据中心凭借其低碳节能的环保属性、快速便捷的部署模式、灵活可调的配置策略，已经成为越来越多数据中心用户优先选择的解决方案</w:t>
            </w:r>
            <w:r>
              <w:rPr>
                <w:rFonts w:hint="eastAsia" w:hAnsi="宋体" w:eastAsia="宋体" w:cs="Times New Roman"/>
                <w:szCs w:val="21"/>
                <w:lang w:eastAsia="zh-CN"/>
              </w:rPr>
              <w:t>。</w:t>
            </w:r>
          </w:p>
        </w:tc>
      </w:tr>
      <w:tr w14:paraId="7E34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2342EAB4">
            <w:pPr>
              <w:rPr>
                <w:rFonts w:ascii="Times New Roman" w:hAnsi="Times New Roman" w:eastAsia="宋体" w:cs="Times New Roman"/>
                <w:color w:val="000000"/>
                <w:szCs w:val="21"/>
              </w:rPr>
            </w:pPr>
            <w:r>
              <w:rPr>
                <w:rFonts w:ascii="Times New Roman" w:hAnsi="Times New Roman" w:eastAsia="宋体" w:cs="Times New Roman"/>
                <w:color w:val="000000"/>
                <w:szCs w:val="21"/>
              </w:rPr>
              <w:t>目的</w:t>
            </w:r>
          </w:p>
        </w:tc>
        <w:tc>
          <w:tcPr>
            <w:tcW w:w="7683" w:type="dxa"/>
            <w:gridSpan w:val="5"/>
            <w:vAlign w:val="center"/>
          </w:tcPr>
          <w:p w14:paraId="2B6C59CE">
            <w:pPr>
              <w:spacing w:after="156" w:afterLines="50"/>
              <w:ind w:firstLine="420" w:firstLineChars="200"/>
              <w:rPr>
                <w:rFonts w:ascii="Times New Roman" w:hAnsi="Times New Roman" w:eastAsia="宋体" w:cs="Times New Roman"/>
              </w:rPr>
            </w:pPr>
            <w:r>
              <w:rPr>
                <w:rFonts w:hint="eastAsia" w:ascii="Times New Roman" w:hAnsi="Times New Roman" w:eastAsia="宋体" w:cs="Times New Roman"/>
                <w:lang w:val="en-US" w:eastAsia="zh-CN"/>
              </w:rPr>
              <w:t>模块化数据中心采用模块化设计理念，集成了供配电、制冷、机柜、气流遏制、动环监控等子系统，提高数据中心的整体运营效率，实现快速部署、弹性扩展和绿色节能。但现有标准少有针对模块化数据中心产品的认证分级</w:t>
            </w:r>
            <w:bookmarkStart w:id="1" w:name="_GoBack"/>
            <w:bookmarkEnd w:id="1"/>
            <w:r>
              <w:rPr>
                <w:rFonts w:hint="eastAsia" w:ascii="Times New Roman" w:hAnsi="Times New Roman" w:eastAsia="宋体" w:cs="Times New Roman"/>
                <w:lang w:val="en-US" w:eastAsia="zh-CN"/>
              </w:rPr>
              <w:t>评价方法，不利于模块化产品的推广和应用。</w:t>
            </w:r>
            <w:r>
              <w:rPr>
                <w:rFonts w:hint="eastAsia" w:ascii="Times New Roman" w:hAnsi="Times New Roman" w:eastAsia="宋体" w:cs="Times New Roman"/>
              </w:rPr>
              <w:t>为提升我国</w:t>
            </w:r>
            <w:r>
              <w:rPr>
                <w:rFonts w:hint="eastAsia" w:ascii="Times New Roman" w:hAnsi="Times New Roman" w:eastAsia="宋体" w:cs="Times New Roman"/>
                <w:lang w:val="en-US" w:eastAsia="zh-CN"/>
              </w:rPr>
              <w:t>模块化</w:t>
            </w:r>
            <w:r>
              <w:rPr>
                <w:rFonts w:hint="eastAsia" w:ascii="Times New Roman" w:hAnsi="Times New Roman" w:eastAsia="宋体" w:cs="Times New Roman"/>
              </w:rPr>
              <w:t>数据中心</w:t>
            </w:r>
            <w:r>
              <w:rPr>
                <w:rFonts w:hint="eastAsia" w:ascii="Times New Roman" w:hAnsi="Times New Roman" w:eastAsia="宋体" w:cs="Times New Roman"/>
                <w:lang w:val="en-US" w:eastAsia="zh-CN"/>
              </w:rPr>
              <w:t>产品</w:t>
            </w:r>
            <w:r>
              <w:rPr>
                <w:rFonts w:hint="eastAsia" w:ascii="Times New Roman" w:hAnsi="Times New Roman" w:eastAsia="宋体" w:cs="Times New Roman"/>
              </w:rPr>
              <w:t>的</w:t>
            </w:r>
            <w:r>
              <w:rPr>
                <w:rFonts w:hint="eastAsia" w:ascii="Times New Roman" w:hAnsi="Times New Roman" w:eastAsia="宋体" w:cs="Times New Roman"/>
                <w:lang w:val="en-US" w:eastAsia="zh-CN"/>
              </w:rPr>
              <w:t>交付</w:t>
            </w:r>
            <w:r>
              <w:rPr>
                <w:rFonts w:hint="eastAsia" w:ascii="Times New Roman" w:hAnsi="Times New Roman" w:eastAsia="宋体" w:cs="Times New Roman"/>
              </w:rPr>
              <w:t>质量，推动测试方法的科学化、标准化、规范化发展，促进数据中心高质量发展，亟需</w:t>
            </w:r>
            <w:r>
              <w:rPr>
                <w:rFonts w:hint="eastAsia" w:ascii="Times New Roman" w:hAnsi="Times New Roman" w:eastAsia="宋体" w:cs="Times New Roman"/>
                <w:lang w:val="en-US" w:eastAsia="zh-CN"/>
              </w:rPr>
              <w:t>以</w:t>
            </w:r>
            <w:r>
              <w:rPr>
                <w:rFonts w:hint="eastAsia" w:ascii="Times New Roman" w:hAnsi="Times New Roman" w:eastAsia="宋体" w:cs="Times New Roman"/>
              </w:rPr>
              <w:t>模块化数据中心产品</w:t>
            </w:r>
            <w:r>
              <w:rPr>
                <w:rFonts w:hint="eastAsia" w:ascii="Times New Roman" w:hAnsi="Times New Roman" w:eastAsia="宋体" w:cs="Times New Roman"/>
                <w:lang w:val="en-US" w:eastAsia="zh-CN"/>
              </w:rPr>
              <w:t>为</w:t>
            </w:r>
            <w:r>
              <w:rPr>
                <w:rFonts w:hint="eastAsia" w:ascii="Times New Roman" w:hAnsi="Times New Roman" w:eastAsia="宋体" w:cs="Times New Roman"/>
              </w:rPr>
              <w:t>评价</w:t>
            </w:r>
            <w:r>
              <w:rPr>
                <w:rFonts w:hint="eastAsia" w:ascii="Times New Roman" w:hAnsi="Times New Roman" w:eastAsia="宋体" w:cs="Times New Roman"/>
                <w:lang w:val="en-US" w:eastAsia="zh-CN"/>
              </w:rPr>
              <w:t>对象，</w:t>
            </w:r>
            <w:r>
              <w:rPr>
                <w:rFonts w:hint="eastAsia" w:ascii="Times New Roman" w:hAnsi="Times New Roman" w:eastAsia="宋体" w:cs="Times New Roman"/>
              </w:rPr>
              <w:t>建立统一的技术要求、检测方法和评级规则。</w:t>
            </w:r>
          </w:p>
        </w:tc>
      </w:tr>
      <w:tr w14:paraId="73F4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14:paraId="7B7BA868">
            <w:pPr>
              <w:rPr>
                <w:rFonts w:ascii="Times New Roman" w:hAnsi="Times New Roman" w:eastAsia="宋体" w:cs="Times New Roman"/>
                <w:color w:val="000000"/>
                <w:szCs w:val="21"/>
              </w:rPr>
            </w:pPr>
            <w:r>
              <w:rPr>
                <w:rFonts w:ascii="Times New Roman" w:hAnsi="Times New Roman" w:eastAsia="宋体" w:cs="Times New Roman"/>
                <w:color w:val="000000"/>
                <w:szCs w:val="21"/>
              </w:rPr>
              <w:t>意义</w:t>
            </w:r>
          </w:p>
        </w:tc>
        <w:tc>
          <w:tcPr>
            <w:tcW w:w="7683" w:type="dxa"/>
            <w:gridSpan w:val="5"/>
            <w:vAlign w:val="center"/>
          </w:tcPr>
          <w:p w14:paraId="2129FCA7">
            <w:pPr>
              <w:ind w:firstLine="420" w:firstLineChars="200"/>
              <w:jc w:val="left"/>
              <w:rPr>
                <w:rFonts w:hAnsi="宋体" w:eastAsia="宋体" w:cs="Times New Roman"/>
                <w:szCs w:val="21"/>
              </w:rPr>
            </w:pPr>
            <w:r>
              <w:rPr>
                <w:rFonts w:hint="eastAsia" w:hAnsi="宋体" w:eastAsia="宋体" w:cs="Times New Roman"/>
                <w:szCs w:val="21"/>
              </w:rPr>
              <w:t>本标准明确了</w:t>
            </w:r>
            <w:r>
              <w:rPr>
                <w:rFonts w:hint="eastAsia" w:hAnsi="宋体" w:eastAsia="宋体" w:cs="Times New Roman"/>
                <w:szCs w:val="21"/>
                <w:lang w:val="en-US" w:eastAsia="zh-CN"/>
              </w:rPr>
              <w:t>模块化</w:t>
            </w:r>
            <w:r>
              <w:rPr>
                <w:rFonts w:hint="eastAsia" w:hAnsi="宋体" w:eastAsia="宋体" w:cs="Times New Roman"/>
                <w:szCs w:val="21"/>
              </w:rPr>
              <w:t>数据中心</w:t>
            </w:r>
            <w:r>
              <w:rPr>
                <w:rFonts w:hint="eastAsia" w:hAnsi="宋体" w:eastAsia="宋体" w:cs="Times New Roman"/>
                <w:szCs w:val="21"/>
                <w:lang w:val="en-US" w:eastAsia="zh-CN"/>
              </w:rPr>
              <w:t>产品的技术要求</w:t>
            </w:r>
            <w:r>
              <w:rPr>
                <w:rFonts w:hint="eastAsia" w:hAnsi="宋体" w:eastAsia="宋体" w:cs="Times New Roman"/>
                <w:szCs w:val="21"/>
              </w:rPr>
              <w:t>，提出了</w:t>
            </w:r>
            <w:r>
              <w:rPr>
                <w:rFonts w:hint="eastAsia" w:hAnsi="宋体" w:eastAsia="宋体" w:cs="Times New Roman"/>
                <w:szCs w:val="21"/>
                <w:lang w:eastAsia="zh-CN"/>
              </w:rPr>
              <w:t>针对</w:t>
            </w:r>
            <w:r>
              <w:rPr>
                <w:rFonts w:hint="eastAsia" w:hAnsi="宋体" w:eastAsia="宋体" w:cs="Times New Roman"/>
                <w:szCs w:val="21"/>
                <w:lang w:val="en-US" w:eastAsia="zh-CN"/>
              </w:rPr>
              <w:t>模块化产品</w:t>
            </w:r>
            <w:r>
              <w:rPr>
                <w:rFonts w:hint="eastAsia" w:hAnsi="宋体" w:eastAsia="宋体" w:cs="Times New Roman"/>
                <w:szCs w:val="21"/>
                <w:lang w:eastAsia="zh-CN"/>
              </w:rPr>
              <w:t>的统一测试</w:t>
            </w:r>
            <w:r>
              <w:rPr>
                <w:rFonts w:hint="eastAsia" w:hAnsi="宋体" w:eastAsia="宋体" w:cs="Times New Roman"/>
                <w:szCs w:val="21"/>
                <w:lang w:val="en-US" w:eastAsia="zh-CN"/>
              </w:rPr>
              <w:t>方法</w:t>
            </w:r>
            <w:r>
              <w:rPr>
                <w:rFonts w:hint="eastAsia" w:hAnsi="宋体" w:eastAsia="宋体" w:cs="Times New Roman"/>
                <w:szCs w:val="21"/>
              </w:rPr>
              <w:t>，完善了</w:t>
            </w:r>
            <w:r>
              <w:rPr>
                <w:rFonts w:hint="eastAsia" w:hAnsi="宋体" w:eastAsia="宋体" w:cs="Times New Roman"/>
                <w:szCs w:val="21"/>
                <w:lang w:eastAsia="zh-CN"/>
              </w:rPr>
              <w:t>从</w:t>
            </w:r>
            <w:r>
              <w:rPr>
                <w:rFonts w:hint="eastAsia" w:hAnsi="宋体" w:eastAsia="宋体" w:cs="Times New Roman"/>
                <w:szCs w:val="21"/>
                <w:lang w:val="en-US" w:eastAsia="zh-CN"/>
              </w:rPr>
              <w:t>安全可靠性</w:t>
            </w:r>
            <w:r>
              <w:rPr>
                <w:rFonts w:hint="eastAsia" w:hAnsi="宋体" w:eastAsia="宋体" w:cs="Times New Roman"/>
                <w:szCs w:val="21"/>
                <w:lang w:eastAsia="zh-CN"/>
              </w:rPr>
              <w:t>到</w:t>
            </w:r>
            <w:r>
              <w:rPr>
                <w:rFonts w:hint="eastAsia" w:hAnsi="宋体" w:eastAsia="宋体" w:cs="Times New Roman"/>
                <w:szCs w:val="21"/>
                <w:lang w:val="en-US" w:eastAsia="zh-CN"/>
              </w:rPr>
              <w:t>产品智能化</w:t>
            </w:r>
            <w:r>
              <w:rPr>
                <w:rFonts w:hint="eastAsia" w:hAnsi="宋体" w:eastAsia="宋体" w:cs="Times New Roman"/>
                <w:szCs w:val="21"/>
                <w:lang w:eastAsia="zh-CN"/>
              </w:rPr>
              <w:t>的全方位</w:t>
            </w:r>
            <w:r>
              <w:rPr>
                <w:rFonts w:hint="eastAsia" w:hAnsi="宋体" w:eastAsia="宋体" w:cs="Times New Roman"/>
                <w:szCs w:val="21"/>
                <w:lang w:val="en-US" w:eastAsia="zh-CN"/>
              </w:rPr>
              <w:t>测评</w:t>
            </w:r>
            <w:r>
              <w:rPr>
                <w:rFonts w:hint="eastAsia" w:hAnsi="宋体" w:eastAsia="宋体" w:cs="Times New Roman"/>
                <w:szCs w:val="21"/>
                <w:lang w:eastAsia="zh-CN"/>
              </w:rPr>
              <w:t>体系，</w:t>
            </w:r>
            <w:r>
              <w:rPr>
                <w:rFonts w:hint="eastAsia" w:hAnsi="宋体" w:eastAsia="宋体" w:cs="Times New Roman"/>
                <w:szCs w:val="21"/>
              </w:rPr>
              <w:t>本标准对于填补行业空白，促进国内</w:t>
            </w:r>
            <w:r>
              <w:rPr>
                <w:rFonts w:hint="eastAsia" w:hAnsi="宋体" w:eastAsia="宋体" w:cs="Times New Roman"/>
                <w:szCs w:val="21"/>
                <w:lang w:val="en-US" w:eastAsia="zh-CN"/>
              </w:rPr>
              <w:t>模块化</w:t>
            </w:r>
            <w:r>
              <w:rPr>
                <w:rFonts w:hint="eastAsia" w:hAnsi="宋体" w:eastAsia="宋体" w:cs="Times New Roman"/>
                <w:szCs w:val="21"/>
              </w:rPr>
              <w:t>数据中心高质量、可持续发展具有</w:t>
            </w:r>
            <w:r>
              <w:rPr>
                <w:rFonts w:hint="eastAsia" w:hAnsi="宋体" w:eastAsia="宋体" w:cs="Times New Roman"/>
                <w:szCs w:val="21"/>
                <w:lang w:val="en-US" w:eastAsia="zh-CN"/>
              </w:rPr>
              <w:t>重要</w:t>
            </w:r>
            <w:r>
              <w:rPr>
                <w:rFonts w:hint="eastAsia" w:hAnsi="宋体" w:eastAsia="宋体" w:cs="Times New Roman"/>
                <w:szCs w:val="21"/>
              </w:rPr>
              <w:t>的指导意义。</w:t>
            </w:r>
          </w:p>
        </w:tc>
      </w:tr>
      <w:tr w14:paraId="6555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27A478C7">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工作简况</w:t>
            </w:r>
          </w:p>
        </w:tc>
      </w:tr>
      <w:tr w14:paraId="1416E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14:paraId="1ECC0F13">
            <w:pPr>
              <w:rPr>
                <w:rFonts w:ascii="Times New Roman" w:hAnsi="Times New Roman" w:eastAsia="宋体" w:cs="Times New Roman"/>
                <w:color w:val="000000"/>
                <w:szCs w:val="21"/>
              </w:rPr>
            </w:pPr>
            <w:r>
              <w:rPr>
                <w:rFonts w:ascii="Times New Roman" w:hAnsi="Times New Roman" w:eastAsia="宋体" w:cs="Times New Roman"/>
                <w:color w:val="000000"/>
                <w:szCs w:val="21"/>
              </w:rPr>
              <w:t>标准主要起草人任务分工</w:t>
            </w:r>
          </w:p>
        </w:tc>
        <w:tc>
          <w:tcPr>
            <w:tcW w:w="7513" w:type="dxa"/>
            <w:gridSpan w:val="4"/>
            <w:vAlign w:val="center"/>
          </w:tcPr>
          <w:p w14:paraId="5C1D91D5">
            <w:pPr>
              <w:spacing w:before="156" w:beforeLines="50" w:after="156" w:afterLines="50"/>
              <w:ind w:firstLine="420" w:firstLineChars="200"/>
              <w:rPr>
                <w:rFonts w:ascii="Times New Roman" w:hAnsi="Times New Roman" w:eastAsia="宋体" w:cs="Times New Roman"/>
                <w:color w:val="000000"/>
                <w:szCs w:val="21"/>
              </w:rPr>
            </w:pPr>
            <w:r>
              <w:rPr>
                <w:rFonts w:hint="eastAsia" w:hAnsi="宋体" w:eastAsia="宋体" w:cs="Times New Roman"/>
                <w:szCs w:val="21"/>
                <w:lang w:val="en-US" w:eastAsia="zh-CN"/>
              </w:rPr>
              <w:t>陈凯、郑涓、</w:t>
            </w:r>
            <w:r>
              <w:rPr>
                <w:rFonts w:hint="eastAsia" w:hAnsi="宋体" w:eastAsia="宋体" w:cs="Times New Roman"/>
                <w:szCs w:val="21"/>
                <w:highlight w:val="none"/>
                <w:lang w:val="en-US" w:eastAsia="zh-CN"/>
              </w:rPr>
              <w:t>李宝宇</w:t>
            </w:r>
            <w:r>
              <w:rPr>
                <w:rFonts w:hint="eastAsia" w:ascii="Times New Roman" w:hAnsi="Times New Roman" w:eastAsia="宋体" w:cs="Times New Roman"/>
                <w:color w:val="000000"/>
                <w:szCs w:val="21"/>
                <w:highlight w:val="none"/>
              </w:rPr>
              <w:t>负责标准方向和框架的把控，陈凯、沈庆飞、李宝宇、张开、赵俊鹏、许轶、郭振、康海军、陈太伟、倪圣健</w:t>
            </w:r>
            <w:r>
              <w:rPr>
                <w:rFonts w:hint="eastAsia" w:ascii="Times New Roman" w:hAnsi="Times New Roman" w:eastAsia="宋体" w:cs="Times New Roman"/>
                <w:color w:val="000000"/>
                <w:szCs w:val="21"/>
                <w:highlight w:val="none"/>
                <w:lang w:eastAsia="zh-CN"/>
              </w:rPr>
              <w:t>、</w:t>
            </w:r>
            <w:r>
              <w:rPr>
                <w:rFonts w:hint="eastAsia" w:ascii="Times New Roman" w:hAnsi="Times New Roman" w:eastAsia="宋体" w:cs="Times New Roman"/>
                <w:color w:val="000000"/>
                <w:szCs w:val="21"/>
                <w:highlight w:val="none"/>
              </w:rPr>
              <w:t>齐庆瑞</w:t>
            </w:r>
            <w:r>
              <w:rPr>
                <w:rFonts w:hint="eastAsia" w:ascii="Times New Roman" w:hAnsi="Times New Roman" w:eastAsia="宋体" w:cs="Times New Roman"/>
                <w:color w:val="000000"/>
                <w:szCs w:val="21"/>
                <w:highlight w:val="none"/>
                <w:lang w:eastAsia="zh-CN"/>
              </w:rPr>
              <w:t>、</w:t>
            </w:r>
            <w:r>
              <w:rPr>
                <w:rFonts w:hint="eastAsia" w:ascii="Times New Roman" w:hAnsi="Times New Roman" w:eastAsia="宋体" w:cs="Times New Roman"/>
                <w:color w:val="000000"/>
                <w:szCs w:val="21"/>
                <w:highlight w:val="none"/>
              </w:rPr>
              <w:t>张凯博、徐浩洋</w:t>
            </w:r>
            <w:r>
              <w:rPr>
                <w:rFonts w:hint="eastAsia" w:ascii="Times New Roman" w:hAnsi="Times New Roman" w:eastAsia="宋体" w:cs="Times New Roman"/>
                <w:color w:val="000000"/>
                <w:szCs w:val="21"/>
              </w:rPr>
              <w:t>等负责标准文本的起草和修改，摆世虎、赵国辉、吴晓晖、陈乔乔、许书琪、吕玉峰、丁俨、郭校年、郑越凯、尚群、苏博、陈鹏、罗宇舟、汪丽娟、陈玥、徐为、马文涛、肖鑫、樊朝阳、鹿福祥、苏军、苏陈奇、徐钧、孙宇等负责对标准提出补充修改意见。</w:t>
            </w:r>
          </w:p>
        </w:tc>
      </w:tr>
      <w:tr w14:paraId="5B537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trPr>
        <w:tc>
          <w:tcPr>
            <w:tcW w:w="1702" w:type="dxa"/>
            <w:gridSpan w:val="2"/>
            <w:vAlign w:val="center"/>
          </w:tcPr>
          <w:p w14:paraId="74AD0284">
            <w:pPr>
              <w:rPr>
                <w:rFonts w:ascii="Times New Roman" w:hAnsi="Times New Roman" w:eastAsia="宋体" w:cs="Times New Roman"/>
                <w:color w:val="000000"/>
                <w:szCs w:val="21"/>
              </w:rPr>
            </w:pPr>
            <w:r>
              <w:rPr>
                <w:rFonts w:ascii="Times New Roman" w:hAnsi="Times New Roman" w:eastAsia="宋体" w:cs="Times New Roman"/>
                <w:color w:val="000000"/>
                <w:szCs w:val="21"/>
              </w:rPr>
              <w:t>主要工作过程</w:t>
            </w:r>
          </w:p>
        </w:tc>
        <w:tc>
          <w:tcPr>
            <w:tcW w:w="7513" w:type="dxa"/>
            <w:gridSpan w:val="4"/>
            <w:vAlign w:val="center"/>
          </w:tcPr>
          <w:p w14:paraId="106022A9">
            <w:pPr>
              <w:ind w:firstLine="420" w:firstLineChars="200"/>
              <w:rPr>
                <w:rFonts w:ascii="Times New Roman" w:hAnsi="Times New Roman" w:eastAsia="宋体" w:cs="Times New Roman"/>
                <w:kern w:val="0"/>
                <w:szCs w:val="21"/>
                <w:lang w:bidi="zh-CN"/>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hint="eastAsia" w:ascii="Times New Roman" w:hAnsi="Times New Roman" w:eastAsia="宋体" w:cs="Times New Roman"/>
                <w:kern w:val="0"/>
                <w:szCs w:val="21"/>
                <w:lang w:val="en-US" w:bidi="zh-CN"/>
              </w:rPr>
              <w:t>5-8</w:t>
            </w:r>
            <w:r>
              <w:rPr>
                <w:rFonts w:hint="eastAsia" w:ascii="Times New Roman" w:hAnsi="Times New Roman" w:eastAsia="宋体" w:cs="Times New Roman"/>
                <w:kern w:val="0"/>
                <w:szCs w:val="21"/>
                <w:lang w:bidi="zh-CN"/>
              </w:rPr>
              <w:t>月，</w:t>
            </w:r>
            <w:r>
              <w:rPr>
                <w:rFonts w:hint="eastAsia" w:ascii="Times New Roman" w:hAnsi="Times New Roman" w:eastAsia="宋体" w:cs="Times New Roman"/>
                <w:kern w:val="0"/>
                <w:szCs w:val="21"/>
                <w:lang w:val="en-US" w:bidi="zh-CN"/>
              </w:rPr>
              <w:t>中国质量认证中心</w:t>
            </w:r>
            <w:r>
              <w:rPr>
                <w:rFonts w:hint="eastAsia" w:ascii="Times New Roman" w:hAnsi="Times New Roman" w:eastAsia="宋体" w:cs="Times New Roman"/>
                <w:kern w:val="0"/>
                <w:szCs w:val="21"/>
                <w:lang w:bidi="zh-CN"/>
              </w:rPr>
              <w:t>进行</w:t>
            </w:r>
            <w:r>
              <w:rPr>
                <w:rFonts w:hint="eastAsia" w:ascii="Times New Roman" w:hAnsi="Times New Roman" w:eastAsia="宋体" w:cs="Times New Roman"/>
                <w:kern w:val="0"/>
                <w:szCs w:val="21"/>
                <w:lang w:val="en-US" w:bidi="zh-CN"/>
              </w:rPr>
              <w:t>标准立项</w:t>
            </w:r>
            <w:r>
              <w:rPr>
                <w:rFonts w:hint="eastAsia" w:ascii="Times New Roman" w:hAnsi="Times New Roman" w:eastAsia="宋体" w:cs="Times New Roman"/>
                <w:kern w:val="0"/>
                <w:szCs w:val="21"/>
                <w:lang w:bidi="zh-CN"/>
              </w:rPr>
              <w:t>调研；</w:t>
            </w:r>
          </w:p>
          <w:p w14:paraId="16F89981">
            <w:pPr>
              <w:ind w:firstLine="420" w:firstLineChars="200"/>
              <w:rPr>
                <w:rFonts w:ascii="Times New Roman" w:hAnsi="Times New Roman" w:eastAsia="宋体" w:cs="Times New Roman"/>
                <w:kern w:val="0"/>
                <w:szCs w:val="21"/>
                <w:lang w:bidi="zh-CN"/>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hint="eastAsia" w:ascii="Times New Roman" w:hAnsi="Times New Roman" w:eastAsia="宋体" w:cs="Times New Roman"/>
                <w:kern w:val="0"/>
                <w:szCs w:val="21"/>
                <w:lang w:val="en-US" w:bidi="zh-CN"/>
              </w:rPr>
              <w:t>8</w:t>
            </w:r>
            <w:r>
              <w:rPr>
                <w:rFonts w:hint="eastAsia" w:ascii="Times New Roman" w:hAnsi="Times New Roman" w:eastAsia="宋体" w:cs="Times New Roman"/>
                <w:kern w:val="0"/>
                <w:szCs w:val="21"/>
                <w:lang w:bidi="zh-CN"/>
              </w:rPr>
              <w:t>月</w:t>
            </w:r>
            <w:r>
              <w:rPr>
                <w:rFonts w:hint="eastAsia" w:ascii="Times New Roman" w:hAnsi="Times New Roman" w:eastAsia="宋体" w:cs="Times New Roman"/>
                <w:kern w:val="0"/>
                <w:szCs w:val="21"/>
                <w:lang w:val="en-US" w:bidi="zh-CN"/>
              </w:rPr>
              <w:t>5日</w:t>
            </w:r>
            <w:r>
              <w:rPr>
                <w:rFonts w:hint="eastAsia" w:ascii="Times New Roman" w:hAnsi="Times New Roman" w:eastAsia="宋体" w:cs="Times New Roman"/>
                <w:kern w:val="0"/>
                <w:szCs w:val="21"/>
                <w:lang w:bidi="zh-CN"/>
              </w:rPr>
              <w:t>，</w:t>
            </w:r>
            <w:r>
              <w:rPr>
                <w:rFonts w:hint="eastAsia" w:ascii="Times New Roman" w:hAnsi="Times New Roman" w:eastAsia="宋体" w:cs="Times New Roman"/>
                <w:kern w:val="0"/>
                <w:szCs w:val="21"/>
                <w:lang w:val="en-US" w:bidi="zh-CN"/>
              </w:rPr>
              <w:t>中国质量认证中心</w:t>
            </w:r>
            <w:r>
              <w:rPr>
                <w:rFonts w:hint="eastAsia" w:ascii="Times New Roman" w:hAnsi="Times New Roman" w:eastAsia="宋体" w:cs="Times New Roman"/>
                <w:kern w:val="0"/>
                <w:szCs w:val="21"/>
                <w:lang w:bidi="zh-CN"/>
              </w:rPr>
              <w:t>提出立项</w:t>
            </w:r>
            <w:r>
              <w:rPr>
                <w:rFonts w:hint="eastAsia" w:ascii="Times New Roman" w:hAnsi="Times New Roman" w:eastAsia="宋体" w:cs="Times New Roman"/>
                <w:kern w:val="0"/>
                <w:szCs w:val="21"/>
                <w:lang w:val="en-US" w:bidi="zh-CN"/>
              </w:rPr>
              <w:t>并获协会批准</w:t>
            </w:r>
            <w:r>
              <w:rPr>
                <w:rFonts w:hint="eastAsia" w:ascii="Times New Roman" w:hAnsi="Times New Roman" w:eastAsia="宋体" w:cs="Times New Roman"/>
                <w:kern w:val="0"/>
                <w:szCs w:val="21"/>
                <w:lang w:bidi="zh-CN"/>
              </w:rPr>
              <w:t>；</w:t>
            </w:r>
          </w:p>
          <w:p w14:paraId="7F03EF5B">
            <w:pPr>
              <w:ind w:firstLine="420" w:firstLineChars="200"/>
              <w:rPr>
                <w:rFonts w:ascii="Times New Roman" w:hAnsi="Times New Roman" w:eastAsia="宋体" w:cs="Times New Roman"/>
                <w:kern w:val="0"/>
                <w:szCs w:val="21"/>
                <w:lang w:val="zh-CN" w:bidi="zh-CN"/>
              </w:rPr>
            </w:pPr>
            <w:r>
              <w:rPr>
                <w:rFonts w:ascii="Times New Roman" w:hAnsi="Times New Roman" w:eastAsia="宋体" w:cs="Times New Roman"/>
                <w:kern w:val="0"/>
                <w:szCs w:val="21"/>
                <w:lang w:val="zh-CN" w:bidi="zh-CN"/>
              </w:rPr>
              <w:t>202</w:t>
            </w:r>
            <w:r>
              <w:rPr>
                <w:rFonts w:hint="eastAsia" w:ascii="Times New Roman" w:hAnsi="Times New Roman" w:eastAsia="宋体" w:cs="Times New Roman"/>
                <w:kern w:val="0"/>
                <w:szCs w:val="21"/>
                <w:lang w:val="en-US" w:bidi="zh-CN"/>
              </w:rPr>
              <w:t>4</w:t>
            </w:r>
            <w:r>
              <w:rPr>
                <w:rFonts w:ascii="Times New Roman" w:hAnsi="Times New Roman" w:eastAsia="宋体" w:cs="Times New Roman"/>
                <w:kern w:val="0"/>
                <w:szCs w:val="21"/>
                <w:lang w:val="zh-CN" w:bidi="zh-CN"/>
              </w:rPr>
              <w:t>年</w:t>
            </w:r>
            <w:r>
              <w:rPr>
                <w:rFonts w:hint="eastAsia" w:ascii="Times New Roman" w:hAnsi="Times New Roman" w:eastAsia="宋体" w:cs="Times New Roman"/>
                <w:kern w:val="0"/>
                <w:szCs w:val="21"/>
                <w:lang w:val="en-US" w:bidi="zh-CN"/>
              </w:rPr>
              <w:t>8</w:t>
            </w:r>
            <w:r>
              <w:rPr>
                <w:rFonts w:ascii="Times New Roman" w:hAnsi="Times New Roman" w:eastAsia="宋体" w:cs="Times New Roman"/>
                <w:kern w:val="0"/>
                <w:szCs w:val="21"/>
                <w:lang w:val="zh-CN" w:bidi="zh-CN"/>
              </w:rPr>
              <w:t>月</w:t>
            </w:r>
            <w:r>
              <w:rPr>
                <w:rFonts w:hint="eastAsia" w:ascii="Times New Roman" w:hAnsi="Times New Roman" w:eastAsia="宋体" w:cs="Times New Roman"/>
                <w:kern w:val="0"/>
                <w:szCs w:val="21"/>
                <w:lang w:val="en-US" w:bidi="zh-CN"/>
              </w:rPr>
              <w:t>15日</w:t>
            </w:r>
            <w:r>
              <w:rPr>
                <w:rFonts w:ascii="Times New Roman" w:hAnsi="Times New Roman" w:eastAsia="宋体" w:cs="Times New Roman"/>
                <w:kern w:val="0"/>
                <w:szCs w:val="21"/>
                <w:lang w:val="zh-CN" w:bidi="zh-CN"/>
              </w:rPr>
              <w:t>，</w:t>
            </w:r>
            <w:r>
              <w:rPr>
                <w:rFonts w:hint="eastAsia" w:ascii="Times New Roman" w:hAnsi="Times New Roman" w:eastAsia="宋体" w:cs="Times New Roman"/>
                <w:kern w:val="0"/>
                <w:szCs w:val="21"/>
                <w:lang w:val="zh-CN" w:bidi="zh-CN"/>
              </w:rPr>
              <w:t>启动起草组成员征集和组建工作；</w:t>
            </w:r>
          </w:p>
          <w:p w14:paraId="74FA7C45">
            <w:pPr>
              <w:ind w:firstLine="420" w:firstLineChars="200"/>
              <w:rPr>
                <w:rFonts w:ascii="Times New Roman" w:hAnsi="Times New Roman" w:eastAsia="宋体" w:cs="Times New Roman"/>
                <w:kern w:val="0"/>
                <w:szCs w:val="21"/>
                <w:lang w:bidi="zh-CN"/>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hint="eastAsia" w:ascii="Times New Roman" w:hAnsi="Times New Roman" w:eastAsia="宋体" w:cs="Times New Roman"/>
                <w:kern w:val="0"/>
                <w:szCs w:val="21"/>
                <w:lang w:val="en-US" w:bidi="zh-CN"/>
              </w:rPr>
              <w:t>9</w:t>
            </w:r>
            <w:r>
              <w:rPr>
                <w:rFonts w:hint="eastAsia" w:ascii="Times New Roman" w:hAnsi="Times New Roman" w:eastAsia="宋体" w:cs="Times New Roman"/>
                <w:kern w:val="0"/>
                <w:szCs w:val="21"/>
                <w:lang w:bidi="zh-CN"/>
              </w:rPr>
              <w:t>月</w:t>
            </w:r>
            <w:r>
              <w:rPr>
                <w:rFonts w:hint="eastAsia" w:ascii="Times New Roman" w:hAnsi="Times New Roman" w:eastAsia="宋体" w:cs="Times New Roman"/>
                <w:kern w:val="0"/>
                <w:szCs w:val="21"/>
                <w:lang w:val="en-US" w:bidi="zh-CN"/>
              </w:rPr>
              <w:t>2日</w:t>
            </w:r>
            <w:r>
              <w:rPr>
                <w:rFonts w:hint="eastAsia" w:ascii="Times New Roman" w:hAnsi="Times New Roman" w:eastAsia="宋体" w:cs="Times New Roman"/>
                <w:kern w:val="0"/>
                <w:szCs w:val="21"/>
                <w:lang w:bidi="zh-CN"/>
              </w:rPr>
              <w:t>，组织召开了</w:t>
            </w:r>
            <w:r>
              <w:rPr>
                <w:rFonts w:hint="eastAsia" w:ascii="Times New Roman" w:hAnsi="Times New Roman" w:eastAsia="宋体" w:cs="Times New Roman"/>
                <w:kern w:val="0"/>
                <w:szCs w:val="21"/>
                <w:lang w:val="en-US" w:bidi="zh-CN"/>
              </w:rPr>
              <w:t>标准编制启动会</w:t>
            </w:r>
            <w:r>
              <w:rPr>
                <w:rFonts w:hint="eastAsia" w:ascii="Times New Roman" w:hAnsi="Times New Roman" w:eastAsia="宋体" w:cs="Times New Roman"/>
                <w:kern w:val="0"/>
                <w:szCs w:val="21"/>
                <w:lang w:bidi="zh-CN"/>
              </w:rPr>
              <w:t>；</w:t>
            </w:r>
          </w:p>
          <w:p w14:paraId="0F1EAC9E">
            <w:pPr>
              <w:ind w:firstLine="420" w:firstLineChars="200"/>
              <w:rPr>
                <w:rFonts w:ascii="Times New Roman" w:hAnsi="Times New Roman" w:eastAsia="宋体" w:cs="Times New Roman"/>
                <w:kern w:val="0"/>
                <w:szCs w:val="21"/>
                <w:lang w:val="zh-CN" w:bidi="zh-CN"/>
              </w:rPr>
            </w:pPr>
            <w:r>
              <w:rPr>
                <w:rFonts w:ascii="Times New Roman" w:hAnsi="Times New Roman" w:eastAsia="宋体" w:cs="Times New Roman"/>
                <w:kern w:val="0"/>
                <w:szCs w:val="21"/>
                <w:lang w:val="zh-CN" w:bidi="zh-CN"/>
              </w:rPr>
              <w:t>202</w:t>
            </w:r>
            <w:r>
              <w:rPr>
                <w:rFonts w:hint="eastAsia" w:ascii="Times New Roman" w:hAnsi="Times New Roman" w:eastAsia="宋体" w:cs="Times New Roman"/>
                <w:kern w:val="0"/>
                <w:szCs w:val="21"/>
                <w:lang w:val="en-US" w:bidi="zh-CN"/>
              </w:rPr>
              <w:t>4</w:t>
            </w:r>
            <w:r>
              <w:rPr>
                <w:rFonts w:ascii="Times New Roman" w:hAnsi="Times New Roman" w:eastAsia="宋体" w:cs="Times New Roman"/>
                <w:kern w:val="0"/>
                <w:szCs w:val="21"/>
                <w:lang w:val="zh-CN" w:bidi="zh-CN"/>
              </w:rPr>
              <w:t>年</w:t>
            </w:r>
            <w:r>
              <w:rPr>
                <w:rFonts w:hint="eastAsia" w:ascii="Times New Roman" w:hAnsi="Times New Roman" w:eastAsia="宋体" w:cs="Times New Roman"/>
                <w:kern w:val="0"/>
                <w:szCs w:val="21"/>
                <w:lang w:val="en-US" w:bidi="zh-CN"/>
              </w:rPr>
              <w:t>9</w:t>
            </w:r>
            <w:r>
              <w:rPr>
                <w:rFonts w:ascii="Times New Roman" w:hAnsi="Times New Roman" w:eastAsia="宋体" w:cs="Times New Roman"/>
                <w:kern w:val="0"/>
                <w:szCs w:val="21"/>
                <w:lang w:val="zh-CN" w:bidi="zh-CN"/>
              </w:rPr>
              <w:t>月</w:t>
            </w:r>
            <w:r>
              <w:rPr>
                <w:rFonts w:hint="eastAsia" w:ascii="Times New Roman" w:hAnsi="Times New Roman" w:eastAsia="宋体" w:cs="Times New Roman"/>
                <w:kern w:val="0"/>
                <w:szCs w:val="21"/>
                <w:lang w:val="en-US" w:bidi="zh-CN"/>
              </w:rPr>
              <w:t>9日</w:t>
            </w:r>
            <w:r>
              <w:rPr>
                <w:rFonts w:hint="eastAsia" w:ascii="Times New Roman" w:hAnsi="Times New Roman" w:eastAsia="宋体" w:cs="Times New Roman"/>
                <w:kern w:val="0"/>
                <w:szCs w:val="21"/>
                <w:lang w:val="zh-CN" w:bidi="zh-CN"/>
              </w:rPr>
              <w:t>，组织召开了第一次标准起草组会议，形成标准框架草案；</w:t>
            </w:r>
          </w:p>
          <w:p w14:paraId="004D88E3">
            <w:pPr>
              <w:ind w:firstLine="420" w:firstLineChars="200"/>
              <w:rPr>
                <w:rFonts w:ascii="Times New Roman" w:hAnsi="Times New Roman" w:eastAsia="宋体" w:cs="Times New Roman"/>
                <w:kern w:val="0"/>
                <w:szCs w:val="21"/>
                <w:lang w:val="zh-CN" w:bidi="zh-CN"/>
              </w:rPr>
            </w:pPr>
            <w:r>
              <w:rPr>
                <w:rFonts w:ascii="Times New Roman" w:hAnsi="Times New Roman" w:eastAsia="宋体" w:cs="Times New Roman"/>
                <w:kern w:val="0"/>
                <w:szCs w:val="21"/>
                <w:lang w:val="zh-CN" w:bidi="zh-CN"/>
              </w:rPr>
              <w:t>202</w:t>
            </w:r>
            <w:r>
              <w:rPr>
                <w:rFonts w:hint="eastAsia" w:ascii="Times New Roman" w:hAnsi="Times New Roman" w:eastAsia="宋体" w:cs="Times New Roman"/>
                <w:kern w:val="0"/>
                <w:szCs w:val="21"/>
                <w:lang w:val="en-US" w:bidi="zh-CN"/>
              </w:rPr>
              <w:t>4</w:t>
            </w:r>
            <w:r>
              <w:rPr>
                <w:rFonts w:ascii="Times New Roman" w:hAnsi="Times New Roman" w:eastAsia="宋体" w:cs="Times New Roman"/>
                <w:kern w:val="0"/>
                <w:szCs w:val="21"/>
                <w:lang w:val="zh-CN" w:bidi="zh-CN"/>
              </w:rPr>
              <w:t>年</w:t>
            </w:r>
            <w:r>
              <w:rPr>
                <w:rFonts w:hint="eastAsia" w:ascii="Times New Roman" w:hAnsi="Times New Roman" w:eastAsia="宋体" w:cs="Times New Roman"/>
                <w:kern w:val="0"/>
                <w:szCs w:val="21"/>
                <w:lang w:val="en-US" w:bidi="zh-CN"/>
              </w:rPr>
              <w:t>9</w:t>
            </w:r>
            <w:r>
              <w:rPr>
                <w:rFonts w:ascii="Times New Roman" w:hAnsi="Times New Roman" w:eastAsia="宋体" w:cs="Times New Roman"/>
                <w:kern w:val="0"/>
                <w:szCs w:val="21"/>
                <w:lang w:val="zh-CN" w:bidi="zh-CN"/>
              </w:rPr>
              <w:t>月</w:t>
            </w:r>
            <w:r>
              <w:rPr>
                <w:rFonts w:hint="eastAsia" w:ascii="Times New Roman" w:hAnsi="Times New Roman" w:eastAsia="宋体" w:cs="Times New Roman"/>
                <w:kern w:val="0"/>
                <w:szCs w:val="21"/>
                <w:lang w:val="en-US" w:bidi="zh-CN"/>
              </w:rPr>
              <w:t>16日</w:t>
            </w:r>
            <w:r>
              <w:rPr>
                <w:rFonts w:hint="eastAsia" w:ascii="Times New Roman" w:hAnsi="Times New Roman" w:eastAsia="宋体" w:cs="Times New Roman"/>
                <w:kern w:val="0"/>
                <w:szCs w:val="21"/>
                <w:lang w:val="zh-CN" w:bidi="zh-CN"/>
              </w:rPr>
              <w:t>，组织召开了第</w:t>
            </w:r>
            <w:r>
              <w:rPr>
                <w:rFonts w:hint="eastAsia" w:ascii="Times New Roman" w:hAnsi="Times New Roman" w:eastAsia="宋体" w:cs="Times New Roman"/>
                <w:kern w:val="0"/>
                <w:szCs w:val="21"/>
                <w:lang w:val="en-US" w:bidi="zh-CN"/>
              </w:rPr>
              <w:t>二</w:t>
            </w:r>
            <w:r>
              <w:rPr>
                <w:rFonts w:hint="eastAsia" w:ascii="Times New Roman" w:hAnsi="Times New Roman" w:eastAsia="宋体" w:cs="Times New Roman"/>
                <w:kern w:val="0"/>
                <w:szCs w:val="21"/>
                <w:lang w:val="zh-CN" w:bidi="zh-CN"/>
              </w:rPr>
              <w:t>次标准起草组会议，</w:t>
            </w:r>
            <w:r>
              <w:rPr>
                <w:rFonts w:hint="eastAsia" w:ascii="Times New Roman" w:hAnsi="Times New Roman" w:eastAsia="宋体" w:cs="Times New Roman"/>
                <w:kern w:val="0"/>
                <w:szCs w:val="21"/>
                <w:lang w:val="en-US" w:bidi="zh-CN"/>
              </w:rPr>
              <w:t>讨论标准初稿及修改情况</w:t>
            </w:r>
            <w:r>
              <w:rPr>
                <w:rFonts w:hint="eastAsia" w:ascii="Times New Roman" w:hAnsi="Times New Roman" w:eastAsia="宋体" w:cs="Times New Roman"/>
                <w:kern w:val="0"/>
                <w:szCs w:val="21"/>
                <w:lang w:val="zh-CN" w:bidi="zh-CN"/>
              </w:rPr>
              <w:t>；</w:t>
            </w:r>
          </w:p>
          <w:p w14:paraId="1D542203">
            <w:pPr>
              <w:spacing w:after="156" w:afterLines="50"/>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hint="eastAsia" w:ascii="Times New Roman" w:hAnsi="Times New Roman" w:eastAsia="宋体" w:cs="Times New Roman"/>
                <w:kern w:val="0"/>
                <w:szCs w:val="21"/>
                <w:lang w:val="en-US" w:bidi="zh-CN"/>
              </w:rPr>
              <w:t>9</w:t>
            </w:r>
            <w:r>
              <w:rPr>
                <w:rFonts w:hint="eastAsia" w:ascii="Times New Roman" w:hAnsi="Times New Roman" w:eastAsia="宋体" w:cs="Times New Roman"/>
                <w:kern w:val="0"/>
                <w:szCs w:val="21"/>
                <w:lang w:bidi="zh-CN"/>
              </w:rPr>
              <w:t>月</w:t>
            </w:r>
            <w:r>
              <w:rPr>
                <w:rFonts w:hint="eastAsia" w:ascii="Times New Roman" w:hAnsi="Times New Roman" w:eastAsia="宋体" w:cs="Times New Roman"/>
                <w:kern w:val="0"/>
                <w:szCs w:val="21"/>
                <w:lang w:val="en-US" w:bidi="zh-CN"/>
              </w:rPr>
              <w:t>25日</w:t>
            </w:r>
            <w:r>
              <w:rPr>
                <w:rFonts w:hint="eastAsia" w:ascii="Times New Roman" w:hAnsi="Times New Roman" w:eastAsia="宋体" w:cs="Times New Roman"/>
                <w:kern w:val="0"/>
                <w:szCs w:val="21"/>
                <w:lang w:bidi="zh-CN"/>
              </w:rPr>
              <w:t>，组织召开了第</w:t>
            </w:r>
            <w:r>
              <w:rPr>
                <w:rFonts w:hint="eastAsia" w:ascii="Times New Roman" w:hAnsi="Times New Roman" w:eastAsia="宋体" w:cs="Times New Roman"/>
                <w:kern w:val="0"/>
                <w:szCs w:val="21"/>
                <w:lang w:val="en-US" w:bidi="zh-CN"/>
              </w:rPr>
              <w:t>三</w:t>
            </w:r>
            <w:r>
              <w:rPr>
                <w:rFonts w:hint="eastAsia" w:ascii="Times New Roman" w:hAnsi="Times New Roman" w:eastAsia="宋体" w:cs="Times New Roman"/>
                <w:kern w:val="0"/>
                <w:szCs w:val="21"/>
                <w:lang w:bidi="zh-CN"/>
              </w:rPr>
              <w:t>次标准起草组会议，</w:t>
            </w:r>
            <w:r>
              <w:rPr>
                <w:rFonts w:hint="eastAsia" w:ascii="Times New Roman" w:hAnsi="Times New Roman" w:eastAsia="宋体" w:cs="Times New Roman"/>
                <w:kern w:val="0"/>
                <w:szCs w:val="21"/>
                <w:lang w:val="en-US" w:bidi="zh-CN"/>
              </w:rPr>
              <w:t>根据修改情况</w:t>
            </w:r>
            <w:r>
              <w:rPr>
                <w:rFonts w:hint="eastAsia" w:ascii="Times New Roman" w:hAnsi="Times New Roman" w:eastAsia="宋体" w:cs="Times New Roman"/>
                <w:kern w:val="0"/>
                <w:szCs w:val="21"/>
                <w:lang w:bidi="zh-CN"/>
              </w:rPr>
              <w:t>形成标准征求意见稿。</w:t>
            </w:r>
          </w:p>
        </w:tc>
      </w:tr>
      <w:tr w14:paraId="49F7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1647966E">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标准编制原则和确定标准主要内容的论据</w:t>
            </w:r>
          </w:p>
        </w:tc>
      </w:tr>
      <w:tr w14:paraId="719C0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14:paraId="00DC58EF">
            <w:pPr>
              <w:rPr>
                <w:rFonts w:ascii="Times New Roman" w:hAnsi="Times New Roman" w:eastAsia="宋体" w:cs="Times New Roman"/>
                <w:color w:val="000000"/>
                <w:szCs w:val="21"/>
              </w:rPr>
            </w:pPr>
            <w:r>
              <w:rPr>
                <w:rFonts w:ascii="Times New Roman" w:hAnsi="Times New Roman" w:eastAsia="宋体" w:cs="Times New Roman"/>
                <w:color w:val="000000"/>
                <w:szCs w:val="21"/>
              </w:rPr>
              <w:t>标准编制原则</w:t>
            </w:r>
          </w:p>
        </w:tc>
        <w:tc>
          <w:tcPr>
            <w:tcW w:w="7513" w:type="dxa"/>
            <w:gridSpan w:val="4"/>
            <w:vAlign w:val="center"/>
          </w:tcPr>
          <w:p w14:paraId="7F54D457">
            <w:pPr>
              <w:pStyle w:val="17"/>
              <w:numPr>
                <w:ilvl w:val="0"/>
                <w:numId w:val="2"/>
              </w:numPr>
              <w:spacing w:before="156" w:beforeLines="50" w:after="156" w:afterLines="50"/>
              <w:ind w:left="357" w:hanging="357" w:firstLineChars="0"/>
              <w:rPr>
                <w:rFonts w:ascii="Times New Roman" w:hAnsi="Times New Roman" w:eastAsia="宋体" w:cs="Times New Roman"/>
                <w:szCs w:val="21"/>
              </w:rPr>
            </w:pPr>
            <w:r>
              <w:rPr>
                <w:rFonts w:ascii="Times New Roman" w:hAnsi="Times New Roman" w:eastAsia="宋体" w:cs="Times New Roman"/>
                <w:szCs w:val="21"/>
              </w:rPr>
              <w:t>与</w:t>
            </w:r>
            <w:r>
              <w:rPr>
                <w:rFonts w:hint="eastAsia" w:ascii="Times New Roman" w:hAnsi="Times New Roman" w:eastAsia="宋体" w:cs="Times New Roman"/>
                <w:szCs w:val="21"/>
              </w:rPr>
              <w:t>国家</w:t>
            </w:r>
            <w:r>
              <w:rPr>
                <w:rFonts w:hint="eastAsia" w:ascii="Times New Roman" w:hAnsi="Times New Roman" w:eastAsia="宋体" w:cs="Times New Roman"/>
                <w:szCs w:val="21"/>
                <w:lang w:val="en-US" w:eastAsia="zh-CN"/>
              </w:rPr>
              <w:t>标准</w:t>
            </w:r>
            <w:r>
              <w:rPr>
                <w:rFonts w:ascii="Times New Roman" w:hAnsi="Times New Roman" w:eastAsia="宋体" w:cs="Times New Roman"/>
                <w:szCs w:val="21"/>
              </w:rPr>
              <w:t>衔接</w:t>
            </w:r>
          </w:p>
          <w:p w14:paraId="3956E24E">
            <w:pPr>
              <w:ind w:firstLine="480"/>
              <w:rPr>
                <w:rFonts w:ascii="Times New Roman" w:hAnsi="Times New Roman" w:eastAsia="宋体" w:cs="Times New Roman"/>
                <w:lang w:bidi="zh-CN"/>
              </w:rPr>
            </w:pPr>
            <w:r>
              <w:rPr>
                <w:rFonts w:hint="eastAsia" w:ascii="Times New Roman" w:hAnsi="Times New Roman" w:eastAsia="宋体" w:cs="Times New Roman"/>
                <w:lang w:val="en-US" w:bidi="zh-CN"/>
              </w:rPr>
              <w:t>现有的国家标准对模块化数据中心的设计、测试和验收已有相关的规定，但是从第三方检测认证的角度来看，如何规定具备面向智慧化、数字化、绿色化的模块化数据中心产品评价项目，满足客户对模块化产品认证评价分级的需求，仍存在界定不清晰的问题。同时，从模块化数据中心产品的角度来看，如何同传统数据中心基础设施形成差异化的区别、模块化数据中心产品评价具有哪些特性化的技术要求，均是当前所缺失的部分。因此，本标准</w:t>
            </w:r>
            <w:r>
              <w:rPr>
                <w:rFonts w:ascii="Times New Roman" w:hAnsi="Times New Roman" w:eastAsia="宋体" w:cs="Times New Roman"/>
                <w:lang w:bidi="zh-CN"/>
              </w:rPr>
              <w:t>编制组</w:t>
            </w:r>
            <w:r>
              <w:rPr>
                <w:rFonts w:hint="eastAsia" w:ascii="Times New Roman" w:hAnsi="Times New Roman" w:eastAsia="宋体" w:cs="Times New Roman"/>
                <w:lang w:val="en-US" w:bidi="zh-CN"/>
              </w:rPr>
              <w:t>在草案制定前，</w:t>
            </w:r>
            <w:r>
              <w:rPr>
                <w:rFonts w:ascii="Times New Roman" w:hAnsi="Times New Roman" w:eastAsia="宋体" w:cs="Times New Roman"/>
                <w:lang w:bidi="zh-CN"/>
              </w:rPr>
              <w:t>对现行法律法规、标准、导则进行了系统的梳理和整合，在此基础上制定了本标准。</w:t>
            </w:r>
          </w:p>
          <w:p w14:paraId="1C928FA0">
            <w:pPr>
              <w:pStyle w:val="17"/>
              <w:numPr>
                <w:ilvl w:val="0"/>
                <w:numId w:val="2"/>
              </w:numPr>
              <w:spacing w:before="156" w:beforeLines="50" w:after="156" w:afterLines="50"/>
              <w:ind w:left="357" w:hanging="357" w:firstLineChars="0"/>
              <w:rPr>
                <w:rFonts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指导性强</w:t>
            </w:r>
          </w:p>
          <w:p w14:paraId="138BC38D">
            <w:pPr>
              <w:ind w:firstLine="480"/>
              <w:rPr>
                <w:rFonts w:ascii="Times New Roman" w:hAnsi="Times New Roman" w:eastAsia="宋体" w:cs="Times New Roman"/>
                <w:lang w:bidi="zh-CN"/>
              </w:rPr>
            </w:pPr>
            <w:r>
              <w:rPr>
                <w:rFonts w:ascii="Times New Roman" w:hAnsi="Times New Roman" w:eastAsia="宋体" w:cs="Times New Roman"/>
                <w:lang w:bidi="zh-CN"/>
              </w:rPr>
              <w:t>本文件</w:t>
            </w:r>
            <w:r>
              <w:rPr>
                <w:rFonts w:hint="eastAsia" w:ascii="Times New Roman" w:hAnsi="Times New Roman" w:eastAsia="宋体" w:cs="Times New Roman"/>
                <w:lang w:bidi="zh-CN"/>
              </w:rPr>
              <w:t>结合</w:t>
            </w:r>
            <w:r>
              <w:rPr>
                <w:rFonts w:hint="eastAsia" w:ascii="Times New Roman" w:hAnsi="Times New Roman" w:eastAsia="宋体" w:cs="Times New Roman"/>
                <w:lang w:val="en-US" w:bidi="zh-CN"/>
              </w:rPr>
              <w:t>模块化数据中心产品制定了三部分关键的内容：确定模块化数据中心产品技术要求、制定合规的测试流程、按照基础项和评估项的形式进行评价分级，并按照</w:t>
            </w:r>
            <w:r>
              <w:rPr>
                <w:rFonts w:ascii="Times New Roman" w:hAnsi="Times New Roman" w:eastAsia="宋体" w:cs="Times New Roman"/>
                <w:lang w:bidi="zh-CN"/>
              </w:rPr>
              <w:t>GB/T 1.1</w:t>
            </w:r>
            <w:r>
              <w:rPr>
                <w:rFonts w:hint="eastAsia" w:ascii="Times New Roman" w:hAnsi="Times New Roman" w:eastAsia="宋体" w:cs="Times New Roman"/>
                <w:lang w:bidi="zh-CN"/>
              </w:rPr>
              <w:t>—</w:t>
            </w:r>
            <w:r>
              <w:rPr>
                <w:rFonts w:ascii="Times New Roman" w:hAnsi="Times New Roman" w:eastAsia="宋体" w:cs="Times New Roman"/>
                <w:lang w:bidi="zh-CN"/>
              </w:rPr>
              <w:t>2020《标准化工作导则</w:t>
            </w:r>
            <w:r>
              <w:rPr>
                <w:rFonts w:hint="eastAsia" w:ascii="Times New Roman" w:hAnsi="Times New Roman" w:eastAsia="宋体" w:cs="Times New Roman"/>
                <w:lang w:bidi="zh-CN"/>
              </w:rPr>
              <w:t xml:space="preserve"> </w:t>
            </w:r>
            <w:r>
              <w:rPr>
                <w:rFonts w:ascii="Times New Roman" w:hAnsi="Times New Roman" w:eastAsia="宋体" w:cs="Times New Roman"/>
                <w:lang w:bidi="zh-CN"/>
              </w:rPr>
              <w:t>第1部分：标准化文件的结构和起草规则》的规定进行编写和表述</w:t>
            </w:r>
            <w:r>
              <w:rPr>
                <w:rFonts w:hint="eastAsia" w:ascii="Times New Roman" w:hAnsi="Times New Roman" w:eastAsia="宋体" w:cs="Times New Roman"/>
                <w:lang w:bidi="zh-CN"/>
              </w:rPr>
              <w:t>，力求做到</w:t>
            </w:r>
            <w:r>
              <w:rPr>
                <w:rFonts w:ascii="Times New Roman" w:hAnsi="Times New Roman" w:eastAsia="宋体" w:cs="Times New Roman"/>
                <w:lang w:bidi="zh-CN"/>
              </w:rPr>
              <w:t>“统一性、协调性、适用性、一致性、规范性”。</w:t>
            </w:r>
          </w:p>
          <w:p w14:paraId="0F2A22C5">
            <w:pPr>
              <w:pStyle w:val="17"/>
              <w:numPr>
                <w:ilvl w:val="0"/>
                <w:numId w:val="2"/>
              </w:numPr>
              <w:spacing w:before="156" w:beforeLines="50" w:after="156" w:afterLines="50"/>
              <w:ind w:left="357" w:hanging="357" w:firstLineChars="0"/>
              <w:rPr>
                <w:rFonts w:ascii="Times New Roman" w:hAnsi="Times New Roman" w:eastAsia="宋体" w:cs="Times New Roman"/>
                <w:color w:val="000000"/>
                <w:szCs w:val="21"/>
              </w:rPr>
            </w:pPr>
            <w:r>
              <w:rPr>
                <w:rFonts w:ascii="Times New Roman" w:hAnsi="Times New Roman" w:eastAsia="宋体" w:cs="Times New Roman"/>
                <w:color w:val="000000"/>
                <w:szCs w:val="21"/>
              </w:rPr>
              <w:t>具有可操作性</w:t>
            </w:r>
          </w:p>
          <w:p w14:paraId="32EB57C5">
            <w:pPr>
              <w:spacing w:after="156" w:afterLines="50"/>
              <w:ind w:firstLine="420" w:firstLineChars="200"/>
              <w:rPr>
                <w:rFonts w:ascii="Times New Roman" w:hAnsi="Times New Roman" w:eastAsia="宋体" w:cs="Times New Roman"/>
                <w:color w:val="000000"/>
                <w:szCs w:val="21"/>
              </w:rPr>
            </w:pPr>
            <w:r>
              <w:rPr>
                <w:rFonts w:ascii="Times New Roman" w:hAnsi="Times New Roman" w:eastAsia="宋体" w:cs="Times New Roman"/>
              </w:rPr>
              <w:t>本标准内容</w:t>
            </w:r>
            <w:r>
              <w:rPr>
                <w:rFonts w:hint="eastAsia" w:ascii="Times New Roman" w:hAnsi="Times New Roman" w:eastAsia="宋体" w:cs="Times New Roman"/>
              </w:rPr>
              <w:t>给出</w:t>
            </w:r>
            <w:r>
              <w:rPr>
                <w:rFonts w:hint="eastAsia" w:ascii="Times New Roman" w:hAnsi="Times New Roman" w:eastAsia="宋体" w:cs="Times New Roman"/>
                <w:lang w:val="en-US" w:eastAsia="zh-CN"/>
              </w:rPr>
              <w:t>模块化数据中心产品检测层面具备操作性的测试方案、测试流程，不但第三方检测机构可以依据此来制定更适合模块化产品实际情况的测试方案，模块化数据中心购买方也可以应用此规范进行自验证，</w:t>
            </w:r>
            <w:r>
              <w:rPr>
                <w:rFonts w:hint="eastAsia" w:ascii="Times New Roman" w:hAnsi="Times New Roman" w:eastAsia="宋体" w:cs="Times New Roman"/>
              </w:rPr>
              <w:t>并给出详细的实施步骤，具有很强的可操作性。</w:t>
            </w:r>
          </w:p>
        </w:tc>
      </w:tr>
      <w:tr w14:paraId="41B0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14:paraId="02E145A8">
            <w:pPr>
              <w:rPr>
                <w:rFonts w:ascii="Times New Roman" w:hAnsi="Times New Roman" w:eastAsia="宋体" w:cs="Times New Roman"/>
                <w:color w:val="000000"/>
                <w:szCs w:val="21"/>
              </w:rPr>
            </w:pPr>
            <w:r>
              <w:rPr>
                <w:rFonts w:ascii="Times New Roman" w:hAnsi="Times New Roman" w:eastAsia="宋体" w:cs="Times New Roman"/>
                <w:color w:val="000000"/>
                <w:szCs w:val="21"/>
              </w:rPr>
              <w:t>确定标准主要内容的论据</w:t>
            </w:r>
          </w:p>
        </w:tc>
        <w:tc>
          <w:tcPr>
            <w:tcW w:w="7513" w:type="dxa"/>
            <w:gridSpan w:val="4"/>
            <w:vAlign w:val="center"/>
          </w:tcPr>
          <w:p w14:paraId="29040D3A">
            <w:pPr>
              <w:pStyle w:val="17"/>
              <w:numPr>
                <w:ilvl w:val="0"/>
                <w:numId w:val="3"/>
              </w:numPr>
              <w:spacing w:before="156" w:beforeLines="50" w:after="156" w:afterLines="50"/>
              <w:ind w:left="357" w:hanging="357" w:firstLineChars="0"/>
              <w:rPr>
                <w:rFonts w:ascii="Times New Roman" w:hAnsi="Times New Roman" w:eastAsia="宋体" w:cs="Times New Roman"/>
              </w:rPr>
            </w:pPr>
            <w:bookmarkStart w:id="0" w:name="_Hlk106641444"/>
            <w:r>
              <w:rPr>
                <w:rFonts w:ascii="Times New Roman" w:hAnsi="Times New Roman" w:eastAsia="宋体" w:cs="Times New Roman"/>
              </w:rPr>
              <w:t>范围</w:t>
            </w:r>
          </w:p>
          <w:p w14:paraId="748F46DD">
            <w:pPr>
              <w:pStyle w:val="5"/>
              <w:ind w:firstLine="420"/>
              <w:rPr>
                <w:rFonts w:ascii="Times New Roman" w:hAnsi="Times New Roman" w:cs="Times New Roman"/>
                <w:kern w:val="2"/>
                <w:szCs w:val="22"/>
                <w:lang w:val="en-US" w:bidi="ar-SA"/>
              </w:rPr>
            </w:pPr>
            <w:r>
              <w:rPr>
                <w:rFonts w:hint="eastAsia" w:ascii="Times New Roman" w:hAnsi="Times New Roman" w:cs="Times New Roman"/>
                <w:kern w:val="2"/>
                <w:szCs w:val="22"/>
                <w:lang w:val="en-US" w:bidi="ar-SA"/>
              </w:rPr>
              <w:t>本部分主要参考</w:t>
            </w:r>
            <w:r>
              <w:rPr>
                <w:rFonts w:hint="eastAsia" w:ascii="Times New Roman" w:hAnsi="Times New Roman" w:cs="Times New Roman"/>
                <w:kern w:val="2"/>
                <w:szCs w:val="22"/>
                <w:lang w:val="en-US" w:eastAsia="zh-CN" w:bidi="ar-SA"/>
              </w:rPr>
              <w:t>数据中心及模块化数据中心相关国家标准</w:t>
            </w:r>
            <w:r>
              <w:rPr>
                <w:rFonts w:hint="eastAsia" w:ascii="Times New Roman" w:hAnsi="Times New Roman" w:cs="Times New Roman"/>
                <w:kern w:val="2"/>
                <w:szCs w:val="22"/>
                <w:lang w:val="en-US" w:bidi="ar-SA"/>
              </w:rPr>
              <w:t>内容，界定了模块化数据中心产品</w:t>
            </w:r>
            <w:r>
              <w:rPr>
                <w:rFonts w:hint="eastAsia" w:ascii="Times New Roman" w:hAnsi="Times New Roman" w:cs="Times New Roman"/>
                <w:kern w:val="2"/>
                <w:szCs w:val="22"/>
                <w:lang w:val="en-US" w:eastAsia="zh-CN" w:bidi="ar-SA"/>
              </w:rPr>
              <w:t>包含的技术要求、测试方法与综合评分规则</w:t>
            </w:r>
            <w:r>
              <w:rPr>
                <w:rFonts w:hint="eastAsia" w:ascii="Times New Roman" w:hAnsi="Times New Roman" w:cs="Times New Roman"/>
                <w:kern w:val="2"/>
                <w:szCs w:val="22"/>
                <w:lang w:val="en-US" w:bidi="ar-SA"/>
              </w:rPr>
              <w:t>等的通用要求，以及适用范围。</w:t>
            </w:r>
          </w:p>
          <w:p w14:paraId="5132F1C2">
            <w:pPr>
              <w:pStyle w:val="17"/>
              <w:numPr>
                <w:ilvl w:val="0"/>
                <w:numId w:val="3"/>
              </w:numPr>
              <w:spacing w:before="156" w:beforeLines="50" w:after="156" w:afterLines="50"/>
              <w:ind w:left="357" w:hanging="357" w:firstLineChars="0"/>
              <w:rPr>
                <w:rFonts w:ascii="Times New Roman" w:hAnsi="Times New Roman" w:eastAsia="宋体" w:cs="Times New Roman"/>
              </w:rPr>
            </w:pPr>
            <w:r>
              <w:rPr>
                <w:rFonts w:ascii="Times New Roman" w:hAnsi="Times New Roman" w:eastAsia="宋体" w:cs="Times New Roman"/>
              </w:rPr>
              <w:t>规范性引用文件</w:t>
            </w:r>
          </w:p>
          <w:bookmarkEnd w:id="0"/>
          <w:p w14:paraId="4CE464C0">
            <w:pPr>
              <w:ind w:firstLine="420" w:firstLineChars="200"/>
              <w:rPr>
                <w:rFonts w:ascii="Times New Roman" w:hAnsi="Times New Roman" w:eastAsia="宋体" w:cs="Times New Roman"/>
              </w:rPr>
            </w:pPr>
            <w:r>
              <w:rPr>
                <w:rFonts w:hint="eastAsia" w:ascii="Times New Roman" w:hAnsi="Times New Roman" w:eastAsia="宋体" w:cs="Times New Roman"/>
              </w:rPr>
              <w:t>主要列举了当前模块化数据中心</w:t>
            </w:r>
            <w:r>
              <w:rPr>
                <w:rFonts w:hint="eastAsia" w:ascii="Times New Roman" w:hAnsi="Times New Roman" w:eastAsia="宋体" w:cs="Times New Roman"/>
                <w:lang w:val="en-US" w:eastAsia="zh-CN"/>
              </w:rPr>
              <w:t>产品评价</w:t>
            </w:r>
            <w:r>
              <w:rPr>
                <w:rFonts w:hint="eastAsia" w:ascii="Times New Roman" w:hAnsi="Times New Roman" w:eastAsia="宋体" w:cs="Times New Roman"/>
              </w:rPr>
              <w:t>主要涉及或使用的相关标准，包括GB 50174</w:t>
            </w:r>
            <w:r>
              <w:rPr>
                <w:rFonts w:hint="eastAsia" w:ascii="Times New Roman" w:hAnsi="Times New Roman" w:eastAsia="宋体" w:cs="Times New Roman"/>
                <w:lang w:eastAsia="zh-CN"/>
              </w:rPr>
              <w:t>《</w:t>
            </w:r>
            <w:r>
              <w:rPr>
                <w:rFonts w:hint="eastAsia" w:ascii="Times New Roman" w:hAnsi="Times New Roman" w:eastAsia="宋体" w:cs="Times New Roman"/>
              </w:rPr>
              <w:t>数据中心设计规范</w:t>
            </w:r>
            <w:r>
              <w:rPr>
                <w:rFonts w:hint="eastAsia" w:ascii="Times New Roman" w:hAnsi="Times New Roman" w:eastAsia="宋体" w:cs="Times New Roman"/>
                <w:lang w:eastAsia="zh-CN"/>
              </w:rPr>
              <w:t>》、GB/T 41783《模块化数据中心通用规范》</w:t>
            </w:r>
            <w:r>
              <w:rPr>
                <w:rFonts w:hint="eastAsia" w:ascii="Times New Roman" w:hAnsi="Times New Roman" w:eastAsia="宋体" w:cs="Times New Roman"/>
              </w:rPr>
              <w:t>等。</w:t>
            </w:r>
          </w:p>
          <w:p w14:paraId="134F0FEC">
            <w:pPr>
              <w:pStyle w:val="17"/>
              <w:numPr>
                <w:ilvl w:val="0"/>
                <w:numId w:val="3"/>
              </w:numPr>
              <w:spacing w:before="156" w:beforeLines="50" w:after="156" w:afterLines="50"/>
              <w:ind w:left="357" w:hanging="357" w:firstLineChars="0"/>
              <w:rPr>
                <w:rFonts w:ascii="Times New Roman" w:hAnsi="Times New Roman" w:eastAsia="宋体" w:cs="Times New Roman"/>
              </w:rPr>
            </w:pPr>
            <w:r>
              <w:rPr>
                <w:rFonts w:ascii="Times New Roman" w:hAnsi="Times New Roman" w:eastAsia="宋体" w:cs="Times New Roman"/>
              </w:rPr>
              <w:t>术语和定义</w:t>
            </w:r>
          </w:p>
          <w:p w14:paraId="34A5FE1B">
            <w:pPr>
              <w:pStyle w:val="17"/>
              <w:spacing w:before="156" w:beforeLines="50" w:after="156" w:afterLines="50"/>
              <w:rPr>
                <w:rFonts w:ascii="宋体" w:hAnsi="宋体" w:eastAsia="宋体"/>
                <w:szCs w:val="21"/>
              </w:rPr>
            </w:pPr>
            <w:r>
              <w:rPr>
                <w:rFonts w:hint="eastAsia" w:ascii="宋体" w:hAnsi="宋体" w:eastAsia="宋体"/>
                <w:szCs w:val="21"/>
              </w:rPr>
              <w:t>主要参考了</w:t>
            </w:r>
            <w:r>
              <w:rPr>
                <w:rFonts w:hint="eastAsia" w:ascii="Times New Roman" w:hAnsi="Times New Roman" w:eastAsia="宋体" w:cs="Times New Roman"/>
              </w:rPr>
              <w:t>GB 50174</w:t>
            </w:r>
            <w:r>
              <w:rPr>
                <w:rFonts w:hint="eastAsia" w:ascii="Times New Roman" w:hAnsi="Times New Roman" w:eastAsia="宋体" w:cs="Times New Roman"/>
                <w:lang w:eastAsia="zh-CN"/>
              </w:rPr>
              <w:t>《</w:t>
            </w:r>
            <w:r>
              <w:rPr>
                <w:rFonts w:hint="eastAsia" w:ascii="Times New Roman" w:hAnsi="Times New Roman" w:eastAsia="宋体" w:cs="Times New Roman"/>
              </w:rPr>
              <w:t>数据中心设计规范</w:t>
            </w:r>
            <w:r>
              <w:rPr>
                <w:rFonts w:hint="eastAsia" w:ascii="Times New Roman" w:hAnsi="Times New Roman" w:eastAsia="宋体" w:cs="Times New Roman"/>
                <w:lang w:eastAsia="zh-CN"/>
              </w:rPr>
              <w:t>》、GB/T 41783《模块化数据中心通用规范》</w:t>
            </w:r>
            <w:r>
              <w:rPr>
                <w:rFonts w:hint="eastAsia" w:ascii="宋体" w:hAnsi="宋体" w:eastAsia="宋体"/>
                <w:szCs w:val="21"/>
              </w:rPr>
              <w:t>的定义。</w:t>
            </w:r>
          </w:p>
          <w:p w14:paraId="1EC7CA22">
            <w:pPr>
              <w:spacing w:before="156" w:beforeLines="50" w:after="156" w:afterLines="50"/>
              <w:rPr>
                <w:rFonts w:ascii="Times New Roman" w:hAnsi="Times New Roman" w:eastAsia="宋体" w:cs="Times New Roman"/>
              </w:rPr>
            </w:pPr>
            <w:r>
              <w:rPr>
                <w:rFonts w:hint="eastAsia" w:ascii="Times New Roman" w:hAnsi="Times New Roman" w:eastAsia="宋体" w:cs="Times New Roman"/>
                <w:lang w:val="en-US" w:eastAsia="zh-CN"/>
              </w:rPr>
              <w:t>4</w:t>
            </w:r>
            <w:r>
              <w:rPr>
                <w:rFonts w:hint="eastAsia" w:ascii="Times New Roman" w:hAnsi="Times New Roman" w:eastAsia="宋体" w:cs="Times New Roman"/>
              </w:rPr>
              <w:t>、模块化技术要求</w:t>
            </w:r>
          </w:p>
          <w:p w14:paraId="04C5DA19">
            <w:pPr>
              <w:ind w:firstLine="420" w:firstLineChars="200"/>
              <w:rPr>
                <w:rFonts w:ascii="Times New Roman" w:hAnsi="Times New Roman" w:eastAsia="宋体" w:cs="Times New Roman"/>
              </w:rPr>
            </w:pPr>
            <w:r>
              <w:rPr>
                <w:rFonts w:hint="eastAsia" w:ascii="Times New Roman" w:hAnsi="Times New Roman" w:eastAsia="宋体" w:cs="Times New Roman"/>
              </w:rPr>
              <w:t>本部分主要参考了</w:t>
            </w:r>
            <w:r>
              <w:rPr>
                <w:rFonts w:hint="eastAsia" w:ascii="Times New Roman" w:hAnsi="Times New Roman" w:eastAsia="宋体" w:cs="Times New Roman"/>
                <w:lang w:val="en-US" w:eastAsia="zh-CN"/>
              </w:rPr>
              <w:t>模块化数据中心所需要的安全、系统、能效和产品智能化要求等</w:t>
            </w:r>
            <w:r>
              <w:rPr>
                <w:rFonts w:hint="eastAsia" w:ascii="Times New Roman" w:hAnsi="Times New Roman" w:eastAsia="宋体" w:cs="Times New Roman"/>
              </w:rPr>
              <w:t>。</w:t>
            </w:r>
          </w:p>
          <w:p w14:paraId="3B33AA80">
            <w:pPr>
              <w:rPr>
                <w:rFonts w:ascii="Times New Roman" w:hAnsi="Times New Roman" w:eastAsia="宋体" w:cs="Times New Roman"/>
              </w:rPr>
            </w:pPr>
            <w:r>
              <w:rPr>
                <w:rFonts w:hint="eastAsia" w:ascii="Times New Roman" w:hAnsi="Times New Roman" w:eastAsia="宋体" w:cs="Times New Roman"/>
                <w:lang w:val="en-US" w:eastAsia="zh-CN"/>
              </w:rPr>
              <w:t>5</w:t>
            </w:r>
            <w:r>
              <w:rPr>
                <w:rFonts w:hint="eastAsia" w:ascii="Times New Roman" w:hAnsi="Times New Roman" w:eastAsia="宋体" w:cs="Times New Roman"/>
              </w:rPr>
              <w:t>、模块化测试方法</w:t>
            </w:r>
          </w:p>
          <w:p w14:paraId="1EDE5B8B">
            <w:pPr>
              <w:spacing w:before="156" w:beforeLines="50" w:after="156" w:afterLines="50"/>
              <w:ind w:firstLine="420" w:firstLineChars="200"/>
              <w:rPr>
                <w:rFonts w:hint="eastAsia" w:ascii="Times New Roman" w:hAnsi="Times New Roman" w:eastAsia="宋体" w:cs="Times New Roman"/>
              </w:rPr>
            </w:pPr>
            <w:r>
              <w:rPr>
                <w:rFonts w:hint="eastAsia" w:ascii="Times New Roman" w:hAnsi="Times New Roman" w:eastAsia="宋体" w:cs="Times New Roman"/>
              </w:rPr>
              <w:t>本章主要</w:t>
            </w:r>
            <w:r>
              <w:rPr>
                <w:rFonts w:hint="eastAsia" w:ascii="Times New Roman" w:hAnsi="Times New Roman" w:eastAsia="宋体" w:cs="Times New Roman"/>
                <w:lang w:val="en-US" w:eastAsia="zh-CN"/>
              </w:rPr>
              <w:t>参考GB 50174《数据中心设计规范》、GB/T 41783《模块化数据中心通用规范》的相关测试方法，结合第四章节所列举的相关测试内容，但没有重复描述相关标准中的测试要求，更多的聚焦在</w:t>
            </w:r>
            <w:r>
              <w:rPr>
                <w:rFonts w:hint="eastAsia" w:ascii="Times New Roman" w:hAnsi="Times New Roman" w:eastAsia="宋体" w:cs="Times New Roman"/>
                <w:lang w:val="en-US" w:bidi="zh-CN"/>
              </w:rPr>
              <w:t>模块化数据中心产品的智能化和绿色化特性</w:t>
            </w:r>
            <w:r>
              <w:rPr>
                <w:rFonts w:hint="eastAsia" w:ascii="Times New Roman" w:hAnsi="Times New Roman" w:eastAsia="宋体" w:cs="Times New Roman"/>
              </w:rPr>
              <w:t>。</w:t>
            </w:r>
          </w:p>
          <w:p w14:paraId="114457B4">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6</w:t>
            </w:r>
            <w:r>
              <w:rPr>
                <w:rFonts w:hint="eastAsia" w:ascii="Times New Roman" w:hAnsi="Times New Roman" w:eastAsia="宋体" w:cs="Times New Roman"/>
              </w:rPr>
              <w:t>、</w:t>
            </w:r>
            <w:r>
              <w:rPr>
                <w:rFonts w:hint="eastAsia" w:ascii="Times New Roman" w:hAnsi="Times New Roman" w:eastAsia="宋体" w:cs="Times New Roman"/>
                <w:lang w:val="en-US" w:eastAsia="zh-CN"/>
              </w:rPr>
              <w:t>模块化测试综合评分规则</w:t>
            </w:r>
          </w:p>
          <w:p w14:paraId="356A2501">
            <w:pPr>
              <w:spacing w:before="156" w:beforeLines="50" w:after="156" w:afterLines="50"/>
              <w:ind w:firstLine="420" w:firstLineChars="200"/>
              <w:rPr>
                <w:rFonts w:ascii="Times New Roman" w:hAnsi="Times New Roman" w:eastAsia="宋体" w:cs="Times New Roman"/>
                <w:b/>
              </w:rPr>
            </w:pPr>
            <w:r>
              <w:rPr>
                <w:rFonts w:hint="eastAsia" w:ascii="Times New Roman" w:hAnsi="Times New Roman" w:eastAsia="宋体" w:cs="Times New Roman"/>
              </w:rPr>
              <w:t>本章主要</w:t>
            </w:r>
            <w:r>
              <w:rPr>
                <w:rFonts w:hint="eastAsia" w:ascii="Times New Roman" w:hAnsi="Times New Roman" w:eastAsia="宋体" w:cs="Times New Roman"/>
                <w:lang w:val="en-US" w:eastAsia="zh-CN"/>
              </w:rPr>
              <w:t>参考相关通用评价要求，可根据本标准进行自验证或第三方验证。</w:t>
            </w:r>
          </w:p>
        </w:tc>
      </w:tr>
      <w:tr w14:paraId="7570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116C8060">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与现行法律法规、强制性标准和其他有关标准的关系</w:t>
            </w:r>
          </w:p>
        </w:tc>
      </w:tr>
      <w:tr w14:paraId="7E29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trPr>
        <w:tc>
          <w:tcPr>
            <w:tcW w:w="1702" w:type="dxa"/>
            <w:gridSpan w:val="2"/>
            <w:vAlign w:val="center"/>
          </w:tcPr>
          <w:p w14:paraId="5C922E52">
            <w:pPr>
              <w:rPr>
                <w:rFonts w:ascii="Times New Roman" w:hAnsi="Times New Roman" w:eastAsia="宋体" w:cs="Times New Roman"/>
                <w:color w:val="000000"/>
                <w:szCs w:val="21"/>
              </w:rPr>
            </w:pPr>
            <w:r>
              <w:rPr>
                <w:rFonts w:ascii="Times New Roman" w:hAnsi="Times New Roman" w:eastAsia="宋体" w:cs="Times New Roman"/>
                <w:color w:val="000000"/>
                <w:szCs w:val="21"/>
              </w:rPr>
              <w:t>法律法规和强制性标准的关系</w:t>
            </w:r>
          </w:p>
        </w:tc>
        <w:tc>
          <w:tcPr>
            <w:tcW w:w="7513" w:type="dxa"/>
            <w:gridSpan w:val="4"/>
            <w:vAlign w:val="center"/>
          </w:tcPr>
          <w:p w14:paraId="24D0157C">
            <w:pPr>
              <w:spacing w:before="156" w:beforeLines="50" w:after="156" w:afterLines="50"/>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无</w:t>
            </w:r>
          </w:p>
        </w:tc>
      </w:tr>
      <w:tr w14:paraId="4F596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14:paraId="0A71B4AA">
            <w:pPr>
              <w:rPr>
                <w:rFonts w:ascii="Times New Roman" w:hAnsi="Times New Roman" w:eastAsia="宋体" w:cs="Times New Roman"/>
                <w:color w:val="000000"/>
                <w:szCs w:val="21"/>
              </w:rPr>
            </w:pPr>
            <w:r>
              <w:rPr>
                <w:rFonts w:ascii="Times New Roman" w:hAnsi="Times New Roman" w:eastAsia="宋体" w:cs="Times New Roman"/>
                <w:color w:val="000000"/>
                <w:szCs w:val="21"/>
              </w:rPr>
              <w:t>与其他有关标准的关系</w:t>
            </w:r>
          </w:p>
        </w:tc>
        <w:tc>
          <w:tcPr>
            <w:tcW w:w="7513" w:type="dxa"/>
            <w:gridSpan w:val="4"/>
            <w:vAlign w:val="center"/>
          </w:tcPr>
          <w:p w14:paraId="13519C87">
            <w:pPr>
              <w:spacing w:before="156" w:beforeLines="50" w:after="156" w:afterLines="50"/>
              <w:ind w:firstLine="420" w:firstLineChars="200"/>
              <w:rPr>
                <w:rFonts w:ascii="Times New Roman" w:hAnsi="Times New Roman" w:eastAsia="宋体" w:cs="Times New Roman"/>
              </w:rPr>
            </w:pPr>
            <w:r>
              <w:rPr>
                <w:rFonts w:hint="eastAsia" w:ascii="Times New Roman" w:hAnsi="Times New Roman" w:eastAsia="宋体" w:cs="Times New Roman"/>
              </w:rPr>
              <w:t>无</w:t>
            </w:r>
          </w:p>
        </w:tc>
      </w:tr>
      <w:tr w14:paraId="6BE27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19BB92A7">
            <w:pPr>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重大分歧意见的处理经过和依据</w:t>
            </w:r>
          </w:p>
        </w:tc>
      </w:tr>
      <w:tr w14:paraId="4CC0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0D3E163B">
            <w:pPr>
              <w:rPr>
                <w:rFonts w:ascii="Times New Roman" w:hAnsi="Times New Roman" w:eastAsia="宋体" w:cs="Times New Roman"/>
                <w:color w:val="000000"/>
                <w:szCs w:val="21"/>
              </w:rPr>
            </w:pPr>
            <w:r>
              <w:rPr>
                <w:rFonts w:ascii="Times New Roman" w:hAnsi="Times New Roman" w:eastAsia="宋体" w:cs="Times New Roman"/>
                <w:color w:val="000000"/>
                <w:szCs w:val="21"/>
              </w:rPr>
              <w:t>无</w:t>
            </w:r>
          </w:p>
          <w:p w14:paraId="5C2E2893">
            <w:pPr>
              <w:rPr>
                <w:rFonts w:ascii="Times New Roman" w:hAnsi="Times New Roman" w:eastAsia="宋体" w:cs="Times New Roman"/>
                <w:color w:val="000000"/>
                <w:szCs w:val="21"/>
              </w:rPr>
            </w:pPr>
          </w:p>
        </w:tc>
      </w:tr>
      <w:tr w14:paraId="77D9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785578FB">
            <w:pPr>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贯彻该标准的要求和措施建议</w:t>
            </w:r>
          </w:p>
        </w:tc>
      </w:tr>
      <w:tr w14:paraId="5233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14:paraId="460A400C">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建议标准发布</w:t>
            </w:r>
            <w:r>
              <w:rPr>
                <w:rFonts w:hint="eastAsia" w:ascii="Times New Roman" w:hAnsi="Times New Roman" w:eastAsia="宋体" w:cs="Times New Roman"/>
                <w:color w:val="000000"/>
                <w:szCs w:val="21"/>
              </w:rPr>
              <w:t>即</w:t>
            </w:r>
            <w:r>
              <w:rPr>
                <w:rFonts w:ascii="Times New Roman" w:hAnsi="Times New Roman" w:eastAsia="宋体" w:cs="Times New Roman"/>
                <w:color w:val="000000"/>
                <w:szCs w:val="21"/>
              </w:rPr>
              <w:t>实施</w:t>
            </w:r>
            <w:r>
              <w:rPr>
                <w:rFonts w:hint="eastAsia" w:ascii="Times New Roman" w:hAnsi="Times New Roman" w:eastAsia="宋体" w:cs="Times New Roman"/>
                <w:color w:val="000000"/>
                <w:szCs w:val="21"/>
              </w:rPr>
              <w:t>，</w:t>
            </w:r>
            <w:r>
              <w:rPr>
                <w:rFonts w:hint="eastAsia" w:ascii="Times New Roman" w:hAnsi="Times New Roman" w:eastAsia="宋体" w:cs="Times New Roman"/>
                <w:color w:val="000000"/>
                <w:szCs w:val="21"/>
                <w:lang w:val="en-US" w:eastAsia="zh-CN"/>
              </w:rPr>
              <w:t>有效指导第三方检测机构开展模糊化数据中心产品相关检测及评价活动</w:t>
            </w:r>
            <w:r>
              <w:rPr>
                <w:rFonts w:hint="eastAsia" w:ascii="Times New Roman" w:hAnsi="Times New Roman" w:eastAsia="宋体" w:cs="Times New Roman"/>
                <w:color w:val="000000"/>
                <w:szCs w:val="21"/>
              </w:rPr>
              <w:t>。</w:t>
            </w:r>
          </w:p>
        </w:tc>
      </w:tr>
    </w:tbl>
    <w:p w14:paraId="1B06C0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4"/>
      <w:suff w:val="nothing"/>
      <w:lvlText w:val="%1　"/>
      <w:lvlJc w:val="left"/>
      <w:pPr>
        <w:ind w:left="330" w:firstLine="0"/>
      </w:pPr>
      <w:rPr>
        <w:rFonts w:hint="eastAsia" w:ascii="黑体" w:hAnsi="Times New Roman" w:eastAsia="黑体"/>
        <w:b w:val="0"/>
        <w:i w:val="0"/>
        <w:sz w:val="21"/>
        <w:szCs w:val="21"/>
      </w:rPr>
    </w:lvl>
    <w:lvl w:ilvl="1" w:tentative="0">
      <w:start w:val="1"/>
      <w:numFmt w:val="decimal"/>
      <w:pStyle w:val="2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
      <w:suff w:val="nothing"/>
      <w:lvlText w:val="%1.%2.%3　"/>
      <w:lvlJc w:val="left"/>
      <w:pPr>
        <w:ind w:left="3119" w:firstLine="0"/>
      </w:pPr>
      <w:rPr>
        <w:rFonts w:hint="eastAsia" w:ascii="黑体" w:hAnsi="Times New Roman" w:eastAsia="黑体"/>
        <w:b w:val="0"/>
        <w:i w:val="0"/>
        <w:sz w:val="21"/>
      </w:rPr>
    </w:lvl>
    <w:lvl w:ilvl="3" w:tentative="0">
      <w:start w:val="1"/>
      <w:numFmt w:val="decimal"/>
      <w:pStyle w:val="25"/>
      <w:suff w:val="nothing"/>
      <w:lvlText w:val="%1.%2.%3.%4　"/>
      <w:lvlJc w:val="left"/>
      <w:pPr>
        <w:ind w:left="0" w:firstLine="0"/>
      </w:pPr>
      <w:rPr>
        <w:rFonts w:hint="eastAsia" w:ascii="黑体" w:hAnsi="Times New Roman" w:eastAsia="黑体"/>
        <w:b w:val="0"/>
        <w:i w:val="0"/>
        <w:sz w:val="21"/>
        <w:lang w:eastAsia="zh-CN"/>
      </w:rPr>
    </w:lvl>
    <w:lvl w:ilvl="4" w:tentative="0">
      <w:start w:val="1"/>
      <w:numFmt w:val="decimal"/>
      <w:pStyle w:val="27"/>
      <w:suff w:val="nothing"/>
      <w:lvlText w:val="%1.%2.%3.%4.%5　"/>
      <w:lvlJc w:val="left"/>
      <w:pPr>
        <w:ind w:left="0" w:firstLine="0"/>
      </w:pPr>
      <w:rPr>
        <w:rFonts w:hint="eastAsia" w:ascii="黑体" w:hAnsi="Times New Roman" w:eastAsia="黑体"/>
        <w:b w:val="0"/>
        <w:i w:val="0"/>
        <w:sz w:val="21"/>
      </w:rPr>
    </w:lvl>
    <w:lvl w:ilvl="5" w:tentative="0">
      <w:start w:val="1"/>
      <w:numFmt w:val="decimal"/>
      <w:pStyle w:val="2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F1C6940"/>
    <w:multiLevelType w:val="multilevel"/>
    <w:tmpl w:val="3F1C69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380A01"/>
    <w:multiLevelType w:val="multilevel"/>
    <w:tmpl w:val="5C380A0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0NThlNTQ1ODlkOGM4MDViNmIxNGZiOTM3MTE3M2IifQ=="/>
  </w:docVars>
  <w:rsids>
    <w:rsidRoot w:val="0036535E"/>
    <w:rsid w:val="00006324"/>
    <w:rsid w:val="00080BFB"/>
    <w:rsid w:val="0009621A"/>
    <w:rsid w:val="000D28F1"/>
    <w:rsid w:val="000E77D3"/>
    <w:rsid w:val="000F2391"/>
    <w:rsid w:val="001011C8"/>
    <w:rsid w:val="0010649D"/>
    <w:rsid w:val="00112838"/>
    <w:rsid w:val="00144E53"/>
    <w:rsid w:val="001469E3"/>
    <w:rsid w:val="00163284"/>
    <w:rsid w:val="00170446"/>
    <w:rsid w:val="00181EFD"/>
    <w:rsid w:val="00190EC4"/>
    <w:rsid w:val="00196B41"/>
    <w:rsid w:val="001A7DD7"/>
    <w:rsid w:val="001B6082"/>
    <w:rsid w:val="001F4C13"/>
    <w:rsid w:val="00201C5E"/>
    <w:rsid w:val="00212E4B"/>
    <w:rsid w:val="00231260"/>
    <w:rsid w:val="0025069A"/>
    <w:rsid w:val="00256B3D"/>
    <w:rsid w:val="0026025F"/>
    <w:rsid w:val="002843C0"/>
    <w:rsid w:val="002966C0"/>
    <w:rsid w:val="002C488F"/>
    <w:rsid w:val="002D234E"/>
    <w:rsid w:val="003109F9"/>
    <w:rsid w:val="003125DD"/>
    <w:rsid w:val="00331754"/>
    <w:rsid w:val="00355B33"/>
    <w:rsid w:val="0036535E"/>
    <w:rsid w:val="00372569"/>
    <w:rsid w:val="00385FE3"/>
    <w:rsid w:val="003C04D3"/>
    <w:rsid w:val="003C4A04"/>
    <w:rsid w:val="003C5866"/>
    <w:rsid w:val="003D413C"/>
    <w:rsid w:val="003E5A8E"/>
    <w:rsid w:val="003F4492"/>
    <w:rsid w:val="00401525"/>
    <w:rsid w:val="0041491E"/>
    <w:rsid w:val="004236F8"/>
    <w:rsid w:val="00426F6D"/>
    <w:rsid w:val="00442B3B"/>
    <w:rsid w:val="00486285"/>
    <w:rsid w:val="00487DB6"/>
    <w:rsid w:val="004B6F83"/>
    <w:rsid w:val="004C3C34"/>
    <w:rsid w:val="004C6420"/>
    <w:rsid w:val="004E2E1A"/>
    <w:rsid w:val="004E583F"/>
    <w:rsid w:val="005121F1"/>
    <w:rsid w:val="005156A7"/>
    <w:rsid w:val="0053446C"/>
    <w:rsid w:val="0056212C"/>
    <w:rsid w:val="005805AC"/>
    <w:rsid w:val="005B22FF"/>
    <w:rsid w:val="005E1A5B"/>
    <w:rsid w:val="005F034F"/>
    <w:rsid w:val="006056B5"/>
    <w:rsid w:val="00620DD0"/>
    <w:rsid w:val="00635CA4"/>
    <w:rsid w:val="00635DCB"/>
    <w:rsid w:val="00645DB7"/>
    <w:rsid w:val="00650B63"/>
    <w:rsid w:val="006557F2"/>
    <w:rsid w:val="00686DFD"/>
    <w:rsid w:val="00694963"/>
    <w:rsid w:val="006B5FFF"/>
    <w:rsid w:val="006C4A03"/>
    <w:rsid w:val="006C4F4F"/>
    <w:rsid w:val="006D058B"/>
    <w:rsid w:val="006D2BBA"/>
    <w:rsid w:val="006D2C5D"/>
    <w:rsid w:val="006D464D"/>
    <w:rsid w:val="006F6894"/>
    <w:rsid w:val="00707114"/>
    <w:rsid w:val="00724D81"/>
    <w:rsid w:val="00747ADA"/>
    <w:rsid w:val="007547BF"/>
    <w:rsid w:val="007737DE"/>
    <w:rsid w:val="00784DC1"/>
    <w:rsid w:val="00784FB2"/>
    <w:rsid w:val="00790C1C"/>
    <w:rsid w:val="0080192B"/>
    <w:rsid w:val="008119A4"/>
    <w:rsid w:val="008471C3"/>
    <w:rsid w:val="00855850"/>
    <w:rsid w:val="008766DA"/>
    <w:rsid w:val="00877013"/>
    <w:rsid w:val="00884291"/>
    <w:rsid w:val="008A5C64"/>
    <w:rsid w:val="008A7C55"/>
    <w:rsid w:val="008D7768"/>
    <w:rsid w:val="009044CF"/>
    <w:rsid w:val="00905598"/>
    <w:rsid w:val="00933E7D"/>
    <w:rsid w:val="009419DA"/>
    <w:rsid w:val="00946122"/>
    <w:rsid w:val="009543B5"/>
    <w:rsid w:val="009565FB"/>
    <w:rsid w:val="009647D5"/>
    <w:rsid w:val="0098335A"/>
    <w:rsid w:val="009852F0"/>
    <w:rsid w:val="00985B82"/>
    <w:rsid w:val="0099129D"/>
    <w:rsid w:val="009A2995"/>
    <w:rsid w:val="009A7814"/>
    <w:rsid w:val="009D64DD"/>
    <w:rsid w:val="00A13FCA"/>
    <w:rsid w:val="00A2201A"/>
    <w:rsid w:val="00A22B4D"/>
    <w:rsid w:val="00A36B0C"/>
    <w:rsid w:val="00A40B42"/>
    <w:rsid w:val="00A752A0"/>
    <w:rsid w:val="00AA2E4D"/>
    <w:rsid w:val="00AA6942"/>
    <w:rsid w:val="00AA697E"/>
    <w:rsid w:val="00AC3CCE"/>
    <w:rsid w:val="00AD1200"/>
    <w:rsid w:val="00AD4E6E"/>
    <w:rsid w:val="00AE27F8"/>
    <w:rsid w:val="00AF3B9A"/>
    <w:rsid w:val="00B02ED5"/>
    <w:rsid w:val="00B12267"/>
    <w:rsid w:val="00B23A00"/>
    <w:rsid w:val="00B32997"/>
    <w:rsid w:val="00B7309A"/>
    <w:rsid w:val="00BA6875"/>
    <w:rsid w:val="00BB26B8"/>
    <w:rsid w:val="00BE1A2F"/>
    <w:rsid w:val="00BF755C"/>
    <w:rsid w:val="00C023A4"/>
    <w:rsid w:val="00C028B1"/>
    <w:rsid w:val="00C23932"/>
    <w:rsid w:val="00CA140C"/>
    <w:rsid w:val="00CA47DC"/>
    <w:rsid w:val="00CB1E4D"/>
    <w:rsid w:val="00CB487C"/>
    <w:rsid w:val="00CB5C35"/>
    <w:rsid w:val="00CC71A4"/>
    <w:rsid w:val="00CD1D3F"/>
    <w:rsid w:val="00CD5034"/>
    <w:rsid w:val="00CE7E36"/>
    <w:rsid w:val="00D00AF9"/>
    <w:rsid w:val="00D03320"/>
    <w:rsid w:val="00D13EFF"/>
    <w:rsid w:val="00D15B15"/>
    <w:rsid w:val="00D253FC"/>
    <w:rsid w:val="00D25EB8"/>
    <w:rsid w:val="00D333D7"/>
    <w:rsid w:val="00D4376B"/>
    <w:rsid w:val="00D463FE"/>
    <w:rsid w:val="00D60FC9"/>
    <w:rsid w:val="00D779D1"/>
    <w:rsid w:val="00D92406"/>
    <w:rsid w:val="00DC3190"/>
    <w:rsid w:val="00DE4531"/>
    <w:rsid w:val="00DE5A8D"/>
    <w:rsid w:val="00E15190"/>
    <w:rsid w:val="00E33795"/>
    <w:rsid w:val="00E43ED2"/>
    <w:rsid w:val="00E57423"/>
    <w:rsid w:val="00E907DE"/>
    <w:rsid w:val="00E91DFD"/>
    <w:rsid w:val="00EB2481"/>
    <w:rsid w:val="00EC44D4"/>
    <w:rsid w:val="00EE3503"/>
    <w:rsid w:val="00EF572A"/>
    <w:rsid w:val="00F015E2"/>
    <w:rsid w:val="00F01AEB"/>
    <w:rsid w:val="00F43BE2"/>
    <w:rsid w:val="00F47876"/>
    <w:rsid w:val="00F5330F"/>
    <w:rsid w:val="00F544CA"/>
    <w:rsid w:val="00F74DA2"/>
    <w:rsid w:val="00FC1B21"/>
    <w:rsid w:val="00FC2195"/>
    <w:rsid w:val="00FF45E1"/>
    <w:rsid w:val="011549C7"/>
    <w:rsid w:val="012A5F64"/>
    <w:rsid w:val="02184C85"/>
    <w:rsid w:val="03A2106F"/>
    <w:rsid w:val="040C25C7"/>
    <w:rsid w:val="058D3B10"/>
    <w:rsid w:val="067B7157"/>
    <w:rsid w:val="07F25F78"/>
    <w:rsid w:val="08D137DE"/>
    <w:rsid w:val="08DD6040"/>
    <w:rsid w:val="098041B2"/>
    <w:rsid w:val="0A425585"/>
    <w:rsid w:val="0B691F99"/>
    <w:rsid w:val="0BD32CFD"/>
    <w:rsid w:val="0BFE1A0D"/>
    <w:rsid w:val="0D004C93"/>
    <w:rsid w:val="0D8A023C"/>
    <w:rsid w:val="0EC724C3"/>
    <w:rsid w:val="115D26D0"/>
    <w:rsid w:val="116001A2"/>
    <w:rsid w:val="11A1215F"/>
    <w:rsid w:val="11BA012C"/>
    <w:rsid w:val="132F22E1"/>
    <w:rsid w:val="13B46C8A"/>
    <w:rsid w:val="14694BBB"/>
    <w:rsid w:val="1562635D"/>
    <w:rsid w:val="18DB6B46"/>
    <w:rsid w:val="192D1028"/>
    <w:rsid w:val="193314B2"/>
    <w:rsid w:val="198207A2"/>
    <w:rsid w:val="199D14A7"/>
    <w:rsid w:val="1A421177"/>
    <w:rsid w:val="1AB96C13"/>
    <w:rsid w:val="1C7A6255"/>
    <w:rsid w:val="1D6A471D"/>
    <w:rsid w:val="1DDB0042"/>
    <w:rsid w:val="1E83046A"/>
    <w:rsid w:val="1FE31210"/>
    <w:rsid w:val="20427645"/>
    <w:rsid w:val="20A46BAF"/>
    <w:rsid w:val="20AD4C4C"/>
    <w:rsid w:val="20B96553"/>
    <w:rsid w:val="21697186"/>
    <w:rsid w:val="24636F51"/>
    <w:rsid w:val="25101FEA"/>
    <w:rsid w:val="262A15A6"/>
    <w:rsid w:val="26E34FB2"/>
    <w:rsid w:val="272E5D11"/>
    <w:rsid w:val="276E1950"/>
    <w:rsid w:val="27906B32"/>
    <w:rsid w:val="28B07116"/>
    <w:rsid w:val="28D728F5"/>
    <w:rsid w:val="295327B7"/>
    <w:rsid w:val="29B6677B"/>
    <w:rsid w:val="2A0B6CFA"/>
    <w:rsid w:val="2C2335F0"/>
    <w:rsid w:val="2C3D2B44"/>
    <w:rsid w:val="2CE12E69"/>
    <w:rsid w:val="2CEE29B3"/>
    <w:rsid w:val="2DB60A4D"/>
    <w:rsid w:val="2DC36797"/>
    <w:rsid w:val="2DF32083"/>
    <w:rsid w:val="2F9E024B"/>
    <w:rsid w:val="301448A1"/>
    <w:rsid w:val="30C620BD"/>
    <w:rsid w:val="311E5289"/>
    <w:rsid w:val="32A61CB5"/>
    <w:rsid w:val="338673F1"/>
    <w:rsid w:val="3440654A"/>
    <w:rsid w:val="359D0A22"/>
    <w:rsid w:val="37804506"/>
    <w:rsid w:val="379F44F1"/>
    <w:rsid w:val="37A172B4"/>
    <w:rsid w:val="38514C4C"/>
    <w:rsid w:val="38C74734"/>
    <w:rsid w:val="3BC355FF"/>
    <w:rsid w:val="3E56715C"/>
    <w:rsid w:val="3E7A3FF6"/>
    <w:rsid w:val="407A42C7"/>
    <w:rsid w:val="414A7CB0"/>
    <w:rsid w:val="415A7238"/>
    <w:rsid w:val="42A27568"/>
    <w:rsid w:val="42BC707C"/>
    <w:rsid w:val="44B85878"/>
    <w:rsid w:val="451149DB"/>
    <w:rsid w:val="460E7377"/>
    <w:rsid w:val="462555FD"/>
    <w:rsid w:val="467461F4"/>
    <w:rsid w:val="46920251"/>
    <w:rsid w:val="47E658B8"/>
    <w:rsid w:val="488915A4"/>
    <w:rsid w:val="4AD543B2"/>
    <w:rsid w:val="4AEE4F8B"/>
    <w:rsid w:val="4AFD7BD8"/>
    <w:rsid w:val="4C237A7B"/>
    <w:rsid w:val="4CC0735A"/>
    <w:rsid w:val="4CD90D6B"/>
    <w:rsid w:val="4D0E4287"/>
    <w:rsid w:val="4D9C15C1"/>
    <w:rsid w:val="4DEB186C"/>
    <w:rsid w:val="4E7051D6"/>
    <w:rsid w:val="50812FC2"/>
    <w:rsid w:val="508C0F0A"/>
    <w:rsid w:val="51142088"/>
    <w:rsid w:val="5164349B"/>
    <w:rsid w:val="51EA403C"/>
    <w:rsid w:val="523E690A"/>
    <w:rsid w:val="52EC506B"/>
    <w:rsid w:val="532518DA"/>
    <w:rsid w:val="545210F3"/>
    <w:rsid w:val="553A4AF5"/>
    <w:rsid w:val="5609325A"/>
    <w:rsid w:val="56AC1FD5"/>
    <w:rsid w:val="58624762"/>
    <w:rsid w:val="58B14A7E"/>
    <w:rsid w:val="59B5105D"/>
    <w:rsid w:val="5AF91DE6"/>
    <w:rsid w:val="5C2E714A"/>
    <w:rsid w:val="5CAA24C0"/>
    <w:rsid w:val="5ED83B1A"/>
    <w:rsid w:val="5FB011CE"/>
    <w:rsid w:val="600646DE"/>
    <w:rsid w:val="6017749F"/>
    <w:rsid w:val="60653243"/>
    <w:rsid w:val="60BC47F5"/>
    <w:rsid w:val="61783D00"/>
    <w:rsid w:val="617F6C35"/>
    <w:rsid w:val="61B55145"/>
    <w:rsid w:val="622337C9"/>
    <w:rsid w:val="622C6B2F"/>
    <w:rsid w:val="63405800"/>
    <w:rsid w:val="63BC735B"/>
    <w:rsid w:val="64804C3B"/>
    <w:rsid w:val="649349AF"/>
    <w:rsid w:val="64C9520C"/>
    <w:rsid w:val="64F270AC"/>
    <w:rsid w:val="65B934E5"/>
    <w:rsid w:val="661B0340"/>
    <w:rsid w:val="661C7073"/>
    <w:rsid w:val="66EA3A8A"/>
    <w:rsid w:val="69441EA3"/>
    <w:rsid w:val="69AB6A5F"/>
    <w:rsid w:val="6A774B85"/>
    <w:rsid w:val="6C0E1756"/>
    <w:rsid w:val="6D0329FB"/>
    <w:rsid w:val="6F6C499C"/>
    <w:rsid w:val="6F717297"/>
    <w:rsid w:val="6F8A5598"/>
    <w:rsid w:val="71594F0D"/>
    <w:rsid w:val="75537C1F"/>
    <w:rsid w:val="7605446D"/>
    <w:rsid w:val="7675484C"/>
    <w:rsid w:val="77BE6726"/>
    <w:rsid w:val="77C40E74"/>
    <w:rsid w:val="79F72FA5"/>
    <w:rsid w:val="7B02692A"/>
    <w:rsid w:val="7B4C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link w:val="21"/>
    <w:autoRedefine/>
    <w:semiHidden/>
    <w:unhideWhenUsed/>
    <w:qFormat/>
    <w:uiPriority w:val="9"/>
    <w:pPr>
      <w:keepNext/>
      <w:keepLines/>
      <w:spacing w:before="260" w:after="260" w:line="416" w:lineRule="auto"/>
      <w:outlineLvl w:val="2"/>
    </w:pPr>
    <w:rPr>
      <w:b/>
      <w:bCs/>
      <w:sz w:val="32"/>
      <w:szCs w:val="32"/>
    </w:rPr>
  </w:style>
  <w:style w:type="character" w:default="1" w:styleId="11">
    <w:name w:val="Default Paragraph Font"/>
    <w:autoRedefine/>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0"/>
    <w:pPr>
      <w:jc w:val="left"/>
    </w:pPr>
  </w:style>
  <w:style w:type="paragraph" w:styleId="5">
    <w:name w:val="Body Text"/>
    <w:basedOn w:val="1"/>
    <w:link w:val="16"/>
    <w:qFormat/>
    <w:uiPriority w:val="1"/>
    <w:pPr>
      <w:autoSpaceDE w:val="0"/>
      <w:autoSpaceDN w:val="0"/>
      <w:ind w:firstLine="200" w:firstLineChars="200"/>
      <w:jc w:val="left"/>
    </w:pPr>
    <w:rPr>
      <w:rFonts w:ascii="宋体" w:hAnsi="宋体" w:eastAsia="宋体" w:cs="宋体"/>
      <w:kern w:val="0"/>
      <w:szCs w:val="21"/>
      <w:lang w:val="zh-CN" w:bidi="zh-CN"/>
    </w:rPr>
  </w:style>
  <w:style w:type="paragraph" w:styleId="6">
    <w:name w:val="Balloon Text"/>
    <w:basedOn w:val="1"/>
    <w:link w:val="28"/>
    <w:semiHidden/>
    <w:unhideWhenUsed/>
    <w:qFormat/>
    <w:uiPriority w:val="99"/>
    <w:rPr>
      <w:rFonts w:asciiTheme="majorHAnsi" w:hAnsiTheme="majorHAnsi" w:eastAsiaTheme="majorEastAsia" w:cstheme="majorBidi"/>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basedOn w:val="11"/>
    <w:semiHidden/>
    <w:unhideWhenUsed/>
    <w:uiPriority w:val="99"/>
    <w:rPr>
      <w:color w:val="0000FF"/>
      <w:u w:val="single"/>
    </w:rPr>
  </w:style>
  <w:style w:type="character" w:customStyle="1" w:styleId="14">
    <w:name w:val="页眉 字符"/>
    <w:basedOn w:val="11"/>
    <w:link w:val="8"/>
    <w:qFormat/>
    <w:uiPriority w:val="99"/>
    <w:rPr>
      <w:sz w:val="18"/>
      <w:szCs w:val="18"/>
    </w:rPr>
  </w:style>
  <w:style w:type="character" w:customStyle="1" w:styleId="15">
    <w:name w:val="页脚 字符"/>
    <w:basedOn w:val="11"/>
    <w:link w:val="7"/>
    <w:qFormat/>
    <w:uiPriority w:val="99"/>
    <w:rPr>
      <w:sz w:val="18"/>
      <w:szCs w:val="18"/>
    </w:rPr>
  </w:style>
  <w:style w:type="character" w:customStyle="1" w:styleId="16">
    <w:name w:val="正文文本 字符"/>
    <w:basedOn w:val="11"/>
    <w:link w:val="5"/>
    <w:qFormat/>
    <w:uiPriority w:val="1"/>
    <w:rPr>
      <w:rFonts w:ascii="宋体" w:hAnsi="宋体" w:eastAsia="宋体" w:cs="宋体"/>
      <w:kern w:val="0"/>
      <w:szCs w:val="21"/>
      <w:lang w:val="zh-CN" w:bidi="zh-CN"/>
    </w:rPr>
  </w:style>
  <w:style w:type="paragraph" w:styleId="17">
    <w:name w:val="List Paragraph"/>
    <w:basedOn w:val="1"/>
    <w:qFormat/>
    <w:uiPriority w:val="34"/>
    <w:pPr>
      <w:ind w:firstLine="420" w:firstLineChars="200"/>
    </w:pPr>
  </w:style>
  <w:style w:type="character" w:customStyle="1" w:styleId="18">
    <w:name w:val="段 Char"/>
    <w:link w:val="19"/>
    <w:qFormat/>
    <w:uiPriority w:val="0"/>
    <w:rPr>
      <w:rFonts w:ascii="宋体" w:hAnsi="Times New Roman"/>
    </w:rPr>
  </w:style>
  <w:style w:type="paragraph" w:customStyle="1" w:styleId="19">
    <w:name w:val="段"/>
    <w:link w:val="18"/>
    <w:qFormat/>
    <w:uiPriority w:val="0"/>
    <w:pPr>
      <w:tabs>
        <w:tab w:val="center" w:pos="4201"/>
        <w:tab w:val="right" w:leader="dot" w:pos="9298"/>
      </w:tabs>
      <w:autoSpaceDE w:val="0"/>
      <w:autoSpaceDN w:val="0"/>
      <w:jc w:val="both"/>
    </w:pPr>
    <w:rPr>
      <w:rFonts w:ascii="宋体" w:hAnsi="Times New Roman" w:eastAsiaTheme="minorEastAsia" w:cstheme="minorBidi"/>
      <w:kern w:val="2"/>
      <w:sz w:val="21"/>
      <w:szCs w:val="22"/>
      <w:lang w:val="en-US" w:eastAsia="zh-CN" w:bidi="ar-SA"/>
    </w:rPr>
  </w:style>
  <w:style w:type="character" w:customStyle="1" w:styleId="20">
    <w:name w:val="标题 1 字符"/>
    <w:basedOn w:val="11"/>
    <w:link w:val="2"/>
    <w:qFormat/>
    <w:uiPriority w:val="9"/>
    <w:rPr>
      <w:rFonts w:ascii="宋体" w:hAnsi="宋体" w:eastAsia="宋体" w:cs="宋体"/>
      <w:b/>
      <w:bCs/>
      <w:kern w:val="36"/>
      <w:sz w:val="48"/>
      <w:szCs w:val="48"/>
    </w:rPr>
  </w:style>
  <w:style w:type="character" w:customStyle="1" w:styleId="21">
    <w:name w:val="标题 3 字符"/>
    <w:basedOn w:val="11"/>
    <w:link w:val="3"/>
    <w:autoRedefine/>
    <w:semiHidden/>
    <w:qFormat/>
    <w:uiPriority w:val="9"/>
    <w:rPr>
      <w:b/>
      <w:bCs/>
      <w:sz w:val="32"/>
      <w:szCs w:val="32"/>
    </w:rPr>
  </w:style>
  <w:style w:type="paragraph" w:customStyle="1" w:styleId="22">
    <w:name w:val="一级条标题"/>
    <w:next w:val="19"/>
    <w:autoRedefine/>
    <w:qFormat/>
    <w:uiPriority w:val="0"/>
    <w:pPr>
      <w:numPr>
        <w:ilvl w:val="1"/>
        <w:numId w:val="1"/>
      </w:numPr>
      <w:outlineLvl w:val="1"/>
    </w:pPr>
    <w:rPr>
      <w:rFonts w:ascii="黑体" w:hAnsi="Times New Roman" w:eastAsia="宋体" w:cs="Times New Roman"/>
      <w:sz w:val="21"/>
      <w:szCs w:val="21"/>
      <w:lang w:val="en-US" w:eastAsia="zh-CN" w:bidi="ar-SA"/>
    </w:rPr>
  </w:style>
  <w:style w:type="paragraph" w:customStyle="1" w:styleId="23">
    <w:name w:val="二级条标题"/>
    <w:basedOn w:val="22"/>
    <w:next w:val="19"/>
    <w:autoRedefine/>
    <w:qFormat/>
    <w:uiPriority w:val="0"/>
    <w:pPr>
      <w:numPr>
        <w:ilvl w:val="2"/>
      </w:numPr>
      <w:spacing w:before="50" w:after="50"/>
      <w:ind w:left="850"/>
      <w:outlineLvl w:val="3"/>
    </w:pPr>
  </w:style>
  <w:style w:type="paragraph" w:customStyle="1" w:styleId="24">
    <w:name w:val="章标题"/>
    <w:next w:val="19"/>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5">
    <w:name w:val="三级条标题"/>
    <w:basedOn w:val="23"/>
    <w:next w:val="19"/>
    <w:autoRedefine/>
    <w:qFormat/>
    <w:uiPriority w:val="0"/>
    <w:pPr>
      <w:numPr>
        <w:ilvl w:val="3"/>
      </w:numPr>
      <w:spacing w:before="0" w:after="0"/>
      <w:outlineLvl w:val="4"/>
    </w:pPr>
  </w:style>
  <w:style w:type="paragraph" w:customStyle="1" w:styleId="26">
    <w:name w:val="五级条标题"/>
    <w:basedOn w:val="27"/>
    <w:next w:val="19"/>
    <w:qFormat/>
    <w:uiPriority w:val="0"/>
    <w:pPr>
      <w:numPr>
        <w:ilvl w:val="5"/>
      </w:numPr>
      <w:outlineLvl w:val="6"/>
    </w:pPr>
  </w:style>
  <w:style w:type="paragraph" w:customStyle="1" w:styleId="27">
    <w:name w:val="四级条标题"/>
    <w:basedOn w:val="25"/>
    <w:next w:val="19"/>
    <w:qFormat/>
    <w:uiPriority w:val="0"/>
    <w:pPr>
      <w:numPr>
        <w:ilvl w:val="4"/>
      </w:numPr>
      <w:outlineLvl w:val="5"/>
    </w:pPr>
  </w:style>
  <w:style w:type="character" w:customStyle="1" w:styleId="28">
    <w:name w:val="批注框文本 字符"/>
    <w:basedOn w:val="11"/>
    <w:link w:val="6"/>
    <w:autoRedefine/>
    <w:semiHidden/>
    <w:qFormat/>
    <w:uiPriority w:val="99"/>
    <w:rPr>
      <w:rFonts w:asciiTheme="majorHAnsi" w:hAnsiTheme="majorHAnsi" w:eastAsiaTheme="majorEastAsia" w:cstheme="majorBidi"/>
      <w:sz w:val="18"/>
      <w:szCs w:val="18"/>
    </w:rPr>
  </w:style>
  <w:style w:type="paragraph" w:customStyle="1" w:styleId="29">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2589</Words>
  <Characters>2725</Characters>
  <Lines>17</Lines>
  <Paragraphs>4</Paragraphs>
  <TotalTime>6</TotalTime>
  <ScaleCrop>false</ScaleCrop>
  <LinksUpToDate>false</LinksUpToDate>
  <CharactersWithSpaces>2757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2023-11-21T07:04:00Z</dcterms:created>
  <dc:creator>闫 一凡</dc:creator>
  <cp:lastModifiedBy>陈凯</cp:lastModifiedBy>
  <dcterms:modified xsi:type="dcterms:W3CDTF">2024-09-28T01:14:45Z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C7B8147BB43F4867815B99A9A3C7344B_13</vt:lpwstr>
  </property>
</Properties>
</file>