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CA921">
      <w:pPr>
        <w:pStyle w:val="124"/>
        <w:framePr w:wrap="around"/>
      </w:pPr>
      <w:r>
        <w:rPr>
          <w:rFonts w:ascii="Times New Roman"/>
        </w:rPr>
        <w:t>ICS</w:t>
      </w:r>
      <w:r>
        <w:rPr>
          <w:rFonts w:hAnsi="黑体"/>
        </w:rPr>
        <w:t> </w:t>
      </w:r>
      <w:r>
        <w:rPr>
          <w:rFonts w:hint="eastAsia" w:hAnsi="黑体"/>
        </w:rPr>
        <w:t>03.120.20</w:t>
      </w:r>
    </w:p>
    <w:p w14:paraId="77D13EB0">
      <w:pPr>
        <w:pStyle w:val="124"/>
        <w:framePr w:wrap="around"/>
        <w:rPr>
          <w:rFonts w:ascii="Times New Roman"/>
        </w:rPr>
      </w:pPr>
      <w:r>
        <w:rPr>
          <w:rFonts w:hint="eastAsia" w:ascii="Times New Roman"/>
        </w:rPr>
        <w:t>CCS  A 00</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14:paraId="1D2EE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14:paraId="315ECEC3">
            <w:pPr>
              <w:pStyle w:val="124"/>
              <w:framePr w:wrap="around"/>
            </w:pPr>
          </w:p>
        </w:tc>
      </w:tr>
    </w:tbl>
    <w:p w14:paraId="2C4DA520">
      <w:pPr>
        <w:pStyle w:val="110"/>
        <w:framePr w:wrap="around"/>
        <w:wordWrap w:val="0"/>
      </w:pPr>
      <w:r>
        <w:t xml:space="preserve">  </w:t>
      </w:r>
    </w:p>
    <w:p w14:paraId="39C484EE">
      <w:pPr>
        <w:pStyle w:val="111"/>
        <w:framePr w:w="8038" w:wrap="around" w:x="2104"/>
        <w:rPr>
          <w:rFonts w:ascii="Times New Roman" w:hAnsi="Times New Roman"/>
          <w:sz w:val="72"/>
          <w:szCs w:val="72"/>
        </w:rPr>
      </w:pPr>
      <w:r>
        <w:rPr>
          <w:rFonts w:hint="eastAsia" w:ascii="Times New Roman" w:hAnsi="Times New Roman"/>
          <w:sz w:val="72"/>
          <w:szCs w:val="72"/>
        </w:rPr>
        <w:t>团体标准</w:t>
      </w:r>
    </w:p>
    <w:p w14:paraId="432C832A">
      <w:pPr>
        <w:pStyle w:val="48"/>
        <w:framePr w:wrap="around" w:x="1618" w:y="3561"/>
        <w:rPr>
          <w:rFonts w:hAnsi="黑体" w:cs="黑体"/>
        </w:rPr>
      </w:pPr>
      <w:r>
        <w:rPr>
          <w:rFonts w:hint="eastAsia" w:hAnsi="黑体" w:cs="黑体"/>
        </w:rPr>
        <w:t>T/CCAA XX—XXXX</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14:paraId="20E4D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130" w:type="dxa"/>
            <w:tcBorders>
              <w:top w:val="nil"/>
              <w:left w:val="nil"/>
              <w:bottom w:val="nil"/>
              <w:right w:val="nil"/>
            </w:tcBorders>
            <w:shd w:val="clear" w:color="auto" w:fill="auto"/>
          </w:tcPr>
          <w:p w14:paraId="1DB0C0E5">
            <w:pPr>
              <w:pStyle w:val="77"/>
              <w:framePr w:wrap="around" w:x="1618" w:y="3561"/>
            </w:pPr>
            <w:r>
              <mc:AlternateContent>
                <mc:Choice Requires="wps">
                  <w:drawing>
                    <wp:anchor distT="0" distB="0" distL="114300" distR="114300" simplePos="0" relativeHeight="251663360"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txbx>
                              <w:txbxContent>
                                <w:p w14:paraId="6C3B3C0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DT" o:spid="_x0000_s1026" o:spt="1" style="position:absolute;left:0pt;margin-left:367.4pt;margin-top:2.7pt;height:18pt;width:90pt;z-index:-251653120;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We5P/TAAAACAEA&#10;AA8AAAAAAAAAAQAgAAAAIgAAAGRycy9kb3ducmV2LnhtbFBLAQIUABQAAAAIAIdO4kCpIlCfWAIA&#10;AMcEAAAOAAAAAAAAAAEAIAAAACIBAABkcnMvZTJvRG9jLnhtbFBLBQYAAAAABgAGAFkBAADsBQAA&#10;AAA=&#10;">
                      <v:fill on="t" focussize="0,0"/>
                      <v:stroke on="f" weight="2pt"/>
                      <v:imagedata o:title=""/>
                      <o:lock v:ext="edit" aspectratio="f"/>
                      <v:textbox>
                        <w:txbxContent>
                          <w:p w14:paraId="6C3B3C0A">
                            <w:pPr>
                              <w:jc w:val="center"/>
                            </w:pPr>
                          </w:p>
                        </w:txbxContent>
                      </v:textbox>
                    </v:rect>
                  </w:pict>
                </mc:Fallback>
              </mc:AlternateContent>
            </w:r>
          </w:p>
        </w:tc>
      </w:tr>
    </w:tbl>
    <w:p w14:paraId="05B82A82">
      <w:pPr>
        <w:pStyle w:val="48"/>
        <w:framePr w:wrap="around" w:x="1618" w:y="3561"/>
        <w:rPr>
          <w:rFonts w:hAnsi="黑体"/>
        </w:rPr>
      </w:pPr>
    </w:p>
    <w:p w14:paraId="05437D12">
      <w:pPr>
        <w:pStyle w:val="48"/>
        <w:framePr w:wrap="around" w:x="1618" w:y="3561"/>
        <w:rPr>
          <w:rFonts w:hAnsi="黑体"/>
        </w:rPr>
      </w:pPr>
    </w:p>
    <w:p w14:paraId="0921C5BA">
      <w:pPr>
        <w:pStyle w:val="79"/>
        <w:framePr w:wrap="around"/>
        <w:rPr>
          <w:rFonts w:hAnsi="黑体"/>
          <w:b/>
          <w:color w:val="000000" w:themeColor="text1"/>
          <w:szCs w:val="48"/>
          <w14:textFill>
            <w14:solidFill>
              <w14:schemeClr w14:val="tx1"/>
            </w14:solidFill>
          </w14:textFill>
        </w:rPr>
      </w:pPr>
      <w:r>
        <w:rPr>
          <w:rFonts w:hint="eastAsia" w:hAnsi="黑体"/>
          <w:b/>
          <w:color w:val="000000" w:themeColor="text1"/>
          <w:szCs w:val="48"/>
          <w14:textFill>
            <w14:solidFill>
              <w14:schemeClr w14:val="tx1"/>
            </w14:solidFill>
          </w14:textFill>
        </w:rPr>
        <w:t>科技成果评价机构要求</w:t>
      </w:r>
    </w:p>
    <w:p w14:paraId="6FAB2E29">
      <w:pPr>
        <w:framePr w:w="9639" w:h="6917" w:hRule="exact" w:wrap="around" w:vAnchor="page" w:hAnchor="page" w:xAlign="center" w:y="6408" w:anchorLock="1"/>
        <w:adjustRightInd w:val="0"/>
        <w:snapToGrid w:val="0"/>
        <w:spacing w:before="62" w:beforeLines="20" w:after="62" w:afterLines="2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Requirements for the scientific and technological findings evaluation body</w:t>
      </w:r>
    </w:p>
    <w:p w14:paraId="1516C093">
      <w:pPr>
        <w:pStyle w:val="81"/>
        <w:framePr w:wrap="around"/>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9"/>
      </w:tblGrid>
      <w:tr w14:paraId="3BD3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9" w:type="dxa"/>
            <w:tcBorders>
              <w:top w:val="nil"/>
              <w:left w:val="nil"/>
              <w:bottom w:val="nil"/>
              <w:right w:val="nil"/>
            </w:tcBorders>
            <w:shd w:val="clear" w:color="auto" w:fill="auto"/>
          </w:tcPr>
          <w:p w14:paraId="24E68D9D">
            <w:pPr>
              <w:pStyle w:val="82"/>
              <w:framePr w:wrap="around"/>
            </w:pPr>
            <w:r>
              <mc:AlternateContent>
                <mc:Choice Requires="wps">
                  <w:drawing>
                    <wp:anchor distT="0" distB="0" distL="114300" distR="114300" simplePos="0" relativeHeight="251665408" behindDoc="1" locked="1" layoutInCell="1" allowOverlap="1">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txbx>
                              <w:txbxContent>
                                <w:p w14:paraId="0FFF43B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Q" o:spid="_x0000_s1026" o:spt="1" style="position:absolute;left:0pt;margin-left:167.9pt;margin-top:45.15pt;height:20pt;width:150pt;z-index:-251651072;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iiOF3TAAAACgEAAA8A&#10;AAAAAAAAAQAgAAAAIgAAAGRycy9kb3ducmV2LnhtbFBLAQIUABQAAAAIAIdO4kC90npGVQIAAMcE&#10;AAAOAAAAAAAAAAEAIAAAACIBAABkcnMvZTJvRG9jLnhtbFBLBQYAAAAABgAGAFkBAADpBQAAAAA=&#10;">
                      <v:fill on="t" focussize="0,0"/>
                      <v:stroke on="f" weight="2pt"/>
                      <v:imagedata o:title=""/>
                      <o:lock v:ext="edit" aspectratio="f"/>
                      <v:textbox>
                        <w:txbxContent>
                          <w:p w14:paraId="0FFF43BB">
                            <w:pPr>
                              <w:jc w:val="center"/>
                            </w:pPr>
                          </w:p>
                        </w:txbxContent>
                      </v:textbox>
                      <w10:anchorlock/>
                    </v:rect>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txbx>
                              <w:txbxContent>
                                <w:p w14:paraId="0714E8B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LB" o:spid="_x0000_s1026" o:spt="1" style="position:absolute;left:0pt;margin-left:187.9pt;margin-top:20.15pt;height:24pt;width:100pt;z-index:-251652096;v-text-anchor:middle;mso-width-relative:page;mso-height-relative:page;" fillcolor="#FFFFFF" filled="t" stroked="f" coordsize="21600,21600"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IEcv1AAAAAkB&#10;AAAPAAAAAAAAAAEAIAAAACIAAABkcnMvZG93bnJldi54bWxQSwECFAAUAAAACACHTuJA7GlKnlgC&#10;AADHBAAADgAAAAAAAAABACAAAAAjAQAAZHJzL2Uyb0RvYy54bWxQSwUGAAAAAAYABgBZAQAA7QUA&#10;AAAA&#10;">
                      <v:fill on="t" focussize="0,0"/>
                      <v:stroke on="f" weight="2pt"/>
                      <v:imagedata o:title=""/>
                      <o:lock v:ext="edit" aspectratio="f"/>
                      <v:textbox>
                        <w:txbxContent>
                          <w:p w14:paraId="0714E8BD">
                            <w:pPr>
                              <w:jc w:val="center"/>
                            </w:pPr>
                          </w:p>
                        </w:txbxContent>
                      </v:textbox>
                    </v:rect>
                  </w:pict>
                </mc:Fallback>
              </mc:AlternateConten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草案</w:t>
            </w:r>
            <w:r>
              <w:rPr>
                <w:rFonts w:hint="eastAsia"/>
                <w:color w:val="000000" w:themeColor="text1"/>
                <w14:textFill>
                  <w14:solidFill>
                    <w14:schemeClr w14:val="tx1"/>
                  </w14:solidFill>
                </w14:textFill>
              </w:rPr>
              <w:t>）</w:t>
            </w:r>
          </w:p>
        </w:tc>
      </w:tr>
      <w:tr w14:paraId="2AA6B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14:paraId="3B258D33">
            <w:pPr>
              <w:pStyle w:val="83"/>
              <w:framePr w:wrap="around"/>
            </w:pPr>
          </w:p>
        </w:tc>
      </w:tr>
    </w:tbl>
    <w:p w14:paraId="59A179A3">
      <w:pPr>
        <w:pStyle w:val="131"/>
        <w:framePr w:wrap="around"/>
      </w:pPr>
      <w:r>
        <w:rPr>
          <w:rFonts w:hint="eastAsia" w:ascii="黑体"/>
        </w:rPr>
        <w:t>202X</w:t>
      </w:r>
      <w:r>
        <w:rPr>
          <w:rFonts w:ascii="黑体"/>
        </w:rPr>
        <w:t xml:space="preserve"> -</w:t>
      </w:r>
      <w:r>
        <w:rPr>
          <w:rFonts w:hint="eastAsia" w:ascii="黑体"/>
          <w:lang w:val="en-US" w:eastAsia="zh-CN"/>
        </w:rPr>
        <w:t xml:space="preserve"> </w:t>
      </w:r>
      <w:r>
        <w:rPr>
          <w:rFonts w:hint="eastAsia" w:ascii="黑体"/>
        </w:rPr>
        <w:t>XX</w:t>
      </w:r>
      <w:r>
        <w:rPr>
          <w:rFonts w:ascii="黑体"/>
        </w:rPr>
        <w:t xml:space="preserve"> -</w:t>
      </w:r>
      <w:r>
        <w:rPr>
          <w:rFonts w:hint="eastAsia" w:ascii="黑体"/>
          <w:lang w:val="en-US" w:eastAsia="zh-CN"/>
        </w:rPr>
        <w:t xml:space="preserve"> </w:t>
      </w:r>
      <w:r>
        <w:rPr>
          <w:rFonts w:hint="eastAsia" w:ascii="黑体"/>
        </w:rPr>
        <w:t>XX</w:t>
      </w:r>
      <w:r>
        <w:rPr>
          <w:rFonts w:hint="eastAsia"/>
        </w:rPr>
        <w:t>发布</w: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2338705</wp:posOffset>
                </wp:positionV>
                <wp:extent cx="6120130" cy="0"/>
                <wp:effectExtent l="0" t="0" r="0" b="0"/>
                <wp:wrapNone/>
                <wp:docPr id="1876520258"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7" o:spid="_x0000_s1026" o:spt="20" style="position:absolute;left:0pt;margin-left:0pt;margin-top:184.15pt;height:0pt;width:481.9pt;z-index:251660288;mso-width-relative:page;mso-height-relative:page;" filled="f" stroked="t" coordsize="21600,21600" o:gfxdata="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PSXN1QAAAAgBAAAPAAAA&#10;AAAAAAEAIAAAACIAAABkcnMvZG93bnJldi54bWxQSwECFAAUAAAACACHTuJAbK6FSt8BAACjAwAA&#10;DgAAAAAAAAABACAAAAAkAQAAZHJzL2Uyb0RvYy54bWxQSwUGAAAAAAYABgBZAQAAd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628628715"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6" o:spid="_x0000_s1026" o:spt="20" style="position:absolute;left:0pt;margin-left:0pt;margin-top:700.1pt;height:0pt;width:481.9pt;z-index:251659264;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dK78tUAAAAKAQAADwAAAAAA&#10;AAABACAAAAAiAAAAZHJzL2Rvd25yZXYueG1sUEsBAhQAFAAAAAgAh07iQGiDV67dAQAAogMAAA4A&#10;AAAAAAAAAQAgAAAAJAEAAGRycy9lMm9Eb2MueG1sUEsFBgAAAAAGAAYAWQEAAHMFAAAAAA==&#10;">
                <v:fill on="f" focussize="0,0"/>
                <v:stroke color="#000000" joinstyle="round"/>
                <v:imagedata o:title=""/>
                <o:lock v:ext="edit" aspectratio="f"/>
              </v:line>
            </w:pict>
          </mc:Fallback>
        </mc:AlternateContent>
      </w:r>
    </w:p>
    <w:p w14:paraId="22C449EB">
      <w:pPr>
        <w:pStyle w:val="132"/>
        <w:framePr w:wrap="around"/>
      </w:pPr>
      <w:r>
        <w:rPr>
          <w:rFonts w:hint="eastAsia" w:ascii="黑体"/>
        </w:rPr>
        <w:t>202X</w:t>
      </w:r>
      <w:r>
        <w:t xml:space="preserve"> </w:t>
      </w:r>
      <w:r>
        <w:rPr>
          <w:rFonts w:ascii="黑体"/>
        </w:rPr>
        <w:t xml:space="preserve">- </w:t>
      </w:r>
      <w:r>
        <w:rPr>
          <w:rFonts w:hint="eastAsia" w:ascii="黑体"/>
        </w:rPr>
        <w:t>XX</w:t>
      </w:r>
      <w:r>
        <w:rPr>
          <w:rFonts w:ascii="黑体"/>
        </w:rPr>
        <w:t xml:space="preserve"> - </w:t>
      </w:r>
      <w:r>
        <w:rPr>
          <w:rFonts w:hint="eastAsia" w:ascii="黑体"/>
        </w:rPr>
        <w:t>XX</w:t>
      </w:r>
      <w:r>
        <w:rPr>
          <w:rFonts w:hint="eastAsia"/>
        </w:rPr>
        <w:t>实施</w:t>
      </w:r>
    </w:p>
    <w:p w14:paraId="5F547ED5">
      <w:pPr>
        <w:pStyle w:val="112"/>
        <w:framePr w:wrap="around"/>
      </w:pPr>
      <w:r>
        <w:rPr>
          <w:rFonts w:hint="eastAsia"/>
        </w:rPr>
        <w:t>中国认证认可协会</w:t>
      </w:r>
      <w:r>
        <w:t xml:space="preserve"> </w:t>
      </w:r>
      <w:r>
        <w:rPr>
          <w:rStyle w:val="74"/>
        </w:rPr>
        <w:t xml:space="preserve"> </w:t>
      </w:r>
      <w:r>
        <w:rPr>
          <w:rStyle w:val="74"/>
          <w:rFonts w:hint="eastAsia"/>
        </w:rPr>
        <w:t>发布</w:t>
      </w:r>
    </w:p>
    <w:p w14:paraId="72F9F322">
      <w:pPr>
        <w:pStyle w:val="23"/>
        <w:ind w:firstLine="0" w:firstLineChars="0"/>
        <w:sectPr>
          <w:headerReference r:id="rId3" w:type="even"/>
          <w:footerReference r:id="rId4" w:type="even"/>
          <w:pgSz w:w="11906" w:h="16838"/>
          <w:pgMar w:top="567" w:right="850" w:bottom="1134" w:left="1418" w:header="0" w:footer="0" w:gutter="0"/>
          <w:pgBorders>
            <w:top w:val="none" w:sz="0" w:space="0"/>
            <w:left w:val="none" w:sz="0" w:space="0"/>
            <w:bottom w:val="none" w:sz="0" w:space="0"/>
            <w:right w:val="none" w:sz="0" w:space="0"/>
          </w:pgBorders>
          <w:pgNumType w:fmt="upperRoman" w:start="1"/>
          <w:cols w:space="425" w:num="1"/>
          <w:docGrid w:type="lines" w:linePitch="312" w:charSpace="0"/>
        </w:sectPr>
      </w:pPr>
      <w:r>
        <mc:AlternateContent>
          <mc:Choice Requires="wps">
            <w:drawing>
              <wp:anchor distT="0" distB="0" distL="114300" distR="114300" simplePos="0" relativeHeight="251662336" behindDoc="0" locked="0" layoutInCell="1" allowOverlap="1">
                <wp:simplePos x="0" y="0"/>
                <wp:positionH relativeFrom="column">
                  <wp:posOffset>-109220</wp:posOffset>
                </wp:positionH>
                <wp:positionV relativeFrom="paragraph">
                  <wp:posOffset>2447290</wp:posOffset>
                </wp:positionV>
                <wp:extent cx="6120130" cy="0"/>
                <wp:effectExtent l="0" t="0" r="0" b="0"/>
                <wp:wrapNone/>
                <wp:docPr id="929165813"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5" o:spid="_x0000_s1026" o:spt="20" style="position:absolute;left:0pt;margin-left:-8.6pt;margin-top:192.7pt;height:0pt;width:481.9pt;z-index:251662336;mso-width-relative:page;mso-height-relative:page;" filled="f" stroked="t" coordsize="21600,21600" o:gfxdata="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Kx6zr2QAAAAsBAAAP&#10;AAAAAAAAAAEAIAAAACIAAABkcnMvZG93bnJldi54bWxQSwECFAAUAAAACACHTuJAOKHQBN4BAACi&#10;AwAADgAAAAAAAAABACAAAAAoAQAAZHJzL2Uyb0RvYy54bWxQSwUGAAAAAAYABgBZAQAAe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6432" behindDoc="1" locked="0" layoutInCell="1" allowOverlap="1">
                <wp:simplePos x="0" y="0"/>
                <wp:positionH relativeFrom="column">
                  <wp:posOffset>-66675</wp:posOffset>
                </wp:positionH>
                <wp:positionV relativeFrom="paragraph">
                  <wp:posOffset>396240</wp:posOffset>
                </wp:positionV>
                <wp:extent cx="866775" cy="198120"/>
                <wp:effectExtent l="0" t="0" r="0"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txbx>
                        <w:txbxContent>
                          <w:p w14:paraId="294FA6B4">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BAH" o:spid="_x0000_s1026" o:spt="1" style="position:absolute;left:0pt;margin-left:-5.25pt;margin-top:31.2pt;height:15.6pt;width:68.25pt;z-index:-251650048;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Wm2xzV&#10;AAAACQEAAA8AAAAAAAAAAQAgAAAAIgAAAGRycy9kb3ducmV2LnhtbFBLAQIUABQAAAAIAIdO4kAs&#10;2cSyXAIAAMcEAAAOAAAAAAAAAAEAIAAAACQBAABkcnMvZTJvRG9jLnhtbFBLBQYAAAAABgAGAFkB&#10;AADyBQAAAAA=&#10;">
                <v:fill on="t" focussize="0,0"/>
                <v:stroke on="f" weight="2pt"/>
                <v:imagedata o:title=""/>
                <o:lock v:ext="edit" aspectratio="f"/>
                <v:textbox>
                  <w:txbxContent>
                    <w:p w14:paraId="294FA6B4">
                      <w:pPr>
                        <w:jc w:val="center"/>
                      </w:pP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8891270</wp:posOffset>
                </wp:positionV>
                <wp:extent cx="6120130" cy="0"/>
                <wp:effectExtent l="0" t="0" r="0" b="0"/>
                <wp:wrapNone/>
                <wp:docPr id="1376807488"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noFill/>
                        <a:ln w="9525" cap="flat" cmpd="sng" algn="ctr">
                          <a:solidFill>
                            <a:srgbClr val="000000"/>
                          </a:solidFill>
                          <a:prstDash val="solid"/>
                        </a:ln>
                      </wps:spPr>
                      <wps:bodyPr/>
                    </wps:wsp>
                  </a:graphicData>
                </a:graphic>
              </wp:anchor>
            </w:drawing>
          </mc:Choice>
          <mc:Fallback>
            <w:pict>
              <v:line id="直接连接符 4" o:spid="_x0000_s1026" o:spt="20" style="position:absolute;left:0pt;margin-left:0pt;margin-top:700.1pt;height:0pt;width:481.9pt;z-index:251661312;mso-width-relative:page;mso-height-relative:page;" filled="f" stroked="t" coordsize="21600,21600" o:gfxdata="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50rvy1QAAAAoBAAAPAAAA&#10;AAAAAAEAIAAAACIAAABkcnMvZG93bnJldi54bWxQSwECFAAUAAAACACHTuJAbnkn5N8BAACjAwAA&#10;DgAAAAAAAAABACAAAAAkAQAAZHJzL2Uyb0RvYy54bWxQSwUGAAAAAAYABgBZAQAAdQUAAAAA&#10;">
                <v:fill on="f" focussize="0,0"/>
                <v:stroke color="#000000" joinstyle="round"/>
                <v:imagedata o:title=""/>
                <o:lock v:ext="edit" aspectratio="f"/>
              </v:line>
            </w:pict>
          </mc:Fallback>
        </mc:AlternateContent>
      </w:r>
    </w:p>
    <w:p w14:paraId="068FF8D0">
      <w:pPr>
        <w:rPr>
          <w:rFonts w:eastAsia="黑体"/>
          <w:sz w:val="32"/>
          <w:szCs w:val="32"/>
        </w:rPr>
        <w:sectPr>
          <w:headerReference r:id="rId5" w:type="default"/>
          <w:footerReference r:id="rId6" w:type="default"/>
          <w:footerReference r:id="rId7"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bookmarkStart w:id="0" w:name="_Toc468692981"/>
      <w:bookmarkStart w:id="1" w:name="_Toc383701993"/>
      <w:bookmarkStart w:id="2" w:name="_Toc27836"/>
      <w:bookmarkStart w:id="3" w:name="_Toc383701492"/>
      <w:bookmarkStart w:id="4" w:name="_Toc7167"/>
      <w:bookmarkStart w:id="5" w:name="_Toc52288514"/>
      <w:bookmarkStart w:id="6" w:name="_Toc44414101"/>
    </w:p>
    <w:p w14:paraId="19AE9B65">
      <w:pPr>
        <w:keepNext w:val="0"/>
        <w:keepLines w:val="0"/>
        <w:pageBreakBefore w:val="0"/>
        <w:widowControl w:val="0"/>
        <w:kinsoku/>
        <w:wordWrap/>
        <w:overflowPunct/>
        <w:topLinePunct w:val="0"/>
        <w:autoSpaceDE/>
        <w:autoSpaceDN/>
        <w:bidi w:val="0"/>
        <w:adjustRightInd/>
        <w:snapToGrid w:val="0"/>
        <w:jc w:val="center"/>
        <w:textAlignment w:val="auto"/>
        <w:rPr>
          <w:rFonts w:eastAsia="黑体"/>
          <w:sz w:val="28"/>
          <w:szCs w:val="28"/>
        </w:rPr>
      </w:pPr>
      <w:bookmarkStart w:id="115" w:name="_GoBack"/>
      <w:bookmarkEnd w:id="115"/>
    </w:p>
    <w:p w14:paraId="5A8C2FA8">
      <w:pPr>
        <w:jc w:val="center"/>
        <w:outlineLvl w:val="9"/>
        <w:rPr>
          <w:rFonts w:eastAsia="黑体"/>
          <w:sz w:val="32"/>
          <w:szCs w:val="32"/>
        </w:rPr>
      </w:pPr>
      <w:bookmarkStart w:id="7" w:name="_Toc11517"/>
      <w:bookmarkStart w:id="8" w:name="_Toc26413"/>
      <w:r>
        <w:rPr>
          <w:rFonts w:eastAsia="黑体"/>
          <w:sz w:val="32"/>
          <w:szCs w:val="32"/>
        </w:rPr>
        <w:t>目    次</w:t>
      </w:r>
      <w:bookmarkEnd w:id="0"/>
      <w:bookmarkEnd w:id="1"/>
      <w:bookmarkEnd w:id="2"/>
      <w:bookmarkEnd w:id="3"/>
      <w:bookmarkEnd w:id="4"/>
      <w:bookmarkEnd w:id="7"/>
      <w:bookmarkEnd w:id="8"/>
    </w:p>
    <w:bookmarkEnd w:id="5"/>
    <w:bookmarkEnd w:id="6"/>
    <w:sdt>
      <w:sdtPr>
        <w:rPr>
          <w:rFonts w:ascii="宋体" w:hAnsi="宋体"/>
          <w:kern w:val="0"/>
          <w:szCs w:val="20"/>
        </w:rPr>
        <w:id w:val="147475240"/>
        <w:docPartObj>
          <w:docPartGallery w:val="Table of Contents"/>
          <w:docPartUnique/>
        </w:docPartObj>
      </w:sdtPr>
      <w:sdtEndPr>
        <w:rPr>
          <w:rFonts w:ascii="宋体" w:hAnsi="Times New Roman"/>
          <w:b/>
          <w:kern w:val="2"/>
          <w:szCs w:val="21"/>
        </w:rPr>
      </w:sdtEndPr>
      <w:sdtContent>
        <w:p w14:paraId="4F0D2230">
          <w:pPr>
            <w:jc w:val="center"/>
            <w:rPr>
              <w:rFonts w:ascii="宋体" w:hAnsi="宋体"/>
            </w:rPr>
          </w:pPr>
        </w:p>
        <w:p w14:paraId="45E56354">
          <w:pPr>
            <w:jc w:val="center"/>
            <w:rPr>
              <w:rFonts w:ascii="宋体" w:hAnsi="宋体"/>
            </w:rPr>
          </w:pPr>
        </w:p>
        <w:p w14:paraId="44426C97">
          <w:pPr>
            <w:pStyle w:val="19"/>
            <w:tabs>
              <w:tab w:val="right" w:leader="dot" w:pos="9354"/>
              <w:tab w:val="clear" w:pos="9241"/>
            </w:tabs>
          </w:pPr>
          <w:r>
            <w:rPr>
              <w:rStyle w:val="39"/>
              <w:rFonts w:hint="eastAsia"/>
            </w:rPr>
            <w:fldChar w:fldCharType="begin"/>
          </w:r>
          <w:r>
            <w:rPr>
              <w:rStyle w:val="39"/>
              <w:rFonts w:hint="eastAsia"/>
            </w:rPr>
            <w:instrText xml:space="preserve">TOC \o "1-2" \h \u </w:instrText>
          </w:r>
          <w:r>
            <w:rPr>
              <w:rStyle w:val="39"/>
              <w:rFonts w:hint="eastAsia"/>
            </w:rPr>
            <w:fldChar w:fldCharType="separate"/>
          </w:r>
          <w:r>
            <w:rPr>
              <w:rFonts w:hint="eastAsia"/>
            </w:rPr>
            <w:fldChar w:fldCharType="begin"/>
          </w:r>
          <w:r>
            <w:rPr>
              <w:rFonts w:hint="eastAsia"/>
            </w:rPr>
            <w:instrText xml:space="preserve"> HYPERLINK \l _Toc10900 </w:instrText>
          </w:r>
          <w:r>
            <w:rPr>
              <w:rFonts w:hint="eastAsia"/>
            </w:rPr>
            <w:fldChar w:fldCharType="separate"/>
          </w:r>
          <w:r>
            <w:rPr>
              <w:rFonts w:hint="eastAsia" w:ascii="黑体" w:hAnsi="黑体" w:eastAsia="黑体" w:cs="黑体"/>
              <w:szCs w:val="32"/>
            </w:rPr>
            <w:t>前    言</w:t>
          </w:r>
          <w:r>
            <w:tab/>
          </w:r>
          <w:r>
            <w:fldChar w:fldCharType="begin"/>
          </w:r>
          <w:r>
            <w:instrText xml:space="preserve"> PAGEREF _Toc10900 \h </w:instrText>
          </w:r>
          <w:r>
            <w:fldChar w:fldCharType="separate"/>
          </w:r>
          <w:r>
            <w:t>II</w:t>
          </w:r>
          <w:r>
            <w:fldChar w:fldCharType="end"/>
          </w:r>
          <w:r>
            <w:rPr>
              <w:rFonts w:hint="eastAsia"/>
            </w:rPr>
            <w:fldChar w:fldCharType="end"/>
          </w:r>
        </w:p>
        <w:p w14:paraId="1935E6FF">
          <w:pPr>
            <w:pStyle w:val="19"/>
            <w:tabs>
              <w:tab w:val="right" w:leader="dot" w:pos="9354"/>
              <w:tab w:val="clear" w:pos="9241"/>
            </w:tabs>
          </w:pPr>
          <w:r>
            <w:rPr>
              <w:rFonts w:hint="eastAsia"/>
            </w:rPr>
            <w:fldChar w:fldCharType="begin"/>
          </w:r>
          <w:r>
            <w:rPr>
              <w:rFonts w:hint="eastAsia"/>
            </w:rPr>
            <w:instrText xml:space="preserve"> HYPERLINK \l _Toc10906 </w:instrText>
          </w:r>
          <w:r>
            <w:rPr>
              <w:rFonts w:hint="eastAsia"/>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_Toc10906 \h </w:instrText>
          </w:r>
          <w:r>
            <w:fldChar w:fldCharType="separate"/>
          </w:r>
          <w:r>
            <w:t>1</w:t>
          </w:r>
          <w:r>
            <w:fldChar w:fldCharType="end"/>
          </w:r>
          <w:r>
            <w:rPr>
              <w:rFonts w:hint="eastAsia"/>
            </w:rPr>
            <w:fldChar w:fldCharType="end"/>
          </w:r>
        </w:p>
        <w:p w14:paraId="0FECFD9F">
          <w:pPr>
            <w:pStyle w:val="19"/>
            <w:tabs>
              <w:tab w:val="right" w:leader="dot" w:pos="9354"/>
              <w:tab w:val="clear" w:pos="9241"/>
            </w:tabs>
          </w:pPr>
          <w:r>
            <w:rPr>
              <w:rFonts w:hint="eastAsia"/>
            </w:rPr>
            <w:fldChar w:fldCharType="begin"/>
          </w:r>
          <w:r>
            <w:rPr>
              <w:rFonts w:hint="eastAsia"/>
            </w:rPr>
            <w:instrText xml:space="preserve"> HYPERLINK \l _Toc24017 </w:instrText>
          </w:r>
          <w:r>
            <w:rPr>
              <w:rFonts w:hint="eastAsia"/>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_Toc24017 \h </w:instrText>
          </w:r>
          <w:r>
            <w:fldChar w:fldCharType="separate"/>
          </w:r>
          <w:r>
            <w:t>1</w:t>
          </w:r>
          <w:r>
            <w:fldChar w:fldCharType="end"/>
          </w:r>
          <w:r>
            <w:rPr>
              <w:rFonts w:hint="eastAsia"/>
            </w:rPr>
            <w:fldChar w:fldCharType="end"/>
          </w:r>
        </w:p>
        <w:p w14:paraId="1AB9E8C7">
          <w:pPr>
            <w:pStyle w:val="19"/>
            <w:tabs>
              <w:tab w:val="right" w:leader="dot" w:pos="9354"/>
              <w:tab w:val="clear" w:pos="9241"/>
            </w:tabs>
          </w:pPr>
          <w:r>
            <w:rPr>
              <w:rFonts w:hint="eastAsia"/>
            </w:rPr>
            <w:fldChar w:fldCharType="begin"/>
          </w:r>
          <w:r>
            <w:rPr>
              <w:rFonts w:hint="eastAsia"/>
            </w:rPr>
            <w:instrText xml:space="preserve"> HYPERLINK \l _Toc7681 </w:instrText>
          </w:r>
          <w:r>
            <w:rPr>
              <w:rFonts w:hint="eastAsia"/>
            </w:rPr>
            <w:fldChar w:fldCharType="separate"/>
          </w:r>
          <w:r>
            <w:rPr>
              <w:rFonts w:hint="eastAsia" w:ascii="黑体" w:hAnsi="Times New Roman" w:eastAsia="黑体"/>
              <w:i w:val="0"/>
              <w:szCs w:val="21"/>
            </w:rPr>
            <w:t xml:space="preserve">3 </w:t>
          </w:r>
          <w:r>
            <w:rPr>
              <w:rFonts w:hint="eastAsia"/>
            </w:rPr>
            <w:t>术</w:t>
          </w:r>
          <w:r>
            <w:t>语和定</w:t>
          </w:r>
          <w:r>
            <w:rPr>
              <w:rFonts w:hint="eastAsia"/>
            </w:rPr>
            <w:t>义</w:t>
          </w:r>
          <w:r>
            <w:tab/>
          </w:r>
          <w:r>
            <w:fldChar w:fldCharType="begin"/>
          </w:r>
          <w:r>
            <w:instrText xml:space="preserve"> PAGEREF _Toc7681 \h </w:instrText>
          </w:r>
          <w:r>
            <w:fldChar w:fldCharType="separate"/>
          </w:r>
          <w:r>
            <w:t>1</w:t>
          </w:r>
          <w:r>
            <w:fldChar w:fldCharType="end"/>
          </w:r>
          <w:r>
            <w:rPr>
              <w:rFonts w:hint="eastAsia"/>
            </w:rPr>
            <w:fldChar w:fldCharType="end"/>
          </w:r>
        </w:p>
        <w:p w14:paraId="6E21F2FA">
          <w:pPr>
            <w:pStyle w:val="19"/>
            <w:tabs>
              <w:tab w:val="right" w:leader="dot" w:pos="9354"/>
              <w:tab w:val="clear" w:pos="9241"/>
            </w:tabs>
          </w:pPr>
          <w:r>
            <w:rPr>
              <w:rFonts w:hint="eastAsia"/>
            </w:rPr>
            <w:fldChar w:fldCharType="begin"/>
          </w:r>
          <w:r>
            <w:rPr>
              <w:rFonts w:hint="eastAsia"/>
            </w:rPr>
            <w:instrText xml:space="preserve"> HYPERLINK \l _Toc13542 </w:instrText>
          </w:r>
          <w:r>
            <w:rPr>
              <w:rFonts w:hint="eastAsia"/>
            </w:rPr>
            <w:fldChar w:fldCharType="separate"/>
          </w:r>
          <w:r>
            <w:rPr>
              <w:rFonts w:hint="eastAsia" w:ascii="黑体" w:hAnsi="Times New Roman" w:eastAsia="黑体"/>
              <w:i w:val="0"/>
              <w:szCs w:val="21"/>
            </w:rPr>
            <w:t xml:space="preserve">4 </w:t>
          </w:r>
          <w:r>
            <w:rPr>
              <w:rFonts w:hint="eastAsia"/>
              <w:lang w:val="en-US" w:eastAsia="zh-CN"/>
            </w:rPr>
            <w:t>通用</w:t>
          </w:r>
          <w:r>
            <w:rPr>
              <w:rFonts w:hint="eastAsia"/>
            </w:rPr>
            <w:t>要求</w:t>
          </w:r>
          <w:r>
            <w:tab/>
          </w:r>
          <w:r>
            <w:fldChar w:fldCharType="begin"/>
          </w:r>
          <w:r>
            <w:instrText xml:space="preserve"> PAGEREF _Toc13542 \h </w:instrText>
          </w:r>
          <w:r>
            <w:fldChar w:fldCharType="separate"/>
          </w:r>
          <w:r>
            <w:t>1</w:t>
          </w:r>
          <w:r>
            <w:fldChar w:fldCharType="end"/>
          </w:r>
          <w:r>
            <w:rPr>
              <w:rFonts w:hint="eastAsia"/>
            </w:rPr>
            <w:fldChar w:fldCharType="end"/>
          </w:r>
        </w:p>
        <w:p w14:paraId="0C2BB14E">
          <w:pPr>
            <w:pStyle w:val="28"/>
            <w:tabs>
              <w:tab w:val="right" w:leader="dot" w:pos="9354"/>
              <w:tab w:val="clear" w:pos="9241"/>
            </w:tabs>
          </w:pPr>
          <w:r>
            <w:rPr>
              <w:rFonts w:hint="eastAsia"/>
            </w:rPr>
            <w:fldChar w:fldCharType="begin"/>
          </w:r>
          <w:r>
            <w:rPr>
              <w:rFonts w:hint="eastAsia"/>
            </w:rPr>
            <w:instrText xml:space="preserve"> HYPERLINK \l _Toc31504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4.1 </w:t>
          </w:r>
          <w:r>
            <w:rPr>
              <w:rFonts w:hint="eastAsia"/>
              <w:lang w:val="en-US" w:eastAsia="zh-CN"/>
            </w:rPr>
            <w:t>基本条件</w:t>
          </w:r>
          <w:r>
            <w:tab/>
          </w:r>
          <w:r>
            <w:fldChar w:fldCharType="begin"/>
          </w:r>
          <w:r>
            <w:instrText xml:space="preserve"> PAGEREF _Toc31504 \h </w:instrText>
          </w:r>
          <w:r>
            <w:fldChar w:fldCharType="separate"/>
          </w:r>
          <w:r>
            <w:t>1</w:t>
          </w:r>
          <w:r>
            <w:fldChar w:fldCharType="end"/>
          </w:r>
          <w:r>
            <w:rPr>
              <w:rFonts w:hint="eastAsia"/>
            </w:rPr>
            <w:fldChar w:fldCharType="end"/>
          </w:r>
        </w:p>
        <w:p w14:paraId="414E4E60">
          <w:pPr>
            <w:pStyle w:val="28"/>
            <w:tabs>
              <w:tab w:val="right" w:leader="dot" w:pos="9354"/>
              <w:tab w:val="clear" w:pos="9241"/>
            </w:tabs>
          </w:pPr>
          <w:r>
            <w:rPr>
              <w:rFonts w:hint="eastAsia"/>
            </w:rPr>
            <w:fldChar w:fldCharType="begin"/>
          </w:r>
          <w:r>
            <w:rPr>
              <w:rFonts w:hint="eastAsia"/>
            </w:rPr>
            <w:instrText xml:space="preserve"> HYPERLINK \l _Toc5240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4.2 </w:t>
          </w:r>
          <w:r>
            <w:rPr>
              <w:rFonts w:hint="eastAsia"/>
              <w:lang w:val="en-US" w:eastAsia="zh-CN"/>
            </w:rPr>
            <w:t>机构职责</w:t>
          </w:r>
          <w:r>
            <w:tab/>
          </w:r>
          <w:r>
            <w:fldChar w:fldCharType="begin"/>
          </w:r>
          <w:r>
            <w:instrText xml:space="preserve"> PAGEREF _Toc5240 \h </w:instrText>
          </w:r>
          <w:r>
            <w:fldChar w:fldCharType="separate"/>
          </w:r>
          <w:r>
            <w:t>2</w:t>
          </w:r>
          <w:r>
            <w:fldChar w:fldCharType="end"/>
          </w:r>
          <w:r>
            <w:rPr>
              <w:rFonts w:hint="eastAsia"/>
            </w:rPr>
            <w:fldChar w:fldCharType="end"/>
          </w:r>
        </w:p>
        <w:p w14:paraId="29BDE625">
          <w:pPr>
            <w:pStyle w:val="28"/>
            <w:tabs>
              <w:tab w:val="right" w:leader="dot" w:pos="9354"/>
              <w:tab w:val="clear" w:pos="9241"/>
            </w:tabs>
          </w:pPr>
          <w:r>
            <w:rPr>
              <w:rFonts w:hint="eastAsia"/>
            </w:rPr>
            <w:fldChar w:fldCharType="begin"/>
          </w:r>
          <w:r>
            <w:rPr>
              <w:rFonts w:hint="eastAsia"/>
            </w:rPr>
            <w:instrText xml:space="preserve"> HYPERLINK \l _Toc7993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4.3 </w:t>
          </w:r>
          <w:r>
            <w:rPr>
              <w:rFonts w:hint="eastAsia"/>
              <w:lang w:val="en-US" w:eastAsia="zh-CN"/>
            </w:rPr>
            <w:t>公正性</w:t>
          </w:r>
          <w:r>
            <w:tab/>
          </w:r>
          <w:r>
            <w:fldChar w:fldCharType="begin"/>
          </w:r>
          <w:r>
            <w:instrText xml:space="preserve"> PAGEREF _Toc7993 \h </w:instrText>
          </w:r>
          <w:r>
            <w:fldChar w:fldCharType="separate"/>
          </w:r>
          <w:r>
            <w:t>2</w:t>
          </w:r>
          <w:r>
            <w:fldChar w:fldCharType="end"/>
          </w:r>
          <w:r>
            <w:rPr>
              <w:rFonts w:hint="eastAsia"/>
            </w:rPr>
            <w:fldChar w:fldCharType="end"/>
          </w:r>
        </w:p>
        <w:p w14:paraId="5139FAEA">
          <w:pPr>
            <w:pStyle w:val="28"/>
            <w:tabs>
              <w:tab w:val="right" w:leader="dot" w:pos="9354"/>
              <w:tab w:val="clear" w:pos="9241"/>
            </w:tabs>
          </w:pPr>
          <w:r>
            <w:rPr>
              <w:rFonts w:hint="eastAsia"/>
            </w:rPr>
            <w:fldChar w:fldCharType="begin"/>
          </w:r>
          <w:r>
            <w:rPr>
              <w:rFonts w:hint="eastAsia"/>
            </w:rPr>
            <w:instrText xml:space="preserve"> HYPERLINK \l _Toc27124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4.4 </w:t>
          </w:r>
          <w:r>
            <w:rPr>
              <w:rFonts w:hint="eastAsia"/>
              <w:lang w:val="en-US" w:eastAsia="zh-CN"/>
            </w:rPr>
            <w:t>信息保密</w:t>
          </w:r>
          <w:r>
            <w:tab/>
          </w:r>
          <w:r>
            <w:fldChar w:fldCharType="begin"/>
          </w:r>
          <w:r>
            <w:instrText xml:space="preserve"> PAGEREF _Toc27124 \h </w:instrText>
          </w:r>
          <w:r>
            <w:fldChar w:fldCharType="separate"/>
          </w:r>
          <w:r>
            <w:t>3</w:t>
          </w:r>
          <w:r>
            <w:fldChar w:fldCharType="end"/>
          </w:r>
          <w:r>
            <w:rPr>
              <w:rFonts w:hint="eastAsia"/>
            </w:rPr>
            <w:fldChar w:fldCharType="end"/>
          </w:r>
        </w:p>
        <w:p w14:paraId="069DAE80">
          <w:pPr>
            <w:pStyle w:val="28"/>
            <w:tabs>
              <w:tab w:val="right" w:leader="dot" w:pos="9354"/>
              <w:tab w:val="clear" w:pos="9241"/>
            </w:tabs>
          </w:pPr>
          <w:r>
            <w:rPr>
              <w:rFonts w:hint="eastAsia"/>
            </w:rPr>
            <w:fldChar w:fldCharType="begin"/>
          </w:r>
          <w:r>
            <w:rPr>
              <w:rFonts w:hint="eastAsia"/>
            </w:rPr>
            <w:instrText xml:space="preserve"> HYPERLINK \l _Toc14585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4.5 </w:t>
          </w:r>
          <w:r>
            <w:rPr>
              <w:rFonts w:hint="eastAsia"/>
              <w:lang w:val="en-US" w:eastAsia="zh-CN"/>
            </w:rPr>
            <w:t>信息公开</w:t>
          </w:r>
          <w:r>
            <w:tab/>
          </w:r>
          <w:r>
            <w:fldChar w:fldCharType="begin"/>
          </w:r>
          <w:r>
            <w:instrText xml:space="preserve"> PAGEREF _Toc14585 \h </w:instrText>
          </w:r>
          <w:r>
            <w:fldChar w:fldCharType="separate"/>
          </w:r>
          <w:r>
            <w:t>3</w:t>
          </w:r>
          <w:r>
            <w:fldChar w:fldCharType="end"/>
          </w:r>
          <w:r>
            <w:rPr>
              <w:rFonts w:hint="eastAsia"/>
            </w:rPr>
            <w:fldChar w:fldCharType="end"/>
          </w:r>
        </w:p>
        <w:p w14:paraId="5E7EB635">
          <w:pPr>
            <w:pStyle w:val="28"/>
            <w:tabs>
              <w:tab w:val="right" w:leader="dot" w:pos="9354"/>
              <w:tab w:val="clear" w:pos="9241"/>
            </w:tabs>
          </w:pPr>
          <w:r>
            <w:rPr>
              <w:rFonts w:hint="eastAsia"/>
            </w:rPr>
            <w:fldChar w:fldCharType="begin"/>
          </w:r>
          <w:r>
            <w:rPr>
              <w:rFonts w:hint="eastAsia"/>
            </w:rPr>
            <w:instrText xml:space="preserve"> HYPERLINK \l _Toc11707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4.6 </w:t>
          </w:r>
          <w:r>
            <w:rPr>
              <w:rFonts w:hint="eastAsia"/>
              <w:lang w:val="en-US" w:eastAsia="zh-CN"/>
            </w:rPr>
            <w:t>领域范围</w:t>
          </w:r>
          <w:r>
            <w:tab/>
          </w:r>
          <w:r>
            <w:fldChar w:fldCharType="begin"/>
          </w:r>
          <w:r>
            <w:instrText xml:space="preserve"> PAGEREF _Toc11707 \h </w:instrText>
          </w:r>
          <w:r>
            <w:fldChar w:fldCharType="separate"/>
          </w:r>
          <w:r>
            <w:t>3</w:t>
          </w:r>
          <w:r>
            <w:fldChar w:fldCharType="end"/>
          </w:r>
          <w:r>
            <w:rPr>
              <w:rFonts w:hint="eastAsia"/>
            </w:rPr>
            <w:fldChar w:fldCharType="end"/>
          </w:r>
        </w:p>
        <w:p w14:paraId="3699D3A0">
          <w:pPr>
            <w:pStyle w:val="19"/>
            <w:tabs>
              <w:tab w:val="right" w:leader="dot" w:pos="9354"/>
              <w:tab w:val="clear" w:pos="9241"/>
            </w:tabs>
          </w:pPr>
          <w:r>
            <w:rPr>
              <w:rFonts w:hint="eastAsia"/>
            </w:rPr>
            <w:fldChar w:fldCharType="begin"/>
          </w:r>
          <w:r>
            <w:rPr>
              <w:rFonts w:hint="eastAsia"/>
            </w:rPr>
            <w:instrText xml:space="preserve"> HYPERLINK \l _Toc7092 </w:instrText>
          </w:r>
          <w:r>
            <w:rPr>
              <w:rFonts w:hint="eastAsia"/>
            </w:rPr>
            <w:fldChar w:fldCharType="separate"/>
          </w:r>
          <w:r>
            <w:rPr>
              <w:rFonts w:hint="eastAsia" w:ascii="黑体" w:hAnsi="Times New Roman" w:eastAsia="黑体"/>
              <w:i w:val="0"/>
              <w:szCs w:val="21"/>
              <w:lang w:val="en-US" w:eastAsia="zh-CN"/>
            </w:rPr>
            <w:t xml:space="preserve">5 </w:t>
          </w:r>
          <w:r>
            <w:rPr>
              <w:rFonts w:hint="eastAsia"/>
              <w:lang w:val="en-US" w:eastAsia="zh-CN"/>
            </w:rPr>
            <w:t>人员</w:t>
          </w:r>
          <w:r>
            <w:tab/>
          </w:r>
          <w:r>
            <w:fldChar w:fldCharType="begin"/>
          </w:r>
          <w:r>
            <w:instrText xml:space="preserve"> PAGEREF _Toc7092 \h </w:instrText>
          </w:r>
          <w:r>
            <w:fldChar w:fldCharType="separate"/>
          </w:r>
          <w:r>
            <w:t>3</w:t>
          </w:r>
          <w:r>
            <w:fldChar w:fldCharType="end"/>
          </w:r>
          <w:r>
            <w:rPr>
              <w:rFonts w:hint="eastAsia"/>
            </w:rPr>
            <w:fldChar w:fldCharType="end"/>
          </w:r>
        </w:p>
        <w:p w14:paraId="392CB8B5">
          <w:pPr>
            <w:pStyle w:val="28"/>
            <w:tabs>
              <w:tab w:val="right" w:leader="dot" w:pos="9354"/>
              <w:tab w:val="clear" w:pos="9241"/>
            </w:tabs>
          </w:pPr>
          <w:r>
            <w:rPr>
              <w:rFonts w:hint="eastAsia"/>
            </w:rPr>
            <w:fldChar w:fldCharType="begin"/>
          </w:r>
          <w:r>
            <w:rPr>
              <w:rFonts w:hint="eastAsia"/>
            </w:rPr>
            <w:instrText xml:space="preserve"> HYPERLINK \l _Toc22527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5.1 </w:t>
          </w:r>
          <w:r>
            <w:rPr>
              <w:rFonts w:hint="eastAsia"/>
              <w:lang w:val="en-US" w:eastAsia="zh-CN"/>
            </w:rPr>
            <w:t>通用要求</w:t>
          </w:r>
          <w:r>
            <w:tab/>
          </w:r>
          <w:r>
            <w:fldChar w:fldCharType="begin"/>
          </w:r>
          <w:r>
            <w:instrText xml:space="preserve"> PAGEREF _Toc22527 \h </w:instrText>
          </w:r>
          <w:r>
            <w:fldChar w:fldCharType="separate"/>
          </w:r>
          <w:r>
            <w:t>3</w:t>
          </w:r>
          <w:r>
            <w:fldChar w:fldCharType="end"/>
          </w:r>
          <w:r>
            <w:rPr>
              <w:rFonts w:hint="eastAsia"/>
            </w:rPr>
            <w:fldChar w:fldCharType="end"/>
          </w:r>
        </w:p>
        <w:p w14:paraId="0E49ED18">
          <w:pPr>
            <w:pStyle w:val="28"/>
            <w:tabs>
              <w:tab w:val="right" w:leader="dot" w:pos="9354"/>
              <w:tab w:val="clear" w:pos="9241"/>
            </w:tabs>
          </w:pPr>
          <w:r>
            <w:rPr>
              <w:rFonts w:hint="eastAsia"/>
            </w:rPr>
            <w:fldChar w:fldCharType="begin"/>
          </w:r>
          <w:r>
            <w:rPr>
              <w:rFonts w:hint="eastAsia"/>
            </w:rPr>
            <w:instrText xml:space="preserve"> HYPERLINK \l _Toc4012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5.2 </w:t>
          </w:r>
          <w:r>
            <w:rPr>
              <w:rFonts w:hint="eastAsia"/>
              <w:lang w:val="en-US" w:eastAsia="zh-CN"/>
            </w:rPr>
            <w:t>评价师</w:t>
          </w:r>
          <w:r>
            <w:tab/>
          </w:r>
          <w:r>
            <w:fldChar w:fldCharType="begin"/>
          </w:r>
          <w:r>
            <w:instrText xml:space="preserve"> PAGEREF _Toc4012 \h </w:instrText>
          </w:r>
          <w:r>
            <w:fldChar w:fldCharType="separate"/>
          </w:r>
          <w:r>
            <w:t>4</w:t>
          </w:r>
          <w:r>
            <w:fldChar w:fldCharType="end"/>
          </w:r>
          <w:r>
            <w:rPr>
              <w:rFonts w:hint="eastAsia"/>
            </w:rPr>
            <w:fldChar w:fldCharType="end"/>
          </w:r>
        </w:p>
        <w:p w14:paraId="3DDACF76">
          <w:pPr>
            <w:pStyle w:val="28"/>
            <w:tabs>
              <w:tab w:val="right" w:leader="dot" w:pos="9354"/>
              <w:tab w:val="clear" w:pos="9241"/>
            </w:tabs>
          </w:pPr>
          <w:r>
            <w:rPr>
              <w:rFonts w:hint="eastAsia"/>
            </w:rPr>
            <w:fldChar w:fldCharType="begin"/>
          </w:r>
          <w:r>
            <w:rPr>
              <w:rFonts w:hint="eastAsia"/>
            </w:rPr>
            <w:instrText xml:space="preserve"> HYPERLINK \l _Toc25961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5.3 </w:t>
          </w:r>
          <w:r>
            <w:rPr>
              <w:rFonts w:hint="eastAsia"/>
              <w:lang w:val="en-US" w:eastAsia="zh-CN"/>
            </w:rPr>
            <w:t>评价专家</w:t>
          </w:r>
          <w:r>
            <w:tab/>
          </w:r>
          <w:r>
            <w:fldChar w:fldCharType="begin"/>
          </w:r>
          <w:r>
            <w:instrText xml:space="preserve"> PAGEREF _Toc25961 \h </w:instrText>
          </w:r>
          <w:r>
            <w:fldChar w:fldCharType="separate"/>
          </w:r>
          <w:r>
            <w:t>4</w:t>
          </w:r>
          <w:r>
            <w:fldChar w:fldCharType="end"/>
          </w:r>
          <w:r>
            <w:rPr>
              <w:rFonts w:hint="eastAsia"/>
            </w:rPr>
            <w:fldChar w:fldCharType="end"/>
          </w:r>
        </w:p>
        <w:p w14:paraId="3438614D">
          <w:pPr>
            <w:pStyle w:val="19"/>
            <w:tabs>
              <w:tab w:val="right" w:leader="dot" w:pos="9354"/>
              <w:tab w:val="clear" w:pos="9241"/>
            </w:tabs>
          </w:pPr>
          <w:r>
            <w:rPr>
              <w:rFonts w:hint="eastAsia"/>
            </w:rPr>
            <w:fldChar w:fldCharType="begin"/>
          </w:r>
          <w:r>
            <w:rPr>
              <w:rFonts w:hint="eastAsia"/>
            </w:rPr>
            <w:instrText xml:space="preserve"> HYPERLINK \l _Toc26255 </w:instrText>
          </w:r>
          <w:r>
            <w:rPr>
              <w:rFonts w:hint="eastAsia"/>
            </w:rPr>
            <w:fldChar w:fldCharType="separate"/>
          </w:r>
          <w:r>
            <w:rPr>
              <w:rFonts w:hint="eastAsia" w:ascii="黑体" w:hAnsi="Times New Roman" w:eastAsia="黑体"/>
              <w:i w:val="0"/>
              <w:szCs w:val="21"/>
            </w:rPr>
            <w:t xml:space="preserve">6 </w:t>
          </w:r>
          <w:r>
            <w:rPr>
              <w:rFonts w:hint="eastAsia"/>
            </w:rPr>
            <w:t>质量控制</w:t>
          </w:r>
          <w:r>
            <w:tab/>
          </w:r>
          <w:r>
            <w:fldChar w:fldCharType="begin"/>
          </w:r>
          <w:r>
            <w:instrText xml:space="preserve"> PAGEREF _Toc26255 \h </w:instrText>
          </w:r>
          <w:r>
            <w:fldChar w:fldCharType="separate"/>
          </w:r>
          <w:r>
            <w:t>4</w:t>
          </w:r>
          <w:r>
            <w:fldChar w:fldCharType="end"/>
          </w:r>
          <w:r>
            <w:rPr>
              <w:rFonts w:hint="eastAsia"/>
            </w:rPr>
            <w:fldChar w:fldCharType="end"/>
          </w:r>
        </w:p>
        <w:p w14:paraId="6F41CFFB">
          <w:pPr>
            <w:pStyle w:val="28"/>
            <w:tabs>
              <w:tab w:val="right" w:leader="dot" w:pos="9354"/>
              <w:tab w:val="clear" w:pos="9241"/>
            </w:tabs>
          </w:pPr>
          <w:r>
            <w:rPr>
              <w:rFonts w:hint="eastAsia"/>
            </w:rPr>
            <w:fldChar w:fldCharType="begin"/>
          </w:r>
          <w:r>
            <w:rPr>
              <w:rFonts w:hint="eastAsia"/>
            </w:rPr>
            <w:instrText xml:space="preserve"> HYPERLINK \l _Toc12792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6.1 </w:t>
          </w:r>
          <w:r>
            <w:rPr>
              <w:rFonts w:hint="eastAsia"/>
              <w:lang w:val="en-US" w:eastAsia="zh-CN"/>
            </w:rPr>
            <w:t>总体要求</w:t>
          </w:r>
          <w:r>
            <w:tab/>
          </w:r>
          <w:r>
            <w:fldChar w:fldCharType="begin"/>
          </w:r>
          <w:r>
            <w:instrText xml:space="preserve"> PAGEREF _Toc12792 \h </w:instrText>
          </w:r>
          <w:r>
            <w:fldChar w:fldCharType="separate"/>
          </w:r>
          <w:r>
            <w:t>4</w:t>
          </w:r>
          <w:r>
            <w:fldChar w:fldCharType="end"/>
          </w:r>
          <w:r>
            <w:rPr>
              <w:rFonts w:hint="eastAsia"/>
            </w:rPr>
            <w:fldChar w:fldCharType="end"/>
          </w:r>
        </w:p>
        <w:p w14:paraId="02C3316C">
          <w:pPr>
            <w:pStyle w:val="28"/>
            <w:tabs>
              <w:tab w:val="right" w:leader="dot" w:pos="9354"/>
              <w:tab w:val="clear" w:pos="9241"/>
            </w:tabs>
          </w:pPr>
          <w:r>
            <w:rPr>
              <w:rFonts w:hint="eastAsia"/>
            </w:rPr>
            <w:fldChar w:fldCharType="begin"/>
          </w:r>
          <w:r>
            <w:rPr>
              <w:rFonts w:hint="eastAsia"/>
            </w:rPr>
            <w:instrText xml:space="preserve"> HYPERLINK \l _Toc8543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6.2 </w:t>
          </w:r>
          <w:r>
            <w:rPr>
              <w:rFonts w:hint="eastAsia"/>
              <w:lang w:val="en-US" w:eastAsia="zh-CN"/>
            </w:rPr>
            <w:t>合同评审</w:t>
          </w:r>
          <w:r>
            <w:tab/>
          </w:r>
          <w:r>
            <w:fldChar w:fldCharType="begin"/>
          </w:r>
          <w:r>
            <w:instrText xml:space="preserve"> PAGEREF _Toc8543 \h </w:instrText>
          </w:r>
          <w:r>
            <w:fldChar w:fldCharType="separate"/>
          </w:r>
          <w:r>
            <w:t>4</w:t>
          </w:r>
          <w:r>
            <w:fldChar w:fldCharType="end"/>
          </w:r>
          <w:r>
            <w:rPr>
              <w:rFonts w:hint="eastAsia"/>
            </w:rPr>
            <w:fldChar w:fldCharType="end"/>
          </w:r>
        </w:p>
        <w:p w14:paraId="3B17BDFD">
          <w:pPr>
            <w:pStyle w:val="28"/>
            <w:tabs>
              <w:tab w:val="right" w:leader="dot" w:pos="9354"/>
              <w:tab w:val="clear" w:pos="9241"/>
            </w:tabs>
          </w:pPr>
          <w:r>
            <w:rPr>
              <w:rFonts w:hint="eastAsia"/>
            </w:rPr>
            <w:fldChar w:fldCharType="begin"/>
          </w:r>
          <w:r>
            <w:rPr>
              <w:rFonts w:hint="eastAsia"/>
            </w:rPr>
            <w:instrText xml:space="preserve"> HYPERLINK \l _Toc25524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6.3 </w:t>
          </w:r>
          <w:r>
            <w:rPr>
              <w:rFonts w:hint="eastAsia"/>
              <w:lang w:val="en-US" w:eastAsia="zh-CN"/>
            </w:rPr>
            <w:t>评审策划</w:t>
          </w:r>
          <w:r>
            <w:tab/>
          </w:r>
          <w:r>
            <w:fldChar w:fldCharType="begin"/>
          </w:r>
          <w:r>
            <w:instrText xml:space="preserve"> PAGEREF _Toc25524 \h </w:instrText>
          </w:r>
          <w:r>
            <w:fldChar w:fldCharType="separate"/>
          </w:r>
          <w:r>
            <w:t>5</w:t>
          </w:r>
          <w:r>
            <w:fldChar w:fldCharType="end"/>
          </w:r>
          <w:r>
            <w:rPr>
              <w:rFonts w:hint="eastAsia"/>
            </w:rPr>
            <w:fldChar w:fldCharType="end"/>
          </w:r>
        </w:p>
        <w:p w14:paraId="3552A0A2">
          <w:pPr>
            <w:pStyle w:val="28"/>
            <w:tabs>
              <w:tab w:val="right" w:leader="dot" w:pos="9354"/>
              <w:tab w:val="clear" w:pos="9241"/>
            </w:tabs>
          </w:pPr>
          <w:r>
            <w:rPr>
              <w:rFonts w:hint="eastAsia"/>
            </w:rPr>
            <w:fldChar w:fldCharType="begin"/>
          </w:r>
          <w:r>
            <w:rPr>
              <w:rFonts w:hint="eastAsia"/>
            </w:rPr>
            <w:instrText xml:space="preserve"> HYPERLINK \l _Toc6860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6.4 </w:t>
          </w:r>
          <w:r>
            <w:rPr>
              <w:rFonts w:hint="eastAsia"/>
              <w:lang w:val="en-US" w:eastAsia="zh-CN"/>
            </w:rPr>
            <w:t>评审过程</w:t>
          </w:r>
          <w:r>
            <w:tab/>
          </w:r>
          <w:r>
            <w:fldChar w:fldCharType="begin"/>
          </w:r>
          <w:r>
            <w:instrText xml:space="preserve"> PAGEREF _Toc6860 \h </w:instrText>
          </w:r>
          <w:r>
            <w:fldChar w:fldCharType="separate"/>
          </w:r>
          <w:r>
            <w:t>5</w:t>
          </w:r>
          <w:r>
            <w:fldChar w:fldCharType="end"/>
          </w:r>
          <w:r>
            <w:rPr>
              <w:rFonts w:hint="eastAsia"/>
            </w:rPr>
            <w:fldChar w:fldCharType="end"/>
          </w:r>
        </w:p>
        <w:p w14:paraId="23D66D47">
          <w:pPr>
            <w:pStyle w:val="28"/>
            <w:tabs>
              <w:tab w:val="right" w:leader="dot" w:pos="9354"/>
              <w:tab w:val="clear" w:pos="9241"/>
            </w:tabs>
          </w:pPr>
          <w:r>
            <w:rPr>
              <w:rFonts w:hint="eastAsia"/>
            </w:rPr>
            <w:fldChar w:fldCharType="begin"/>
          </w:r>
          <w:r>
            <w:rPr>
              <w:rFonts w:hint="eastAsia"/>
            </w:rPr>
            <w:instrText xml:space="preserve"> HYPERLINK \l _Toc11310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6.5 </w:t>
          </w:r>
          <w:r>
            <w:rPr>
              <w:rFonts w:hint="eastAsia"/>
              <w:lang w:val="en-US" w:eastAsia="zh-CN"/>
            </w:rPr>
            <w:t>评审结果</w:t>
          </w:r>
          <w:r>
            <w:tab/>
          </w:r>
          <w:r>
            <w:fldChar w:fldCharType="begin"/>
          </w:r>
          <w:r>
            <w:instrText xml:space="preserve"> PAGEREF _Toc11310 \h </w:instrText>
          </w:r>
          <w:r>
            <w:fldChar w:fldCharType="separate"/>
          </w:r>
          <w:r>
            <w:t>5</w:t>
          </w:r>
          <w:r>
            <w:fldChar w:fldCharType="end"/>
          </w:r>
          <w:r>
            <w:rPr>
              <w:rFonts w:hint="eastAsia"/>
            </w:rPr>
            <w:fldChar w:fldCharType="end"/>
          </w:r>
        </w:p>
        <w:p w14:paraId="7F1AD86A">
          <w:pPr>
            <w:pStyle w:val="28"/>
            <w:tabs>
              <w:tab w:val="right" w:leader="dot" w:pos="9354"/>
              <w:tab w:val="clear" w:pos="9241"/>
            </w:tabs>
          </w:pPr>
          <w:r>
            <w:rPr>
              <w:rFonts w:hint="eastAsia"/>
            </w:rPr>
            <w:fldChar w:fldCharType="begin"/>
          </w:r>
          <w:r>
            <w:rPr>
              <w:rFonts w:hint="eastAsia"/>
            </w:rPr>
            <w:instrText xml:space="preserve"> HYPERLINK \l _Toc314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6.6 </w:t>
          </w:r>
          <w:r>
            <w:rPr>
              <w:rFonts w:hint="eastAsia"/>
              <w:lang w:val="en-US" w:eastAsia="zh-CN"/>
            </w:rPr>
            <w:t>质量监督</w:t>
          </w:r>
          <w:r>
            <w:tab/>
          </w:r>
          <w:r>
            <w:fldChar w:fldCharType="begin"/>
          </w:r>
          <w:r>
            <w:instrText xml:space="preserve"> PAGEREF _Toc314 \h </w:instrText>
          </w:r>
          <w:r>
            <w:fldChar w:fldCharType="separate"/>
          </w:r>
          <w:r>
            <w:t>5</w:t>
          </w:r>
          <w:r>
            <w:fldChar w:fldCharType="end"/>
          </w:r>
          <w:r>
            <w:rPr>
              <w:rFonts w:hint="eastAsia"/>
            </w:rPr>
            <w:fldChar w:fldCharType="end"/>
          </w:r>
        </w:p>
        <w:p w14:paraId="5E98C51F">
          <w:pPr>
            <w:pStyle w:val="28"/>
            <w:tabs>
              <w:tab w:val="right" w:leader="dot" w:pos="9354"/>
              <w:tab w:val="clear" w:pos="9241"/>
            </w:tabs>
          </w:pPr>
          <w:r>
            <w:rPr>
              <w:rFonts w:hint="eastAsia"/>
            </w:rPr>
            <w:fldChar w:fldCharType="begin"/>
          </w:r>
          <w:r>
            <w:rPr>
              <w:rFonts w:hint="eastAsia"/>
            </w:rPr>
            <w:instrText xml:space="preserve"> HYPERLINK \l _Toc7917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6.7 </w:t>
          </w:r>
          <w:r>
            <w:rPr>
              <w:rFonts w:hint="eastAsia"/>
              <w:lang w:val="en-US" w:eastAsia="zh-CN"/>
            </w:rPr>
            <w:t>投诉</w:t>
          </w:r>
          <w:r>
            <w:tab/>
          </w:r>
          <w:r>
            <w:fldChar w:fldCharType="begin"/>
          </w:r>
          <w:r>
            <w:instrText xml:space="preserve"> PAGEREF _Toc7917 \h </w:instrText>
          </w:r>
          <w:r>
            <w:fldChar w:fldCharType="separate"/>
          </w:r>
          <w:r>
            <w:t>5</w:t>
          </w:r>
          <w:r>
            <w:fldChar w:fldCharType="end"/>
          </w:r>
          <w:r>
            <w:rPr>
              <w:rFonts w:hint="eastAsia"/>
            </w:rPr>
            <w:fldChar w:fldCharType="end"/>
          </w:r>
        </w:p>
        <w:p w14:paraId="6420606D">
          <w:pPr>
            <w:pStyle w:val="19"/>
            <w:tabs>
              <w:tab w:val="right" w:leader="dot" w:pos="9354"/>
              <w:tab w:val="clear" w:pos="9241"/>
            </w:tabs>
          </w:pPr>
          <w:r>
            <w:rPr>
              <w:rFonts w:hint="eastAsia"/>
            </w:rPr>
            <w:fldChar w:fldCharType="begin"/>
          </w:r>
          <w:r>
            <w:rPr>
              <w:rFonts w:hint="eastAsia"/>
            </w:rPr>
            <w:instrText xml:space="preserve"> HYPERLINK \l _Toc1537 </w:instrText>
          </w:r>
          <w:r>
            <w:rPr>
              <w:rFonts w:hint="eastAsia"/>
            </w:rPr>
            <w:fldChar w:fldCharType="separate"/>
          </w:r>
          <w:r>
            <w:rPr>
              <w:rFonts w:hint="eastAsia" w:ascii="黑体" w:hAnsi="Times New Roman" w:eastAsia="黑体"/>
              <w:i w:val="0"/>
              <w:szCs w:val="21"/>
            </w:rPr>
            <w:t xml:space="preserve">7 </w:t>
          </w:r>
          <w:r>
            <w:rPr>
              <w:rFonts w:hint="eastAsia"/>
            </w:rPr>
            <w:t>管理体系</w:t>
          </w:r>
          <w:r>
            <w:tab/>
          </w:r>
          <w:r>
            <w:fldChar w:fldCharType="begin"/>
          </w:r>
          <w:r>
            <w:instrText xml:space="preserve"> PAGEREF _Toc1537 \h </w:instrText>
          </w:r>
          <w:r>
            <w:fldChar w:fldCharType="separate"/>
          </w:r>
          <w:r>
            <w:t>6</w:t>
          </w:r>
          <w:r>
            <w:fldChar w:fldCharType="end"/>
          </w:r>
          <w:r>
            <w:rPr>
              <w:rFonts w:hint="eastAsia"/>
            </w:rPr>
            <w:fldChar w:fldCharType="end"/>
          </w:r>
        </w:p>
        <w:p w14:paraId="5A278732">
          <w:pPr>
            <w:pStyle w:val="28"/>
            <w:tabs>
              <w:tab w:val="right" w:leader="dot" w:pos="9354"/>
              <w:tab w:val="clear" w:pos="9241"/>
            </w:tabs>
          </w:pPr>
          <w:r>
            <w:rPr>
              <w:rFonts w:hint="eastAsia"/>
            </w:rPr>
            <w:fldChar w:fldCharType="begin"/>
          </w:r>
          <w:r>
            <w:rPr>
              <w:rFonts w:hint="eastAsia"/>
            </w:rPr>
            <w:instrText xml:space="preserve"> HYPERLINK \l _Toc3114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7.1 </w:t>
          </w:r>
          <w:r>
            <w:rPr>
              <w:rFonts w:hint="eastAsia"/>
              <w:lang w:val="en-US" w:eastAsia="zh-CN"/>
            </w:rPr>
            <w:t>总则</w:t>
          </w:r>
          <w:r>
            <w:tab/>
          </w:r>
          <w:r>
            <w:fldChar w:fldCharType="begin"/>
          </w:r>
          <w:r>
            <w:instrText xml:space="preserve"> PAGEREF _Toc3114 \h </w:instrText>
          </w:r>
          <w:r>
            <w:fldChar w:fldCharType="separate"/>
          </w:r>
          <w:r>
            <w:t>6</w:t>
          </w:r>
          <w:r>
            <w:fldChar w:fldCharType="end"/>
          </w:r>
          <w:r>
            <w:rPr>
              <w:rFonts w:hint="eastAsia"/>
            </w:rPr>
            <w:fldChar w:fldCharType="end"/>
          </w:r>
        </w:p>
        <w:p w14:paraId="08A5A45B">
          <w:pPr>
            <w:pStyle w:val="28"/>
            <w:tabs>
              <w:tab w:val="right" w:leader="dot" w:pos="9354"/>
              <w:tab w:val="clear" w:pos="9241"/>
            </w:tabs>
          </w:pPr>
          <w:r>
            <w:rPr>
              <w:rFonts w:hint="eastAsia"/>
            </w:rPr>
            <w:fldChar w:fldCharType="begin"/>
          </w:r>
          <w:r>
            <w:rPr>
              <w:rFonts w:hint="eastAsia"/>
            </w:rPr>
            <w:instrText xml:space="preserve"> HYPERLINK \l _Toc5040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7.2 </w:t>
          </w:r>
          <w:r>
            <w:rPr>
              <w:rFonts w:hint="eastAsia"/>
              <w:lang w:val="en-US" w:eastAsia="zh-CN"/>
            </w:rPr>
            <w:t>管理体系</w:t>
          </w:r>
          <w:r>
            <w:tab/>
          </w:r>
          <w:r>
            <w:fldChar w:fldCharType="begin"/>
          </w:r>
          <w:r>
            <w:instrText xml:space="preserve"> PAGEREF _Toc5040 \h </w:instrText>
          </w:r>
          <w:r>
            <w:fldChar w:fldCharType="separate"/>
          </w:r>
          <w:r>
            <w:t>6</w:t>
          </w:r>
          <w:r>
            <w:fldChar w:fldCharType="end"/>
          </w:r>
          <w:r>
            <w:rPr>
              <w:rFonts w:hint="eastAsia"/>
            </w:rPr>
            <w:fldChar w:fldCharType="end"/>
          </w:r>
        </w:p>
        <w:p w14:paraId="3AF7C0BB">
          <w:pPr>
            <w:pStyle w:val="28"/>
            <w:tabs>
              <w:tab w:val="right" w:leader="dot" w:pos="9354"/>
              <w:tab w:val="clear" w:pos="9241"/>
            </w:tabs>
          </w:pPr>
          <w:r>
            <w:rPr>
              <w:rFonts w:hint="eastAsia"/>
            </w:rPr>
            <w:fldChar w:fldCharType="begin"/>
          </w:r>
          <w:r>
            <w:rPr>
              <w:rFonts w:hint="eastAsia"/>
            </w:rPr>
            <w:instrText xml:space="preserve"> HYPERLINK \l _Toc2703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7.3 </w:t>
          </w:r>
          <w:r>
            <w:rPr>
              <w:rFonts w:hint="eastAsia"/>
              <w:lang w:val="en-US" w:eastAsia="zh-CN"/>
            </w:rPr>
            <w:t>文件控制</w:t>
          </w:r>
          <w:r>
            <w:tab/>
          </w:r>
          <w:r>
            <w:fldChar w:fldCharType="begin"/>
          </w:r>
          <w:r>
            <w:instrText xml:space="preserve"> PAGEREF _Toc2703 \h </w:instrText>
          </w:r>
          <w:r>
            <w:fldChar w:fldCharType="separate"/>
          </w:r>
          <w:r>
            <w:t>6</w:t>
          </w:r>
          <w:r>
            <w:fldChar w:fldCharType="end"/>
          </w:r>
          <w:r>
            <w:rPr>
              <w:rFonts w:hint="eastAsia"/>
            </w:rPr>
            <w:fldChar w:fldCharType="end"/>
          </w:r>
        </w:p>
        <w:p w14:paraId="0366A43C">
          <w:pPr>
            <w:pStyle w:val="28"/>
            <w:tabs>
              <w:tab w:val="right" w:leader="dot" w:pos="9354"/>
              <w:tab w:val="clear" w:pos="9241"/>
            </w:tabs>
          </w:pPr>
          <w:r>
            <w:rPr>
              <w:rFonts w:hint="eastAsia"/>
            </w:rPr>
            <w:fldChar w:fldCharType="begin"/>
          </w:r>
          <w:r>
            <w:rPr>
              <w:rFonts w:hint="eastAsia"/>
            </w:rPr>
            <w:instrText xml:space="preserve"> HYPERLINK \l _Toc11089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7.4 </w:t>
          </w:r>
          <w:r>
            <w:rPr>
              <w:rFonts w:hint="eastAsia"/>
              <w:lang w:val="en-US" w:eastAsia="zh-CN"/>
            </w:rPr>
            <w:t>记录控制</w:t>
          </w:r>
          <w:r>
            <w:tab/>
          </w:r>
          <w:r>
            <w:fldChar w:fldCharType="begin"/>
          </w:r>
          <w:r>
            <w:instrText xml:space="preserve"> PAGEREF _Toc11089 \h </w:instrText>
          </w:r>
          <w:r>
            <w:fldChar w:fldCharType="separate"/>
          </w:r>
          <w:r>
            <w:t>6</w:t>
          </w:r>
          <w:r>
            <w:fldChar w:fldCharType="end"/>
          </w:r>
          <w:r>
            <w:rPr>
              <w:rFonts w:hint="eastAsia"/>
            </w:rPr>
            <w:fldChar w:fldCharType="end"/>
          </w:r>
        </w:p>
        <w:p w14:paraId="5F629D25">
          <w:pPr>
            <w:pStyle w:val="28"/>
            <w:tabs>
              <w:tab w:val="right" w:leader="dot" w:pos="9354"/>
              <w:tab w:val="clear" w:pos="9241"/>
            </w:tabs>
          </w:pPr>
          <w:r>
            <w:rPr>
              <w:rFonts w:hint="eastAsia"/>
            </w:rPr>
            <w:fldChar w:fldCharType="begin"/>
          </w:r>
          <w:r>
            <w:rPr>
              <w:rFonts w:hint="eastAsia"/>
            </w:rPr>
            <w:instrText xml:space="preserve"> HYPERLINK \l _Toc28631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7.5 </w:t>
          </w:r>
          <w:r>
            <w:rPr>
              <w:rFonts w:hint="eastAsia"/>
              <w:lang w:val="en-US" w:eastAsia="zh-CN"/>
            </w:rPr>
            <w:t>不符合与纠正措施</w:t>
          </w:r>
          <w:r>
            <w:tab/>
          </w:r>
          <w:r>
            <w:fldChar w:fldCharType="begin"/>
          </w:r>
          <w:r>
            <w:instrText xml:space="preserve"> PAGEREF _Toc28631 \h </w:instrText>
          </w:r>
          <w:r>
            <w:fldChar w:fldCharType="separate"/>
          </w:r>
          <w:r>
            <w:t>7</w:t>
          </w:r>
          <w:r>
            <w:fldChar w:fldCharType="end"/>
          </w:r>
          <w:r>
            <w:rPr>
              <w:rFonts w:hint="eastAsia"/>
            </w:rPr>
            <w:fldChar w:fldCharType="end"/>
          </w:r>
        </w:p>
        <w:p w14:paraId="762B7694">
          <w:pPr>
            <w:pStyle w:val="28"/>
            <w:tabs>
              <w:tab w:val="right" w:leader="dot" w:pos="9354"/>
              <w:tab w:val="clear" w:pos="9241"/>
            </w:tabs>
          </w:pPr>
          <w:r>
            <w:rPr>
              <w:rFonts w:hint="eastAsia"/>
            </w:rPr>
            <w:fldChar w:fldCharType="begin"/>
          </w:r>
          <w:r>
            <w:rPr>
              <w:rFonts w:hint="eastAsia"/>
            </w:rPr>
            <w:instrText xml:space="preserve"> HYPERLINK \l _Toc18702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7.6 </w:t>
          </w:r>
          <w:r>
            <w:rPr>
              <w:rFonts w:hint="eastAsia" w:ascii="宋体"/>
              <w:kern w:val="0"/>
              <w:szCs w:val="20"/>
              <w:lang w:val="en-US" w:eastAsia="zh-CN"/>
            </w:rPr>
            <w:t>风险和机遇应对措施</w:t>
          </w:r>
          <w:r>
            <w:tab/>
          </w:r>
          <w:r>
            <w:fldChar w:fldCharType="begin"/>
          </w:r>
          <w:r>
            <w:instrText xml:space="preserve"> PAGEREF _Toc18702 \h </w:instrText>
          </w:r>
          <w:r>
            <w:fldChar w:fldCharType="separate"/>
          </w:r>
          <w:r>
            <w:t>7</w:t>
          </w:r>
          <w:r>
            <w:fldChar w:fldCharType="end"/>
          </w:r>
          <w:r>
            <w:rPr>
              <w:rFonts w:hint="eastAsia"/>
            </w:rPr>
            <w:fldChar w:fldCharType="end"/>
          </w:r>
        </w:p>
        <w:p w14:paraId="52EE29DB">
          <w:pPr>
            <w:pStyle w:val="28"/>
            <w:tabs>
              <w:tab w:val="right" w:leader="dot" w:pos="9354"/>
              <w:tab w:val="clear" w:pos="9241"/>
            </w:tabs>
          </w:pPr>
          <w:r>
            <w:rPr>
              <w:rFonts w:hint="eastAsia"/>
            </w:rPr>
            <w:fldChar w:fldCharType="begin"/>
          </w:r>
          <w:r>
            <w:rPr>
              <w:rFonts w:hint="eastAsia"/>
            </w:rPr>
            <w:instrText xml:space="preserve"> HYPERLINK \l _Toc14207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 xml:space="preserve">7.7 </w:t>
          </w:r>
          <w:r>
            <w:rPr>
              <w:rFonts w:hint="eastAsia"/>
              <w:lang w:val="en-US" w:eastAsia="zh-CN"/>
            </w:rPr>
            <w:t>改进</w:t>
          </w:r>
          <w:r>
            <w:tab/>
          </w:r>
          <w:r>
            <w:fldChar w:fldCharType="begin"/>
          </w:r>
          <w:r>
            <w:instrText xml:space="preserve"> PAGEREF _Toc14207 \h </w:instrText>
          </w:r>
          <w:r>
            <w:fldChar w:fldCharType="separate"/>
          </w:r>
          <w:r>
            <w:t>7</w:t>
          </w:r>
          <w:r>
            <w:fldChar w:fldCharType="end"/>
          </w:r>
          <w:r>
            <w:rPr>
              <w:rFonts w:hint="eastAsia"/>
            </w:rPr>
            <w:fldChar w:fldCharType="end"/>
          </w:r>
        </w:p>
        <w:p w14:paraId="732A5752">
          <w:pPr>
            <w:pStyle w:val="28"/>
            <w:tabs>
              <w:tab w:val="right" w:leader="dot" w:pos="9354"/>
              <w:tab w:val="clear" w:pos="9241"/>
            </w:tabs>
          </w:pPr>
          <w:r>
            <w:rPr>
              <w:rFonts w:hint="eastAsia"/>
            </w:rPr>
            <w:fldChar w:fldCharType="begin"/>
          </w:r>
          <w:r>
            <w:rPr>
              <w:rFonts w:hint="eastAsia"/>
            </w:rPr>
            <w:instrText xml:space="preserve"> HYPERLINK \l _Toc29340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7.8 </w:t>
          </w:r>
          <w:r>
            <w:rPr>
              <w:rFonts w:hint="eastAsia" w:ascii="宋体"/>
              <w:kern w:val="0"/>
              <w:szCs w:val="20"/>
            </w:rPr>
            <w:t>内部审核</w:t>
          </w:r>
          <w:r>
            <w:tab/>
          </w:r>
          <w:r>
            <w:fldChar w:fldCharType="begin"/>
          </w:r>
          <w:r>
            <w:instrText xml:space="preserve"> PAGEREF _Toc29340 \h </w:instrText>
          </w:r>
          <w:r>
            <w:fldChar w:fldCharType="separate"/>
          </w:r>
          <w:r>
            <w:t>7</w:t>
          </w:r>
          <w:r>
            <w:fldChar w:fldCharType="end"/>
          </w:r>
          <w:r>
            <w:rPr>
              <w:rFonts w:hint="eastAsia"/>
            </w:rPr>
            <w:fldChar w:fldCharType="end"/>
          </w:r>
        </w:p>
        <w:p w14:paraId="03AD8723">
          <w:pPr>
            <w:pStyle w:val="28"/>
            <w:tabs>
              <w:tab w:val="right" w:leader="dot" w:pos="9354"/>
              <w:tab w:val="clear" w:pos="9241"/>
            </w:tabs>
          </w:pPr>
          <w:r>
            <w:rPr>
              <w:rFonts w:hint="eastAsia"/>
            </w:rPr>
            <w:fldChar w:fldCharType="begin"/>
          </w:r>
          <w:r>
            <w:rPr>
              <w:rFonts w:hint="eastAsia"/>
            </w:rPr>
            <w:instrText xml:space="preserve"> HYPERLINK \l _Toc4071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 xml:space="preserve">7.9 </w:t>
          </w:r>
          <w:r>
            <w:rPr>
              <w:rFonts w:hint="eastAsia" w:ascii="宋体"/>
              <w:kern w:val="0"/>
              <w:szCs w:val="20"/>
            </w:rPr>
            <w:t>管理评审</w:t>
          </w:r>
          <w:r>
            <w:tab/>
          </w:r>
          <w:r>
            <w:fldChar w:fldCharType="begin"/>
          </w:r>
          <w:r>
            <w:instrText xml:space="preserve"> PAGEREF _Toc4071 \h </w:instrText>
          </w:r>
          <w:r>
            <w:fldChar w:fldCharType="separate"/>
          </w:r>
          <w:r>
            <w:t>8</w:t>
          </w:r>
          <w:r>
            <w:fldChar w:fldCharType="end"/>
          </w:r>
          <w:r>
            <w:rPr>
              <w:rFonts w:hint="eastAsia"/>
            </w:rPr>
            <w:fldChar w:fldCharType="end"/>
          </w:r>
        </w:p>
        <w:p w14:paraId="170275EE">
          <w:pPr>
            <w:pStyle w:val="19"/>
            <w:tabs>
              <w:tab w:val="right" w:leader="dot" w:pos="9354"/>
              <w:tab w:val="clear" w:pos="9241"/>
            </w:tabs>
          </w:pPr>
          <w:r>
            <w:rPr>
              <w:rFonts w:hint="eastAsia"/>
            </w:rPr>
            <w:fldChar w:fldCharType="begin"/>
          </w:r>
          <w:r>
            <w:rPr>
              <w:rFonts w:hint="eastAsia"/>
            </w:rPr>
            <w:instrText xml:space="preserve"> HYPERLINK \l _Toc26196 </w:instrText>
          </w:r>
          <w:r>
            <w:rPr>
              <w:rFonts w:hint="eastAsia"/>
            </w:rPr>
            <w:fldChar w:fldCharType="separate"/>
          </w:r>
          <w:r>
            <w:rPr>
              <w:rFonts w:hint="eastAsia" w:ascii="宋体" w:eastAsia="宋体"/>
              <w:bCs w:val="0"/>
              <w:szCs w:val="22"/>
            </w:rPr>
            <w:t>附录A</w:t>
          </w:r>
          <w:r>
            <w:rPr>
              <w:rFonts w:hint="eastAsia" w:ascii="宋体" w:eastAsia="宋体"/>
              <w:bCs w:val="0"/>
              <w:szCs w:val="22"/>
            </w:rPr>
            <w:t xml:space="preserve"> </w:t>
          </w:r>
          <w:r>
            <w:rPr>
              <w:rFonts w:hint="eastAsia" w:ascii="宋体"/>
              <w:bCs w:val="0"/>
              <w:szCs w:val="22"/>
              <w:lang w:val="en-US" w:eastAsia="zh-CN"/>
            </w:rPr>
            <w:t>(</w:t>
          </w:r>
          <w:r>
            <w:rPr>
              <w:rFonts w:hint="eastAsia" w:ascii="宋体" w:eastAsia="宋体"/>
              <w:bCs w:val="0"/>
              <w:szCs w:val="22"/>
            </w:rPr>
            <w:t>资料性</w:t>
          </w:r>
          <w:r>
            <w:rPr>
              <w:rFonts w:hint="eastAsia" w:ascii="宋体"/>
              <w:bCs w:val="0"/>
              <w:szCs w:val="22"/>
              <w:lang w:val="en-US" w:eastAsia="zh-CN"/>
            </w:rPr>
            <w:t>)</w:t>
          </w:r>
          <w:r>
            <w:rPr>
              <w:rFonts w:hint="eastAsia" w:ascii="宋体" w:eastAsia="宋体"/>
              <w:bCs w:val="0"/>
              <w:szCs w:val="22"/>
            </w:rPr>
            <w:t xml:space="preserve"> </w:t>
          </w:r>
          <w:r>
            <w:rPr>
              <w:rFonts w:hint="eastAsia" w:ascii="宋体"/>
              <w:bCs w:val="0"/>
              <w:szCs w:val="22"/>
              <w:lang w:val="en-US" w:eastAsia="zh-CN"/>
            </w:rPr>
            <w:t>科技成果评价领域分类</w:t>
          </w:r>
          <w:r>
            <w:tab/>
          </w:r>
          <w:r>
            <w:fldChar w:fldCharType="begin"/>
          </w:r>
          <w:r>
            <w:instrText xml:space="preserve"> PAGEREF _Toc26196 \h </w:instrText>
          </w:r>
          <w:r>
            <w:fldChar w:fldCharType="separate"/>
          </w:r>
          <w:r>
            <w:t>9</w:t>
          </w:r>
          <w:r>
            <w:fldChar w:fldCharType="end"/>
          </w:r>
          <w:r>
            <w:rPr>
              <w:rFonts w:hint="eastAsia"/>
            </w:rPr>
            <w:fldChar w:fldCharType="end"/>
          </w:r>
        </w:p>
        <w:p w14:paraId="4527895C">
          <w:pPr>
            <w:pStyle w:val="19"/>
            <w:spacing w:before="78" w:after="78" w:line="360" w:lineRule="auto"/>
          </w:pPr>
          <w:r>
            <w:rPr>
              <w:rFonts w:hint="eastAsia"/>
            </w:rPr>
            <w:fldChar w:fldCharType="end"/>
          </w:r>
        </w:p>
      </w:sdtContent>
    </w:sdt>
    <w:p w14:paraId="31638CE2">
      <w:pPr>
        <w:pStyle w:val="113"/>
        <w:rPr>
          <w:szCs w:val="22"/>
        </w:rPr>
        <w:sectPr>
          <w:headerReference r:id="rId8" w:type="default"/>
          <w:footerReference r:id="rId10" w:type="default"/>
          <w:headerReference r:id="rId9" w:type="even"/>
          <w:footerReference r:id="rId11"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bookmarkStart w:id="9" w:name="_Toc32510"/>
      <w:bookmarkStart w:id="10" w:name="_Toc52288515"/>
      <w:bookmarkStart w:id="11" w:name="_Toc44414102"/>
    </w:p>
    <w:bookmarkEnd w:id="9"/>
    <w:p w14:paraId="1B847FBF">
      <w:pPr>
        <w:pStyle w:val="23"/>
        <w:ind w:firstLine="0" w:firstLineChars="0"/>
        <w:rPr>
          <w:rFonts w:ascii="黑体" w:hAnsi="黑体" w:eastAsia="黑体" w:cs="黑体"/>
          <w:sz w:val="32"/>
          <w:szCs w:val="32"/>
        </w:rPr>
      </w:pPr>
    </w:p>
    <w:p w14:paraId="452586DF">
      <w:pPr>
        <w:pStyle w:val="23"/>
        <w:ind w:firstLine="0" w:firstLineChars="0"/>
        <w:jc w:val="center"/>
        <w:outlineLvl w:val="0"/>
        <w:rPr>
          <w:rFonts w:ascii="黑体" w:hAnsi="黑体" w:eastAsia="黑体" w:cs="黑体"/>
          <w:sz w:val="32"/>
          <w:szCs w:val="32"/>
        </w:rPr>
      </w:pPr>
      <w:bookmarkStart w:id="12" w:name="_Toc10900"/>
      <w:r>
        <w:rPr>
          <w:rFonts w:hint="eastAsia" w:ascii="黑体" w:hAnsi="黑体" w:eastAsia="黑体" w:cs="黑体"/>
          <w:sz w:val="32"/>
          <w:szCs w:val="32"/>
        </w:rPr>
        <w:t>前    言</w:t>
      </w:r>
      <w:bookmarkEnd w:id="12"/>
    </w:p>
    <w:p w14:paraId="4BB3F39A">
      <w:pPr>
        <w:pStyle w:val="23"/>
        <w:ind w:firstLine="0" w:firstLineChars="0"/>
        <w:rPr>
          <w:rFonts w:ascii="黑体" w:hAnsi="黑体" w:eastAsia="黑体" w:cs="黑体"/>
          <w:sz w:val="24"/>
          <w:szCs w:val="24"/>
        </w:rPr>
      </w:pPr>
    </w:p>
    <w:p w14:paraId="42D54B0C">
      <w:pPr>
        <w:pStyle w:val="23"/>
        <w:rPr>
          <w:rFonts w:hint="eastAsia" w:hAnsi="宋体" w:cs="宋体"/>
        </w:rPr>
      </w:pPr>
      <w:bookmarkStart w:id="13" w:name="_Toc23227"/>
      <w:r>
        <w:rPr>
          <w:rFonts w:hint="eastAsia" w:hAnsi="宋体" w:cs="宋体"/>
        </w:rPr>
        <w:t>本文件按照GB/T 1.1—2020《标准化工作导则  第1部分：标准化文件的结构和起草规则》的规定起草。</w:t>
      </w:r>
    </w:p>
    <w:p w14:paraId="2AC0A91D">
      <w:pPr>
        <w:pStyle w:val="23"/>
        <w:rPr>
          <w:rFonts w:hint="eastAsia" w:hAnsi="宋体" w:cs="宋体"/>
        </w:rPr>
      </w:pPr>
      <w:r>
        <w:rPr>
          <w:rFonts w:hint="eastAsia" w:hAnsi="宋体" w:cs="宋体"/>
        </w:rPr>
        <w:t>本文件的某些内容可能涉及专利。本文件的发布机构不承担识别专利的责任。</w:t>
      </w:r>
    </w:p>
    <w:p w14:paraId="38135A92">
      <w:pPr>
        <w:pStyle w:val="23"/>
        <w:rPr>
          <w:rFonts w:hint="eastAsia" w:hAnsi="宋体" w:cs="宋体"/>
        </w:rPr>
      </w:pPr>
      <w:r>
        <w:rPr>
          <w:rFonts w:hint="eastAsia" w:hAnsi="宋体" w:cs="宋体"/>
        </w:rPr>
        <w:t>本文件由中国认证认可协会科技成果评价专业委员会提出，由中国认证认可协会归口。</w:t>
      </w:r>
    </w:p>
    <w:p w14:paraId="3EFD130C">
      <w:pPr>
        <w:pStyle w:val="23"/>
        <w:rPr>
          <w:rFonts w:hint="eastAsia" w:hAnsi="宋体" w:cs="宋体"/>
        </w:rPr>
      </w:pPr>
      <w:r>
        <w:rPr>
          <w:rFonts w:hint="eastAsia" w:hAnsi="宋体" w:cs="宋体"/>
        </w:rPr>
        <w:t>本文件起草单位：中智科学技术评价研究中心、中国认证认可协会科技成果评价专业委员会、北京军友诚信检测认证有限公司、中国海关科学技术研究中心、中国检验检疫科学研究院。</w:t>
      </w:r>
    </w:p>
    <w:p w14:paraId="5B0E844A">
      <w:pPr>
        <w:pStyle w:val="23"/>
        <w:rPr>
          <w:rFonts w:hint="eastAsia" w:hAnsi="宋体" w:cs="宋体"/>
        </w:rPr>
      </w:pPr>
      <w:r>
        <w:rPr>
          <w:rFonts w:hint="eastAsia" w:hAnsi="宋体" w:cs="宋体"/>
        </w:rPr>
        <w:t>本文件主要起草人：李闽榕、吴东流、傅斌友、李晨星、张韵斐、姜海光、薄昱民、胡燕、周士荣、朱韦静、王金花、韩晶、刘彩虹、王姝、王晔。</w:t>
      </w:r>
    </w:p>
    <w:p w14:paraId="57767DE3">
      <w:pPr>
        <w:pStyle w:val="23"/>
        <w:rPr>
          <w:rFonts w:hAnsi="宋体" w:cs="宋体"/>
          <w:color w:val="000000" w:themeColor="text1"/>
          <w14:textFill>
            <w14:solidFill>
              <w14:schemeClr w14:val="tx1"/>
            </w14:solidFill>
          </w14:textFill>
        </w:rPr>
      </w:pPr>
      <w:r>
        <w:rPr>
          <w:rFonts w:hint="eastAsia" w:hAnsi="宋体" w:cs="宋体"/>
        </w:rPr>
        <w:t>本文件为首次发布。</w:t>
      </w:r>
    </w:p>
    <w:bookmarkEnd w:id="10"/>
    <w:bookmarkEnd w:id="11"/>
    <w:bookmarkEnd w:id="13"/>
    <w:p w14:paraId="235D7869">
      <w:pPr>
        <w:pStyle w:val="23"/>
        <w:ind w:firstLine="0" w:firstLineChars="0"/>
        <w:sectPr>
          <w:headerReference r:id="rId12" w:type="default"/>
          <w:footerReference r:id="rId14" w:type="default"/>
          <w:headerReference r:id="rId13" w:type="even"/>
          <w:footerReference r:id="rId15"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2"/>
          <w:cols w:space="425" w:num="1"/>
          <w:formProt w:val="0"/>
          <w:docGrid w:type="lines" w:linePitch="312" w:charSpace="0"/>
        </w:sectPr>
      </w:pPr>
    </w:p>
    <w:p w14:paraId="5D412085">
      <w:pPr>
        <w:jc w:val="center"/>
        <w:rPr>
          <w:rFonts w:ascii="黑体" w:hAnsi="黑体" w:eastAsia="黑体" w:cs="黑体"/>
          <w:sz w:val="32"/>
          <w:szCs w:val="32"/>
        </w:rPr>
      </w:pPr>
      <w:bookmarkStart w:id="14" w:name="_Toc16795"/>
      <w:sdt>
        <w:sdtPr>
          <w:rPr>
            <w:rFonts w:hint="eastAsia" w:ascii="黑体" w:hAnsi="黑体" w:eastAsia="黑体"/>
            <w:kern w:val="0"/>
            <w:sz w:val="32"/>
            <w:szCs w:val="32"/>
            <w:lang w:val="zh-CN" w:bidi="zh-CN"/>
          </w:rPr>
          <w:alias w:val="标准名称"/>
          <w:tag w:val="标准名称"/>
          <w:id w:val="1795105741"/>
          <w:lock w:val="sdtLocked"/>
          <w:text w:multiLine="1"/>
        </w:sdtPr>
        <w:sdtEndPr>
          <w:rPr>
            <w:rFonts w:hint="eastAsia" w:ascii="黑体" w:hAnsi="黑体" w:eastAsia="黑体"/>
            <w:kern w:val="0"/>
            <w:sz w:val="32"/>
            <w:szCs w:val="32"/>
            <w:lang w:val="zh-CN" w:bidi="zh-CN"/>
          </w:rPr>
        </w:sdtEndPr>
        <w:sdtContent>
          <w:r>
            <w:rPr>
              <w:rFonts w:hint="eastAsia" w:ascii="黑体" w:hAnsi="黑体" w:eastAsia="黑体"/>
              <w:kern w:val="0"/>
              <w:sz w:val="32"/>
              <w:szCs w:val="32"/>
              <w:lang w:val="zh-CN" w:bidi="zh-CN"/>
            </w:rPr>
            <w:t>科技成果评价机构要求</w:t>
          </w:r>
        </w:sdtContent>
      </w:sdt>
      <w:bookmarkEnd w:id="14"/>
      <w:bookmarkStart w:id="15" w:name="StandardName"/>
      <w:bookmarkEnd w:id="15"/>
    </w:p>
    <w:p w14:paraId="268969A8">
      <w:pPr>
        <w:pStyle w:val="46"/>
        <w:spacing w:before="312" w:after="312"/>
        <w:outlineLvl w:val="0"/>
      </w:pPr>
      <w:bookmarkStart w:id="16" w:name="_Toc52288516"/>
      <w:bookmarkStart w:id="17" w:name="_Toc21045"/>
      <w:bookmarkStart w:id="18" w:name="_Toc44414103"/>
      <w:bookmarkStart w:id="19" w:name="_Toc10906"/>
      <w:r>
        <w:rPr>
          <w:rFonts w:hint="eastAsia"/>
        </w:rPr>
        <w:t>范围</w:t>
      </w:r>
      <w:bookmarkEnd w:id="16"/>
      <w:bookmarkEnd w:id="17"/>
      <w:bookmarkEnd w:id="18"/>
      <w:bookmarkEnd w:id="19"/>
    </w:p>
    <w:p w14:paraId="0734C962">
      <w:pPr>
        <w:ind w:firstLine="420" w:firstLineChars="200"/>
        <w:rPr>
          <w:rFonts w:hint="eastAsia"/>
        </w:rPr>
      </w:pPr>
      <w:r>
        <w:rPr>
          <w:rFonts w:hint="eastAsia"/>
        </w:rPr>
        <w:t>本文件规定了科技成果评价机构通用要求、人员、质量控制和管理体系等要求。</w:t>
      </w:r>
    </w:p>
    <w:p w14:paraId="24F52218">
      <w:pPr>
        <w:ind w:firstLine="420" w:firstLineChars="200"/>
      </w:pPr>
      <w:r>
        <w:rPr>
          <w:rFonts w:hint="eastAsia"/>
        </w:rPr>
        <w:t>本文件适用于对科技成果评价机构的评审活动。</w:t>
      </w:r>
    </w:p>
    <w:p w14:paraId="6B29C870">
      <w:pPr>
        <w:pStyle w:val="46"/>
        <w:spacing w:before="312" w:after="312"/>
        <w:outlineLvl w:val="0"/>
      </w:pPr>
      <w:bookmarkStart w:id="20" w:name="_Toc44414104"/>
      <w:bookmarkStart w:id="21" w:name="_Toc3041"/>
      <w:bookmarkStart w:id="22" w:name="_Toc52288517"/>
      <w:bookmarkStart w:id="23" w:name="_Toc24017"/>
      <w:r>
        <w:rPr>
          <w:rFonts w:hint="eastAsia"/>
        </w:rPr>
        <w:t>规范性引用文件</w:t>
      </w:r>
      <w:bookmarkEnd w:id="20"/>
      <w:bookmarkEnd w:id="21"/>
      <w:bookmarkEnd w:id="22"/>
      <w:bookmarkEnd w:id="23"/>
    </w:p>
    <w:p w14:paraId="3CFB4E3C">
      <w:pPr>
        <w:ind w:firstLine="420" w:firstLineChars="20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D0ADA80">
      <w:pPr>
        <w:ind w:firstLine="420" w:firstLineChars="200"/>
        <w:rPr>
          <w:rFonts w:hint="eastAsia" w:ascii="宋体" w:hAnsi="宋体" w:cs="宋体"/>
        </w:rPr>
      </w:pPr>
      <w:r>
        <w:rPr>
          <w:rFonts w:hint="eastAsia" w:ascii="宋体" w:hAnsi="宋体" w:cs="宋体"/>
        </w:rPr>
        <w:t>GB/T 27000</w:t>
      </w:r>
      <w:r>
        <w:rPr>
          <w:rFonts w:hint="eastAsia" w:ascii="宋体" w:hAnsi="宋体" w:cs="宋体"/>
        </w:rPr>
        <w:tab/>
      </w:r>
      <w:r>
        <w:rPr>
          <w:rFonts w:hint="eastAsia" w:ascii="宋体" w:hAnsi="宋体" w:cs="宋体"/>
        </w:rPr>
        <w:t>合格评定　词汇和通用原则</w:t>
      </w:r>
    </w:p>
    <w:p w14:paraId="7B4E992D">
      <w:pPr>
        <w:ind w:firstLine="420" w:firstLineChars="200"/>
        <w:rPr>
          <w:rFonts w:hint="eastAsia" w:ascii="宋体" w:hAnsi="宋体" w:cs="宋体"/>
        </w:rPr>
      </w:pPr>
      <w:r>
        <w:rPr>
          <w:rFonts w:hint="eastAsia" w:ascii="宋体" w:hAnsi="宋体" w:cs="宋体"/>
        </w:rPr>
        <w:t>T/CCAA 85</w:t>
      </w:r>
      <w:r>
        <w:rPr>
          <w:rFonts w:hint="eastAsia" w:ascii="宋体" w:hAnsi="宋体" w:cs="宋体"/>
        </w:rPr>
        <w:tab/>
      </w:r>
      <w:r>
        <w:rPr>
          <w:rFonts w:hint="eastAsia" w:ascii="宋体" w:hAnsi="宋体" w:cs="宋体"/>
        </w:rPr>
        <w:t>科技成果评价通用规范</w:t>
      </w:r>
    </w:p>
    <w:p w14:paraId="14C73714">
      <w:pPr>
        <w:ind w:firstLine="420" w:firstLineChars="200"/>
        <w:rPr>
          <w:rFonts w:ascii="宋体" w:hAnsi="宋体" w:cs="宋体"/>
        </w:rPr>
      </w:pPr>
      <w:r>
        <w:rPr>
          <w:rFonts w:hint="eastAsia" w:ascii="宋体" w:hAnsi="宋体" w:cs="宋体"/>
        </w:rPr>
        <w:t>T/CCAA 86</w:t>
      </w:r>
      <w:r>
        <w:rPr>
          <w:rFonts w:hint="eastAsia" w:ascii="宋体" w:hAnsi="宋体" w:cs="宋体"/>
        </w:rPr>
        <w:tab/>
      </w:r>
      <w:r>
        <w:rPr>
          <w:rFonts w:hint="eastAsia" w:ascii="宋体" w:hAnsi="宋体" w:cs="宋体"/>
        </w:rPr>
        <w:t>科技成果评价师能力和管理要求</w:t>
      </w:r>
    </w:p>
    <w:p w14:paraId="45340368">
      <w:pPr>
        <w:ind w:firstLine="420" w:firstLineChars="200"/>
        <w:rPr>
          <w:rFonts w:ascii="宋体" w:hAnsi="宋体" w:cs="宋体"/>
        </w:rPr>
      </w:pPr>
    </w:p>
    <w:p w14:paraId="77737DB3">
      <w:pPr>
        <w:pStyle w:val="46"/>
        <w:spacing w:before="312" w:after="312"/>
        <w:outlineLvl w:val="0"/>
      </w:pPr>
      <w:bookmarkStart w:id="24" w:name="_Toc52288518"/>
      <w:bookmarkStart w:id="25" w:name="_Toc32257"/>
      <w:bookmarkStart w:id="26" w:name="_Toc44414105"/>
      <w:bookmarkStart w:id="27" w:name="_Toc7681"/>
      <w:r>
        <w:rPr>
          <w:rFonts w:hint="eastAsia"/>
        </w:rPr>
        <w:t>术</w:t>
      </w:r>
      <w:r>
        <w:t>语和定</w:t>
      </w:r>
      <w:r>
        <w:rPr>
          <w:rFonts w:hint="eastAsia"/>
        </w:rPr>
        <w:t>义</w:t>
      </w:r>
      <w:bookmarkEnd w:id="24"/>
      <w:bookmarkEnd w:id="25"/>
      <w:bookmarkEnd w:id="26"/>
      <w:bookmarkEnd w:id="27"/>
    </w:p>
    <w:p w14:paraId="149B6C9D">
      <w:pPr>
        <w:ind w:firstLine="420" w:firstLineChars="200"/>
        <w:rPr>
          <w:rFonts w:hint="eastAsia" w:ascii="宋体" w:hAnsi="宋体" w:cs="宋体"/>
        </w:rPr>
      </w:pPr>
      <w:r>
        <w:rPr>
          <w:rFonts w:hint="eastAsia" w:ascii="宋体" w:hAnsi="宋体" w:cs="宋体"/>
        </w:rPr>
        <w:t>GB/T 27000</w:t>
      </w:r>
      <w:r>
        <w:rPr>
          <w:rFonts w:hint="eastAsia" w:ascii="宋体" w:hAnsi="宋体" w:cs="宋体"/>
        </w:rPr>
        <w:tab/>
      </w:r>
      <w:r>
        <w:rPr>
          <w:rFonts w:hint="eastAsia" w:ascii="宋体" w:hAnsi="宋体" w:cs="宋体"/>
        </w:rPr>
        <w:t>界定的以及下列术语和定义适用于本文件。</w:t>
      </w:r>
    </w:p>
    <w:p w14:paraId="43AD18D2">
      <w:pPr>
        <w:pStyle w:val="43"/>
        <w:spacing w:before="156" w:after="156"/>
        <w:outlineLvl w:val="9"/>
        <w:rPr>
          <w:rFonts w:hint="eastAsia" w:ascii="宋体" w:hAnsi="宋体" w:cs="宋体"/>
        </w:rPr>
      </w:pPr>
    </w:p>
    <w:p w14:paraId="0841D4A3">
      <w:pPr>
        <w:ind w:firstLine="422" w:firstLineChars="200"/>
        <w:rPr>
          <w:rFonts w:hint="eastAsia" w:ascii="宋体" w:hAnsi="宋体" w:cs="宋体"/>
        </w:rPr>
      </w:pPr>
      <w:r>
        <w:rPr>
          <w:rFonts w:hint="eastAsia" w:ascii="宋体" w:hAnsi="宋体" w:cs="宋体"/>
          <w:b/>
          <w:bCs/>
        </w:rPr>
        <w:t>科技成果评价机构</w:t>
      </w:r>
      <w:r>
        <w:rPr>
          <w:rFonts w:hint="eastAsia" w:ascii="宋体" w:hAnsi="宋体" w:cs="宋体"/>
        </w:rPr>
        <w:t>scientific and technological findings evaluation body</w:t>
      </w:r>
    </w:p>
    <w:p w14:paraId="6FF34D7B">
      <w:pPr>
        <w:ind w:firstLine="420" w:firstLineChars="200"/>
        <w:rPr>
          <w:rFonts w:hint="eastAsia" w:ascii="宋体" w:hAnsi="宋体" w:cs="宋体"/>
        </w:rPr>
      </w:pPr>
      <w:r>
        <w:rPr>
          <w:rFonts w:hint="eastAsia" w:ascii="宋体" w:hAnsi="宋体" w:cs="宋体"/>
        </w:rPr>
        <w:t>承担评价任务，形成评价结论，出具评价报告，并承担相应责任的组织机构。</w:t>
      </w:r>
    </w:p>
    <w:p w14:paraId="2948EAA1">
      <w:pPr>
        <w:pStyle w:val="43"/>
        <w:spacing w:before="156" w:after="156"/>
        <w:outlineLvl w:val="9"/>
        <w:rPr>
          <w:rFonts w:hint="eastAsia" w:ascii="宋体" w:hAnsi="宋体" w:cs="宋体"/>
        </w:rPr>
      </w:pPr>
    </w:p>
    <w:p w14:paraId="1EDE34AB">
      <w:pPr>
        <w:ind w:firstLine="422" w:firstLineChars="200"/>
        <w:rPr>
          <w:rFonts w:hint="eastAsia" w:ascii="宋体" w:hAnsi="宋体" w:cs="宋体"/>
        </w:rPr>
      </w:pPr>
      <w:r>
        <w:rPr>
          <w:rFonts w:hint="eastAsia" w:ascii="宋体" w:hAnsi="宋体" w:cs="宋体"/>
          <w:b/>
          <w:bCs/>
        </w:rPr>
        <w:t>评审</w:t>
      </w:r>
      <w:r>
        <w:rPr>
          <w:rFonts w:hint="eastAsia" w:ascii="宋体" w:hAnsi="宋体" w:cs="宋体"/>
        </w:rPr>
        <w:t>assessment</w:t>
      </w:r>
    </w:p>
    <w:p w14:paraId="360D392B">
      <w:pPr>
        <w:ind w:firstLine="420" w:firstLineChars="200"/>
        <w:rPr>
          <w:rFonts w:hint="eastAsia" w:ascii="宋体" w:hAnsi="宋体" w:cs="宋体"/>
        </w:rPr>
      </w:pPr>
      <w:r>
        <w:rPr>
          <w:rFonts w:hint="eastAsia" w:ascii="宋体" w:hAnsi="宋体" w:cs="宋体"/>
        </w:rPr>
        <w:t>基于确定的范围，依据标准和(或)其他规范性文件确定科技成果评价机构能力的过程。</w:t>
      </w:r>
    </w:p>
    <w:p w14:paraId="1CFCA024">
      <w:pPr>
        <w:pStyle w:val="43"/>
        <w:spacing w:before="156" w:after="156"/>
        <w:outlineLvl w:val="9"/>
        <w:rPr>
          <w:rFonts w:hint="eastAsia" w:ascii="宋体" w:hAnsi="宋体" w:cs="宋体"/>
        </w:rPr>
      </w:pPr>
    </w:p>
    <w:p w14:paraId="70CE425B">
      <w:pPr>
        <w:ind w:firstLine="422" w:firstLineChars="200"/>
        <w:rPr>
          <w:rFonts w:hint="eastAsia" w:ascii="宋体" w:hAnsi="宋体" w:cs="宋体"/>
        </w:rPr>
      </w:pPr>
      <w:r>
        <w:rPr>
          <w:rFonts w:hint="eastAsia" w:ascii="宋体" w:hAnsi="宋体" w:cs="宋体"/>
          <w:b/>
          <w:bCs/>
        </w:rPr>
        <w:t>公正性</w:t>
      </w:r>
      <w:r>
        <w:rPr>
          <w:rFonts w:hint="eastAsia" w:ascii="宋体" w:hAnsi="宋体" w:cs="宋体"/>
        </w:rPr>
        <w:t>impartiality</w:t>
      </w:r>
    </w:p>
    <w:p w14:paraId="53513AED">
      <w:pPr>
        <w:ind w:firstLine="420" w:firstLineChars="200"/>
        <w:rPr>
          <w:rFonts w:hint="eastAsia" w:ascii="宋体" w:hAnsi="宋体" w:cs="宋体"/>
        </w:rPr>
      </w:pPr>
      <w:r>
        <w:rPr>
          <w:rFonts w:hint="eastAsia" w:ascii="宋体" w:hAnsi="宋体" w:cs="宋体"/>
        </w:rPr>
        <w:t>客观性的存在。</w:t>
      </w:r>
    </w:p>
    <w:p w14:paraId="3D7584A2">
      <w:pPr>
        <w:pStyle w:val="46"/>
        <w:spacing w:before="312" w:after="312"/>
        <w:outlineLvl w:val="0"/>
        <w:rPr>
          <w:rFonts w:hint="eastAsia"/>
        </w:rPr>
      </w:pPr>
      <w:bookmarkStart w:id="28" w:name="_Toc13542"/>
      <w:r>
        <w:rPr>
          <w:rFonts w:hint="eastAsia"/>
          <w:lang w:val="en-US" w:eastAsia="zh-CN"/>
        </w:rPr>
        <w:t>通用</w:t>
      </w:r>
      <w:r>
        <w:rPr>
          <w:rFonts w:hint="eastAsia"/>
        </w:rPr>
        <w:t>要求</w:t>
      </w:r>
      <w:bookmarkEnd w:id="28"/>
    </w:p>
    <w:p w14:paraId="7AB7D4FC">
      <w:pPr>
        <w:pStyle w:val="43"/>
        <w:spacing w:before="156" w:after="156"/>
        <w:outlineLvl w:val="1"/>
        <w:rPr>
          <w:rFonts w:hint="eastAsia"/>
        </w:rPr>
      </w:pPr>
      <w:bookmarkStart w:id="29" w:name="_Toc31504"/>
      <w:bookmarkStart w:id="30" w:name="_Toc51059393"/>
      <w:bookmarkStart w:id="31" w:name="_Toc45628255"/>
      <w:bookmarkStart w:id="32" w:name="_Toc45633639"/>
      <w:bookmarkStart w:id="33" w:name="_Toc39751686"/>
      <w:bookmarkStart w:id="34" w:name="_Hlk44494585"/>
      <w:r>
        <w:rPr>
          <w:rFonts w:hint="eastAsia"/>
          <w:lang w:val="en-US" w:eastAsia="zh-CN"/>
        </w:rPr>
        <w:t>基本条件</w:t>
      </w:r>
      <w:bookmarkEnd w:id="29"/>
    </w:p>
    <w:p w14:paraId="0A338A6B">
      <w:pPr>
        <w:pStyle w:val="169"/>
        <w:bidi w:val="0"/>
        <w:ind w:left="0" w:leftChars="0" w:firstLine="0" w:firstLineChars="0"/>
        <w:rPr>
          <w:rFonts w:hint="eastAsia"/>
        </w:rPr>
      </w:pPr>
      <w:r>
        <w:rPr>
          <w:rFonts w:hint="eastAsia"/>
        </w:rPr>
        <w:t>评价机构应具备下列条件：</w:t>
      </w:r>
    </w:p>
    <w:p w14:paraId="6E02F991">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宋体" w:hAnsi="宋体" w:cs="宋体"/>
        </w:rPr>
      </w:pPr>
      <w:r>
        <w:rPr>
          <w:rFonts w:hint="eastAsia" w:ascii="宋体" w:hAnsi="宋体" w:cs="宋体"/>
        </w:rPr>
        <w:t>a）具备法人资格（社团、事业、企业法人）；</w:t>
      </w:r>
    </w:p>
    <w:p w14:paraId="4C353EF1">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宋体" w:hAnsi="宋体" w:cs="宋体"/>
        </w:rPr>
      </w:pPr>
      <w:r>
        <w:rPr>
          <w:rFonts w:hint="eastAsia" w:ascii="宋体" w:hAnsi="宋体" w:cs="宋体"/>
        </w:rPr>
        <w:t>b）从事科技成果评价活动3年（含）以上；</w:t>
      </w:r>
    </w:p>
    <w:p w14:paraId="31527F2C">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rPr>
      </w:pPr>
      <w:r>
        <w:rPr>
          <w:rFonts w:hint="eastAsia" w:ascii="宋体" w:hAnsi="宋体" w:cs="宋体"/>
          <w:lang w:val="en-US" w:eastAsia="zh-CN"/>
        </w:rPr>
        <w:t>c）</w:t>
      </w:r>
      <w:r>
        <w:rPr>
          <w:rFonts w:hint="eastAsia"/>
        </w:rPr>
        <w:t>具有相应专业本科学历以上的专职人员不少于5人；</w:t>
      </w:r>
    </w:p>
    <w:p w14:paraId="0141B18C">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d）专职2级评价师1人（含）以上；</w:t>
      </w:r>
    </w:p>
    <w:p w14:paraId="0E63F3CD">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e）具备相应专业领域的技术专家库；</w:t>
      </w:r>
    </w:p>
    <w:p w14:paraId="43960314">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f）按照本文件第4、5、6章要求建立管理制度；</w:t>
      </w:r>
    </w:p>
    <w:p w14:paraId="1A8E3B57">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g）有固定的办公场所和必要的办公条件；</w:t>
      </w:r>
    </w:p>
    <w:p w14:paraId="17AAE532">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h）其他条件。</w:t>
      </w:r>
    </w:p>
    <w:p w14:paraId="09EC7DD1">
      <w:pPr>
        <w:pStyle w:val="169"/>
        <w:bidi w:val="0"/>
        <w:ind w:left="0" w:leftChars="0" w:firstLine="0" w:firstLineChars="0"/>
        <w:rPr>
          <w:rFonts w:hint="eastAsia"/>
        </w:rPr>
      </w:pPr>
      <w:r>
        <w:rPr>
          <w:rFonts w:hint="eastAsia"/>
        </w:rPr>
        <w:t>评价机构应经过第三方评审，确认满足本文件的要求，并按本文件要求实施评价活动、获得评价结果并出具评价报告。</w:t>
      </w:r>
    </w:p>
    <w:p w14:paraId="3D8B1512">
      <w:pPr>
        <w:pStyle w:val="43"/>
        <w:spacing w:before="156" w:after="156"/>
        <w:outlineLvl w:val="1"/>
        <w:rPr>
          <w:rFonts w:hint="eastAsia"/>
          <w:lang w:val="en-US" w:eastAsia="zh-CN"/>
        </w:rPr>
      </w:pPr>
      <w:bookmarkStart w:id="35" w:name="_Toc5240"/>
      <w:r>
        <w:rPr>
          <w:rFonts w:hint="eastAsia"/>
          <w:lang w:val="en-US" w:eastAsia="zh-CN"/>
        </w:rPr>
        <w:t>机构职责</w:t>
      </w:r>
      <w:bookmarkEnd w:id="35"/>
    </w:p>
    <w:p w14:paraId="788B80EC">
      <w:pPr>
        <w:pStyle w:val="169"/>
        <w:bidi w:val="0"/>
        <w:ind w:left="0" w:leftChars="0" w:firstLine="0" w:firstLineChars="0"/>
        <w:rPr>
          <w:rFonts w:hint="eastAsia"/>
        </w:rPr>
      </w:pPr>
      <w:r>
        <w:rPr>
          <w:rFonts w:hint="eastAsia"/>
        </w:rPr>
        <w:t>存在下列情况之一时，评价机构可以拒绝接受评价委托：</w:t>
      </w:r>
    </w:p>
    <w:p w14:paraId="255596FF">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a）科技成果违反国家法律、法规规定或违背社会公德，对社会公共利益或者环境和资源可能造成危害的；</w:t>
      </w:r>
    </w:p>
    <w:p w14:paraId="7B2AA601">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b）科技成果根据国家法律、法规规定必须经过法定的专门机构审查确认，而尚未经依法审查确认的；</w:t>
      </w:r>
    </w:p>
    <w:p w14:paraId="0F92AE64">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c）科技成果涉及国家秘密的；</w:t>
      </w:r>
    </w:p>
    <w:p w14:paraId="51A026B3">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d）科技成果存在知识产权权属争议，且尚未解决的；</w:t>
      </w:r>
    </w:p>
    <w:p w14:paraId="492EA6C6">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e）评价委托方、科技成果完成者提供虚假情况或不能提供评价所需材料的；</w:t>
      </w:r>
    </w:p>
    <w:p w14:paraId="707C23FB">
      <w:pPr>
        <w:keepNext w:val="0"/>
        <w:keepLines w:val="0"/>
        <w:pageBreakBefore w:val="0"/>
        <w:widowControl w:val="0"/>
        <w:kinsoku/>
        <w:wordWrap/>
        <w:overflowPunct/>
        <w:topLinePunct w:val="0"/>
        <w:autoSpaceDE/>
        <w:autoSpaceDN/>
        <w:bidi w:val="0"/>
        <w:adjustRightInd/>
        <w:snapToGrid/>
        <w:ind w:left="735" w:leftChars="200" w:hanging="315" w:hangingChars="15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f）评价要求主要为非技术内容的。</w:t>
      </w:r>
    </w:p>
    <w:p w14:paraId="48A527FD">
      <w:pPr>
        <w:pStyle w:val="169"/>
        <w:bidi w:val="0"/>
        <w:ind w:left="0" w:leftChars="0" w:firstLine="0" w:firstLineChars="0"/>
        <w:rPr>
          <w:rFonts w:hint="eastAsia"/>
        </w:rPr>
      </w:pPr>
      <w:r>
        <w:rPr>
          <w:rFonts w:hint="eastAsia"/>
        </w:rPr>
        <w:t>审查评价材料的充分性，评价机构有权要求评价委托方补充评价材料。</w:t>
      </w:r>
    </w:p>
    <w:p w14:paraId="2BA0D9F2">
      <w:pPr>
        <w:pStyle w:val="169"/>
        <w:bidi w:val="0"/>
        <w:ind w:left="0" w:leftChars="0" w:firstLine="0" w:firstLineChars="0"/>
        <w:rPr>
          <w:rFonts w:hint="eastAsia"/>
        </w:rPr>
      </w:pPr>
      <w:r>
        <w:rPr>
          <w:rFonts w:hint="eastAsia"/>
        </w:rPr>
        <w:t>评价机构应在具备评价能力的专业领域范围内从事科技成果评价活动。</w:t>
      </w:r>
    </w:p>
    <w:p w14:paraId="4A0531DE">
      <w:pPr>
        <w:pStyle w:val="169"/>
        <w:bidi w:val="0"/>
        <w:ind w:left="0" w:leftChars="0" w:firstLine="0" w:firstLineChars="0"/>
        <w:rPr>
          <w:rFonts w:hint="eastAsia"/>
        </w:rPr>
      </w:pPr>
      <w:r>
        <w:rPr>
          <w:rFonts w:hint="eastAsia"/>
        </w:rPr>
        <w:t>评价机构受托和承担涉及国家秘密的成果评价，应依法取得有关涉密资质外。</w:t>
      </w:r>
    </w:p>
    <w:p w14:paraId="2C896E41">
      <w:pPr>
        <w:pStyle w:val="169"/>
        <w:bidi w:val="0"/>
        <w:ind w:left="0" w:leftChars="0" w:firstLine="0" w:firstLineChars="0"/>
        <w:rPr>
          <w:rFonts w:hint="eastAsia"/>
        </w:rPr>
      </w:pPr>
      <w:r>
        <w:rPr>
          <w:rFonts w:hint="eastAsia"/>
        </w:rPr>
        <w:t>评价机构应当根据需要评价的技术内容和要求与评价委托方协商，依法订立合同，并按照评价合同约定的时间和方式向评价委托方交付科技成果评价报告。</w:t>
      </w:r>
    </w:p>
    <w:p w14:paraId="1670D7A1">
      <w:pPr>
        <w:pStyle w:val="169"/>
        <w:bidi w:val="0"/>
        <w:ind w:left="0" w:leftChars="0" w:firstLine="0" w:firstLineChars="0"/>
        <w:rPr>
          <w:rFonts w:hint="eastAsia"/>
        </w:rPr>
      </w:pPr>
      <w:r>
        <w:rPr>
          <w:rFonts w:hint="eastAsia"/>
        </w:rPr>
        <w:t>评价机构应当自主完成评价工作，对本机构不能承担的评价工作，可向委托方推荐其他专业评价机构。</w:t>
      </w:r>
    </w:p>
    <w:p w14:paraId="1C17A865">
      <w:pPr>
        <w:pStyle w:val="169"/>
        <w:bidi w:val="0"/>
        <w:ind w:left="0" w:leftChars="0" w:firstLine="0" w:firstLineChars="0"/>
        <w:rPr>
          <w:rFonts w:hint="eastAsia"/>
        </w:rPr>
      </w:pPr>
      <w:r>
        <w:rPr>
          <w:rFonts w:hint="eastAsia"/>
        </w:rPr>
        <w:t>评价机构应当保证评审专家的独立性，不得向评审专家施加倾向性影响。</w:t>
      </w:r>
    </w:p>
    <w:p w14:paraId="21F193DC">
      <w:pPr>
        <w:pStyle w:val="169"/>
        <w:bidi w:val="0"/>
        <w:ind w:left="0" w:leftChars="0" w:firstLine="0" w:firstLineChars="0"/>
        <w:rPr>
          <w:rFonts w:hint="eastAsia"/>
        </w:rPr>
      </w:pPr>
      <w:r>
        <w:rPr>
          <w:rFonts w:hint="eastAsia"/>
        </w:rPr>
        <w:t>评价机构在形成评价结果的过程中不能使用、依赖没有充分依据支持的结论和判断。</w:t>
      </w:r>
    </w:p>
    <w:p w14:paraId="7E5B9230">
      <w:pPr>
        <w:pStyle w:val="169"/>
        <w:bidi w:val="0"/>
        <w:ind w:left="0" w:leftChars="0" w:firstLine="0" w:firstLineChars="0"/>
        <w:rPr>
          <w:rFonts w:hint="eastAsia"/>
        </w:rPr>
      </w:pPr>
      <w:r>
        <w:rPr>
          <w:rFonts w:hint="eastAsia"/>
        </w:rPr>
        <w:t>评价机构对其依据委托方提供的技术资料所做出的评价结果负责。</w:t>
      </w:r>
    </w:p>
    <w:p w14:paraId="47371876">
      <w:pPr>
        <w:pStyle w:val="169"/>
        <w:bidi w:val="0"/>
        <w:ind w:left="0" w:leftChars="0" w:firstLine="0" w:firstLineChars="0"/>
        <w:rPr>
          <w:rFonts w:hint="eastAsia"/>
        </w:rPr>
      </w:pPr>
      <w:r>
        <w:rPr>
          <w:rFonts w:hint="eastAsia"/>
        </w:rPr>
        <w:t>评价机构及其工作人员，应当严格遵守科学道德和职业道德规范，保证科技成果评价的严肃性和科学性。未经委托方和成果完成者同意，擅自披露、使用或者向他人提供和转让被评价科技成果的关键技术的，依法追究其法律责任。</w:t>
      </w:r>
    </w:p>
    <w:p w14:paraId="0E5E5CB7">
      <w:pPr>
        <w:pStyle w:val="169"/>
        <w:bidi w:val="0"/>
        <w:ind w:left="0" w:leftChars="0" w:firstLine="0" w:firstLineChars="0"/>
        <w:rPr>
          <w:rFonts w:hint="eastAsia"/>
        </w:rPr>
      </w:pPr>
      <w:r>
        <w:rPr>
          <w:rFonts w:hint="eastAsia"/>
        </w:rPr>
        <w:t>评价机构应制定评价工作程序，满足本文件的要求。</w:t>
      </w:r>
    </w:p>
    <w:p w14:paraId="63B2DA48">
      <w:pPr>
        <w:pStyle w:val="43"/>
        <w:spacing w:before="156" w:after="156"/>
        <w:outlineLvl w:val="1"/>
        <w:rPr>
          <w:rFonts w:hint="eastAsia"/>
          <w:lang w:val="en-US" w:eastAsia="zh-CN"/>
        </w:rPr>
      </w:pPr>
      <w:bookmarkStart w:id="36" w:name="_Toc7993"/>
      <w:r>
        <w:rPr>
          <w:rFonts w:hint="eastAsia"/>
          <w:lang w:val="en-US" w:eastAsia="zh-CN"/>
        </w:rPr>
        <w:t>公正性</w:t>
      </w:r>
      <w:bookmarkEnd w:id="36"/>
    </w:p>
    <w:p w14:paraId="48CE646D">
      <w:pPr>
        <w:pStyle w:val="169"/>
        <w:bidi w:val="0"/>
        <w:ind w:left="0" w:leftChars="0" w:firstLine="0" w:firstLineChars="0"/>
        <w:rPr>
          <w:rFonts w:hint="eastAsia"/>
        </w:rPr>
      </w:pPr>
      <w:r>
        <w:rPr>
          <w:rFonts w:hint="eastAsia"/>
        </w:rPr>
        <w:t>评价机构应公正地实施评价活动。</w:t>
      </w:r>
    </w:p>
    <w:p w14:paraId="7B6FED9D">
      <w:pPr>
        <w:pStyle w:val="169"/>
        <w:bidi w:val="0"/>
        <w:ind w:left="0" w:leftChars="0" w:firstLine="0" w:firstLineChars="0"/>
        <w:rPr>
          <w:rFonts w:hint="eastAsia"/>
        </w:rPr>
      </w:pPr>
      <w:r>
        <w:rPr>
          <w:rFonts w:hint="eastAsia"/>
        </w:rPr>
        <w:t>评价机构应对其评价活动的公正性负责，且不应允许来自商业、财务或其他方面的压力影响其公正性。如果评价机构是更大实体的一部分，评价机构的组织结构应确保评价公正。</w:t>
      </w:r>
    </w:p>
    <w:p w14:paraId="188820FA">
      <w:pPr>
        <w:pStyle w:val="169"/>
        <w:bidi w:val="0"/>
        <w:ind w:left="0" w:leftChars="0" w:firstLine="0" w:firstLineChars="0"/>
        <w:rPr>
          <w:rFonts w:hint="eastAsia"/>
        </w:rPr>
      </w:pPr>
      <w:r>
        <w:rPr>
          <w:rFonts w:hint="eastAsia"/>
        </w:rPr>
        <w:t>评价机构最高管理层应对公正性做出承诺，评价机构应公开其公正性政策，并将其形成文件，包括公正性对开展评价活动的重要性、利益冲突管理及确保评价活动的客观性。</w:t>
      </w:r>
    </w:p>
    <w:p w14:paraId="3FF6134A">
      <w:pPr>
        <w:pStyle w:val="169"/>
        <w:bidi w:val="0"/>
        <w:ind w:left="0" w:leftChars="0" w:firstLine="0" w:firstLineChars="0"/>
        <w:rPr>
          <w:rFonts w:hint="eastAsia"/>
        </w:rPr>
      </w:pPr>
      <w:r>
        <w:rPr>
          <w:rFonts w:hint="eastAsia"/>
        </w:rPr>
        <w:t>所有可能影响评价过程的评价机构人员应客观地履行职责，且不应受到任何可能损害公正性的不正当的商业、财务和其他压力。评价机构应要求所有人员及时告知任何潜在的利益冲突。</w:t>
      </w:r>
    </w:p>
    <w:p w14:paraId="6B0FD402">
      <w:pPr>
        <w:pStyle w:val="169"/>
        <w:bidi w:val="0"/>
        <w:ind w:left="0" w:leftChars="0" w:firstLine="0" w:firstLineChars="0"/>
        <w:rPr>
          <w:rFonts w:hint="eastAsia"/>
        </w:rPr>
      </w:pPr>
      <w:r>
        <w:rPr>
          <w:rFonts w:hint="eastAsia"/>
        </w:rPr>
        <w:t>为维护公正性，评价机构应建立并实施形成文件的程序，为相关方的有效参与提供机会。评价机构应确保相关方的代表均衡，任何一方不处于支配地位。</w:t>
      </w:r>
    </w:p>
    <w:p w14:paraId="267339D7">
      <w:pPr>
        <w:pStyle w:val="169"/>
        <w:bidi w:val="0"/>
        <w:ind w:left="0" w:leftChars="0" w:firstLine="0" w:firstLineChars="0"/>
        <w:rPr>
          <w:rFonts w:hint="eastAsia"/>
        </w:rPr>
      </w:pPr>
      <w:r>
        <w:rPr>
          <w:rFonts w:hint="eastAsia"/>
        </w:rPr>
        <w:t>评价机构应有过程持续地识别、分析、评价、处理、监视和记录其活动引发的对公正性的风险。公正性的风险包括评价机构及其人员的各种关系所引发的利益冲突。</w:t>
      </w:r>
    </w:p>
    <w:p w14:paraId="0F5B622B">
      <w:pPr>
        <w:pStyle w:val="169"/>
        <w:bidi w:val="0"/>
        <w:ind w:left="0" w:leftChars="0" w:firstLine="0" w:firstLineChars="0"/>
        <w:rPr>
          <w:rFonts w:hint="eastAsia"/>
        </w:rPr>
      </w:pPr>
      <w:r>
        <w:rPr>
          <w:rFonts w:hint="eastAsia"/>
        </w:rPr>
        <w:t>评价机构的政策、过程和程序应是非歧视的，并应以非歧视的方式实施。在评价机构的活动范围内，评价机构的服务应向所有申请人/委托方开放。</w:t>
      </w:r>
    </w:p>
    <w:p w14:paraId="399FAD40">
      <w:pPr>
        <w:pStyle w:val="43"/>
        <w:spacing w:before="156" w:after="156"/>
        <w:outlineLvl w:val="1"/>
        <w:rPr>
          <w:rFonts w:hint="eastAsia"/>
          <w:lang w:val="en-US" w:eastAsia="zh-CN"/>
        </w:rPr>
      </w:pPr>
      <w:bookmarkStart w:id="37" w:name="_Toc27124"/>
      <w:r>
        <w:rPr>
          <w:rFonts w:hint="eastAsia"/>
          <w:lang w:val="en-US" w:eastAsia="zh-CN"/>
        </w:rPr>
        <w:t>信息保密</w:t>
      </w:r>
      <w:bookmarkEnd w:id="37"/>
    </w:p>
    <w:p w14:paraId="13741F2B">
      <w:pPr>
        <w:pStyle w:val="169"/>
        <w:bidi w:val="0"/>
        <w:ind w:left="0" w:leftChars="0" w:firstLine="0" w:firstLineChars="0"/>
        <w:rPr>
          <w:rFonts w:hint="eastAsia"/>
        </w:rPr>
      </w:pPr>
      <w:r>
        <w:rPr>
          <w:rFonts w:hint="eastAsia"/>
        </w:rPr>
        <w:t>评价机构应通过具有法律效力的协议对评价过程中获得或生成的所有信息承担管理责任。可机构应将其对公众公开的信息提前告知申请人。评价过程中获得的所有信息应视为专有信息予以保密，除非该信息是成果委托方和完成者的公开信息或评价机构与其达成一致不需保密的信息（如：对投诉做出的回应）。</w:t>
      </w:r>
    </w:p>
    <w:p w14:paraId="020C89E9">
      <w:pPr>
        <w:pStyle w:val="169"/>
        <w:bidi w:val="0"/>
        <w:ind w:left="0" w:leftChars="0" w:firstLine="0" w:firstLineChars="0"/>
        <w:rPr>
          <w:rFonts w:hint="eastAsia"/>
        </w:rPr>
      </w:pPr>
      <w:r>
        <w:rPr>
          <w:rFonts w:hint="eastAsia"/>
        </w:rPr>
        <w:t>当法律要求评价机构或者合同安排授权评价机构提供保密信息时，除法律禁止外，评价机构应将提供的信息提前通知相关委托方和完成者。</w:t>
      </w:r>
    </w:p>
    <w:p w14:paraId="6E7C058E">
      <w:pPr>
        <w:pStyle w:val="169"/>
        <w:bidi w:val="0"/>
        <w:ind w:left="0" w:leftChars="0" w:firstLine="0" w:firstLineChars="0"/>
        <w:rPr>
          <w:rFonts w:hint="eastAsia"/>
        </w:rPr>
      </w:pPr>
      <w:r>
        <w:rPr>
          <w:rFonts w:hint="eastAsia"/>
        </w:rPr>
        <w:t>从委托方、完成者以外的其他来源（如投诉，监管机构）获得的有关信息应在委托方、完成者和评价机构间保密。评价机构应对信息来源保密，未经信息提供者同意，不应与委托方和完成者分享。</w:t>
      </w:r>
    </w:p>
    <w:p w14:paraId="1BCDB4CD">
      <w:pPr>
        <w:pStyle w:val="169"/>
        <w:bidi w:val="0"/>
        <w:ind w:left="0" w:leftChars="0" w:firstLine="0" w:firstLineChars="0"/>
        <w:rPr>
          <w:rFonts w:hint="eastAsia"/>
        </w:rPr>
      </w:pPr>
      <w:r>
        <w:rPr>
          <w:rFonts w:hint="eastAsia"/>
        </w:rPr>
        <w:t>评价机构人员，包括代表评价机构工作的人员、合同方、外部机构人员或个人，除法律有要求外，应对在从事评价机构活动时获得或产生的所有信息予以保密。</w:t>
      </w:r>
    </w:p>
    <w:p w14:paraId="5FAD4503">
      <w:pPr>
        <w:pStyle w:val="43"/>
        <w:spacing w:before="156" w:after="156"/>
        <w:outlineLvl w:val="1"/>
        <w:rPr>
          <w:rFonts w:hint="eastAsia"/>
          <w:lang w:val="en-US" w:eastAsia="zh-CN"/>
        </w:rPr>
      </w:pPr>
      <w:bookmarkStart w:id="38" w:name="_Toc14585"/>
      <w:r>
        <w:rPr>
          <w:rFonts w:hint="eastAsia"/>
          <w:lang w:val="en-US" w:eastAsia="zh-CN"/>
        </w:rPr>
        <w:t>信息公开</w:t>
      </w:r>
      <w:bookmarkEnd w:id="38"/>
    </w:p>
    <w:p w14:paraId="52526F09">
      <w:pPr>
        <w:pStyle w:val="169"/>
        <w:bidi w:val="0"/>
        <w:ind w:left="0" w:leftChars="0" w:firstLine="0" w:firstLineChars="0"/>
        <w:rPr>
          <w:rFonts w:hint="eastAsia"/>
        </w:rPr>
      </w:pPr>
      <w:r>
        <w:rPr>
          <w:rFonts w:hint="eastAsia"/>
        </w:rPr>
        <w:t>评价机构通过出版物、电子媒介或其他方式无条件公开，并按适当的时间间隔更新下列信息：</w:t>
      </w:r>
    </w:p>
    <w:p w14:paraId="08B7CA11">
      <w:pPr>
        <w:pStyle w:val="160"/>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rPr>
      </w:pPr>
      <w:r>
        <w:rPr>
          <w:rFonts w:hint="eastAsia"/>
        </w:rPr>
        <w:t>a）评价机构的信息</w:t>
      </w:r>
    </w:p>
    <w:p w14:paraId="7F806749">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1）评价机构组织机构基本信息；</w:t>
      </w:r>
    </w:p>
    <w:p w14:paraId="332EA566">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2）评价机构权利和义务的说明；</w:t>
      </w:r>
    </w:p>
    <w:p w14:paraId="467E805D">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3）评价机构获得认可的信息。</w:t>
      </w:r>
    </w:p>
    <w:p w14:paraId="2311F30F">
      <w:pPr>
        <w:pStyle w:val="160"/>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rPr>
      </w:pPr>
      <w:r>
        <w:rPr>
          <w:rFonts w:hint="eastAsia"/>
        </w:rPr>
        <w:t>b）评价过程的信息</w:t>
      </w:r>
    </w:p>
    <w:p w14:paraId="760530E8">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1）关于评价流程、范围；</w:t>
      </w:r>
    </w:p>
    <w:p w14:paraId="2B82907F">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2）评价要求；</w:t>
      </w:r>
    </w:p>
    <w:p w14:paraId="0EE41824">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3）评价费用的基本信息；</w:t>
      </w:r>
    </w:p>
    <w:p w14:paraId="14318E70">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4）委托方权利和义务的说明；</w:t>
      </w:r>
    </w:p>
    <w:p w14:paraId="240D85FB">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5）投诉和申诉的提出、处理程序的信息；</w:t>
      </w:r>
    </w:p>
    <w:p w14:paraId="5CC41B06">
      <w:pPr>
        <w:pStyle w:val="160"/>
        <w:keepNext w:val="0"/>
        <w:keepLines w:val="0"/>
        <w:pageBreakBefore w:val="0"/>
        <w:widowControl/>
        <w:kinsoku/>
        <w:wordWrap/>
        <w:overflowPunct/>
        <w:topLinePunct w:val="0"/>
        <w:autoSpaceDE w:val="0"/>
        <w:autoSpaceDN w:val="0"/>
        <w:bidi w:val="0"/>
        <w:adjustRightInd/>
        <w:snapToGrid/>
        <w:ind w:left="1155" w:leftChars="400" w:hanging="315" w:hangingChars="150"/>
        <w:textAlignment w:val="auto"/>
        <w:rPr>
          <w:rFonts w:hint="eastAsia"/>
        </w:rPr>
      </w:pPr>
      <w:r>
        <w:rPr>
          <w:rFonts w:hint="eastAsia"/>
        </w:rPr>
        <w:t>6）评价标识使用或其他声明信息。</w:t>
      </w:r>
    </w:p>
    <w:p w14:paraId="640D1568">
      <w:pPr>
        <w:pStyle w:val="169"/>
        <w:bidi w:val="0"/>
        <w:ind w:left="0" w:leftChars="0" w:firstLine="0" w:firstLineChars="0"/>
        <w:rPr>
          <w:rFonts w:hint="eastAsia"/>
        </w:rPr>
      </w:pPr>
      <w:r>
        <w:rPr>
          <w:rFonts w:hint="eastAsia"/>
        </w:rPr>
        <w:t>评价机构应及时通知评价流程、要求的变更。</w:t>
      </w:r>
    </w:p>
    <w:p w14:paraId="3EB40357">
      <w:pPr>
        <w:pStyle w:val="43"/>
        <w:spacing w:before="156" w:after="156"/>
        <w:outlineLvl w:val="1"/>
        <w:rPr>
          <w:rFonts w:hint="eastAsia"/>
          <w:lang w:val="en-US" w:eastAsia="zh-CN"/>
        </w:rPr>
      </w:pPr>
      <w:bookmarkStart w:id="39" w:name="_Toc11707"/>
      <w:r>
        <w:rPr>
          <w:rFonts w:hint="eastAsia"/>
          <w:lang w:val="en-US" w:eastAsia="zh-CN"/>
        </w:rPr>
        <w:t>领域范围</w:t>
      </w:r>
      <w:bookmarkEnd w:id="39"/>
    </w:p>
    <w:p w14:paraId="419BFEE4">
      <w:pPr>
        <w:pStyle w:val="169"/>
        <w:bidi w:val="0"/>
        <w:ind w:left="0" w:leftChars="0" w:firstLine="0" w:firstLineChars="0"/>
        <w:rPr>
          <w:rFonts w:hint="eastAsia"/>
        </w:rPr>
      </w:pPr>
      <w:r>
        <w:rPr>
          <w:rFonts w:hint="eastAsia"/>
          <w:color w:val="0000FF"/>
        </w:rPr>
        <w:t>参考国家科技、工业/产业</w:t>
      </w:r>
      <w:r>
        <w:rPr>
          <w:rFonts w:hint="eastAsia"/>
          <w:color w:val="0000FF"/>
          <w:lang w:eastAsia="zh-CN"/>
        </w:rPr>
        <w:t>、</w:t>
      </w:r>
      <w:r>
        <w:rPr>
          <w:rFonts w:hint="eastAsia"/>
          <w:color w:val="0000FF"/>
          <w:lang w:val="en-US" w:eastAsia="zh-CN"/>
        </w:rPr>
        <w:t>区域</w:t>
      </w:r>
      <w:r>
        <w:rPr>
          <w:rFonts w:hint="eastAsia"/>
          <w:color w:val="0000FF"/>
        </w:rPr>
        <w:t>发展规划</w:t>
      </w:r>
      <w:r>
        <w:rPr>
          <w:rFonts w:hint="eastAsia"/>
          <w:color w:val="auto"/>
        </w:rPr>
        <w:t>，国家重点支持的高新技术领域，编制了科技成果评价领域分类（见附录A），</w:t>
      </w:r>
      <w:r>
        <w:rPr>
          <w:rFonts w:hint="eastAsia"/>
          <w:color w:val="0000FF"/>
        </w:rPr>
        <w:t>结合行业、产业</w:t>
      </w:r>
      <w:r>
        <w:rPr>
          <w:rFonts w:hint="eastAsia"/>
          <w:color w:val="0000FF"/>
          <w:lang w:eastAsia="zh-CN"/>
        </w:rPr>
        <w:t>、</w:t>
      </w:r>
      <w:r>
        <w:rPr>
          <w:rFonts w:hint="eastAsia"/>
          <w:color w:val="0000FF"/>
          <w:lang w:val="en-US" w:eastAsia="zh-CN"/>
        </w:rPr>
        <w:t>区域</w:t>
      </w:r>
      <w:r>
        <w:rPr>
          <w:rFonts w:hint="eastAsia"/>
          <w:color w:val="0000FF"/>
        </w:rPr>
        <w:t>具体情况使用</w:t>
      </w:r>
      <w:r>
        <w:rPr>
          <w:rFonts w:hint="eastAsia"/>
        </w:rPr>
        <w:t>。</w:t>
      </w:r>
    </w:p>
    <w:p w14:paraId="58876738">
      <w:pPr>
        <w:pStyle w:val="169"/>
        <w:bidi w:val="0"/>
        <w:ind w:left="0" w:leftChars="0" w:firstLine="0" w:firstLineChars="0"/>
        <w:rPr>
          <w:rFonts w:hint="eastAsia"/>
        </w:rPr>
      </w:pPr>
      <w:r>
        <w:rPr>
          <w:rFonts w:hint="eastAsia"/>
        </w:rPr>
        <w:t>评价机构应建立评价专家库，根据机构的规模、能力、评价专家专业领域和覆盖范围（如具有足够的专家人数），确定科技成果评价的领域范围。</w:t>
      </w:r>
    </w:p>
    <w:p w14:paraId="0C69B2A1">
      <w:pPr>
        <w:pStyle w:val="169"/>
        <w:bidi w:val="0"/>
        <w:ind w:left="0" w:leftChars="0" w:firstLine="0" w:firstLineChars="0"/>
        <w:rPr>
          <w:rFonts w:hint="eastAsia"/>
        </w:rPr>
      </w:pPr>
      <w:r>
        <w:rPr>
          <w:rFonts w:hint="eastAsia"/>
        </w:rPr>
        <w:t>评价机构应在科技成果评价前，应根据评价方案和客观性要求，确定成果专业领域范围，以及领域内外评价专家比例。</w:t>
      </w:r>
    </w:p>
    <w:bookmarkEnd w:id="30"/>
    <w:bookmarkEnd w:id="31"/>
    <w:bookmarkEnd w:id="32"/>
    <w:bookmarkEnd w:id="33"/>
    <w:p w14:paraId="64292FE4">
      <w:pPr>
        <w:pStyle w:val="46"/>
        <w:spacing w:before="312" w:after="312"/>
        <w:outlineLvl w:val="0"/>
        <w:rPr>
          <w:rFonts w:hint="eastAsia"/>
          <w:lang w:val="en-US" w:eastAsia="zh-CN"/>
        </w:rPr>
      </w:pPr>
      <w:bookmarkStart w:id="40" w:name="_Toc7092"/>
      <w:bookmarkStart w:id="41" w:name="_Toc16013328"/>
      <w:bookmarkStart w:id="42" w:name="_Toc498689855"/>
      <w:bookmarkStart w:id="43" w:name="_Toc530129996"/>
      <w:bookmarkStart w:id="44" w:name="_Toc710144"/>
      <w:bookmarkStart w:id="45" w:name="_Toc17066364"/>
      <w:bookmarkStart w:id="46" w:name="_Toc528694331"/>
      <w:bookmarkStart w:id="47" w:name="_Toc18066402"/>
      <w:bookmarkStart w:id="48" w:name="_Toc523086202"/>
      <w:bookmarkStart w:id="49" w:name="_Toc15245691"/>
      <w:bookmarkStart w:id="50" w:name="_Toc529364734"/>
      <w:bookmarkStart w:id="51" w:name="_Toc498701974"/>
      <w:bookmarkStart w:id="52" w:name="_Toc498702080"/>
      <w:bookmarkStart w:id="53" w:name="_Toc498700213"/>
      <w:bookmarkStart w:id="54" w:name="_Toc518028251"/>
      <w:bookmarkStart w:id="55" w:name="_Toc524204479"/>
      <w:bookmarkStart w:id="56" w:name="_Toc15283339"/>
      <w:bookmarkStart w:id="57" w:name="_Toc498702375"/>
      <w:bookmarkStart w:id="58" w:name="_Toc527888928"/>
      <w:bookmarkStart w:id="59" w:name="_Toc498690126"/>
      <w:bookmarkStart w:id="60" w:name="_Toc523086034"/>
      <w:bookmarkStart w:id="61" w:name="_Toc518478189"/>
      <w:bookmarkStart w:id="62" w:name="_Toc518028143"/>
      <w:bookmarkStart w:id="63" w:name="_Toc524096045"/>
      <w:bookmarkStart w:id="64" w:name="_Toc517377900"/>
      <w:bookmarkStart w:id="65" w:name="_Toc17881734"/>
      <w:bookmarkStart w:id="66" w:name="_Toc498701628"/>
      <w:bookmarkStart w:id="67" w:name="_Toc518028527"/>
      <w:bookmarkStart w:id="68" w:name="_Toc501892299"/>
      <w:bookmarkStart w:id="69" w:name="_Toc17066470"/>
      <w:bookmarkStart w:id="70" w:name="_Toc509092243"/>
      <w:bookmarkStart w:id="71" w:name="_Toc502609594"/>
      <w:bookmarkStart w:id="72" w:name="_Toc498702672"/>
      <w:bookmarkStart w:id="73" w:name="_Toc504336664"/>
      <w:bookmarkStart w:id="74" w:name="_Toc15823926"/>
      <w:bookmarkStart w:id="75" w:name="_Toc501891588"/>
      <w:bookmarkStart w:id="76" w:name="_Toc15245769"/>
      <w:bookmarkStart w:id="77" w:name="_Toc10815159"/>
      <w:bookmarkStart w:id="78" w:name="_Toc501891449"/>
      <w:bookmarkStart w:id="79" w:name="_Toc17066039"/>
      <w:bookmarkStart w:id="80" w:name="_Toc517377499"/>
      <w:bookmarkStart w:id="81" w:name="_Toc498711863"/>
      <w:bookmarkStart w:id="82" w:name="_Toc528146891"/>
      <w:bookmarkStart w:id="83" w:name="_Toc16432758"/>
      <w:bookmarkStart w:id="84" w:name="_Toc15288269"/>
      <w:bookmarkStart w:id="85" w:name="_Toc523086296"/>
      <w:bookmarkStart w:id="86" w:name="_Toc524204642"/>
      <w:bookmarkStart w:id="87" w:name="_Toc18067236"/>
      <w:bookmarkStart w:id="88" w:name="_Toc504935878"/>
      <w:bookmarkStart w:id="89" w:name="_Toc501405910"/>
      <w:bookmarkStart w:id="90" w:name="_Toc17065835"/>
      <w:bookmarkStart w:id="91" w:name="_Toc15286957"/>
      <w:r>
        <w:rPr>
          <w:rFonts w:hint="eastAsia"/>
          <w:lang w:val="en-US" w:eastAsia="zh-CN"/>
        </w:rPr>
        <w:t>人员</w:t>
      </w:r>
      <w:bookmarkEnd w:id="40"/>
    </w:p>
    <w:p w14:paraId="0B5114B0">
      <w:pPr>
        <w:pStyle w:val="43"/>
        <w:spacing w:before="156" w:after="156"/>
        <w:outlineLvl w:val="1"/>
        <w:rPr>
          <w:rFonts w:hint="eastAsia"/>
          <w:lang w:val="en-US" w:eastAsia="zh-CN"/>
        </w:rPr>
      </w:pPr>
      <w:bookmarkStart w:id="92" w:name="_Toc22527"/>
      <w:r>
        <w:rPr>
          <w:rFonts w:hint="eastAsia"/>
          <w:lang w:val="en-US" w:eastAsia="zh-CN"/>
        </w:rPr>
        <w:t>通用要求</w:t>
      </w:r>
      <w:bookmarkEnd w:id="92"/>
    </w:p>
    <w:p w14:paraId="72D58874">
      <w:pPr>
        <w:pStyle w:val="169"/>
        <w:bidi w:val="0"/>
        <w:ind w:left="0" w:leftChars="0" w:firstLine="0" w:firstLineChars="0"/>
        <w:rPr>
          <w:rFonts w:hint="eastAsia" w:ascii="宋体"/>
          <w:kern w:val="0"/>
          <w:szCs w:val="20"/>
        </w:rPr>
      </w:pPr>
      <w:r>
        <w:rPr>
          <w:rFonts w:hint="eastAsia"/>
          <w:color w:val="C00000"/>
          <w:kern w:val="0"/>
          <w:szCs w:val="20"/>
          <w:lang w:val="en-US" w:eastAsia="zh-CN"/>
        </w:rPr>
        <w:t>对</w:t>
      </w:r>
      <w:r>
        <w:rPr>
          <w:rFonts w:hint="eastAsia"/>
          <w:color w:val="C00000"/>
          <w:lang w:val="en-US" w:eastAsia="zh-CN"/>
        </w:rPr>
        <w:t>评价</w:t>
      </w:r>
      <w:r>
        <w:rPr>
          <w:rFonts w:hint="eastAsia" w:ascii="宋体"/>
          <w:color w:val="C00000"/>
          <w:kern w:val="0"/>
          <w:szCs w:val="20"/>
        </w:rPr>
        <w:t>活动</w:t>
      </w:r>
      <w:r>
        <w:rPr>
          <w:rFonts w:hint="eastAsia"/>
          <w:color w:val="C00000"/>
          <w:kern w:val="0"/>
          <w:szCs w:val="20"/>
          <w:lang w:val="en-US" w:eastAsia="zh-CN"/>
        </w:rPr>
        <w:t>有影响</w:t>
      </w:r>
      <w:r>
        <w:rPr>
          <w:rFonts w:hint="eastAsia" w:ascii="宋体"/>
          <w:color w:val="C00000"/>
          <w:kern w:val="0"/>
          <w:szCs w:val="20"/>
        </w:rPr>
        <w:t>的人员</w:t>
      </w:r>
      <w:r>
        <w:rPr>
          <w:rFonts w:hint="eastAsia"/>
          <w:color w:val="C00000"/>
          <w:kern w:val="0"/>
          <w:szCs w:val="20"/>
          <w:lang w:eastAsia="zh-CN"/>
        </w:rPr>
        <w:t>（</w:t>
      </w:r>
      <w:r>
        <w:rPr>
          <w:rFonts w:hint="eastAsia"/>
          <w:color w:val="C00000"/>
          <w:kern w:val="0"/>
          <w:szCs w:val="20"/>
          <w:lang w:val="en-US" w:eastAsia="zh-CN"/>
        </w:rPr>
        <w:t>包括管理人员</w:t>
      </w:r>
      <w:r>
        <w:rPr>
          <w:rFonts w:hint="eastAsia"/>
          <w:color w:val="C00000"/>
          <w:kern w:val="0"/>
          <w:szCs w:val="20"/>
          <w:lang w:eastAsia="zh-CN"/>
        </w:rPr>
        <w:t>）</w:t>
      </w:r>
      <w:r>
        <w:rPr>
          <w:rFonts w:hint="eastAsia" w:ascii="宋体"/>
          <w:color w:val="C00000"/>
          <w:kern w:val="0"/>
          <w:szCs w:val="20"/>
        </w:rPr>
        <w:t>，无论是内部还是外部人员，应行为公正、有能力并按照</w:t>
      </w:r>
      <w:r>
        <w:rPr>
          <w:rFonts w:hint="eastAsia"/>
          <w:color w:val="C00000"/>
          <w:kern w:val="0"/>
          <w:szCs w:val="20"/>
          <w:lang w:val="en-US" w:eastAsia="zh-CN"/>
        </w:rPr>
        <w:t>评价机构</w:t>
      </w:r>
      <w:r>
        <w:rPr>
          <w:rFonts w:hint="eastAsia" w:ascii="宋体"/>
          <w:color w:val="C00000"/>
          <w:kern w:val="0"/>
          <w:szCs w:val="20"/>
        </w:rPr>
        <w:t>管理体系要求工作</w:t>
      </w:r>
      <w:r>
        <w:rPr>
          <w:rFonts w:hint="eastAsia" w:ascii="宋体"/>
          <w:kern w:val="0"/>
          <w:szCs w:val="20"/>
        </w:rPr>
        <w:t>。</w:t>
      </w:r>
    </w:p>
    <w:p w14:paraId="3C55F546">
      <w:pPr>
        <w:pStyle w:val="169"/>
        <w:bidi w:val="0"/>
        <w:ind w:left="0" w:leftChars="0" w:firstLine="0" w:firstLineChars="0"/>
        <w:rPr>
          <w:rFonts w:hint="eastAsia" w:ascii="宋体"/>
          <w:kern w:val="0"/>
          <w:szCs w:val="20"/>
        </w:rPr>
      </w:pPr>
      <w:r>
        <w:rPr>
          <w:rFonts w:hint="eastAsia"/>
          <w:color w:val="C00000"/>
          <w:kern w:val="0"/>
          <w:szCs w:val="20"/>
          <w:lang w:val="en-US" w:eastAsia="zh-CN"/>
        </w:rPr>
        <w:t>评价机构</w:t>
      </w:r>
      <w:r>
        <w:rPr>
          <w:rFonts w:hint="eastAsia" w:ascii="宋体"/>
          <w:color w:val="C00000"/>
          <w:kern w:val="0"/>
          <w:szCs w:val="20"/>
        </w:rPr>
        <w:t>应确保</w:t>
      </w:r>
      <w:r>
        <w:rPr>
          <w:rFonts w:hint="eastAsia"/>
          <w:color w:val="C00000"/>
          <w:kern w:val="0"/>
          <w:szCs w:val="20"/>
          <w:lang w:val="en-US" w:eastAsia="zh-CN"/>
        </w:rPr>
        <w:t>参与评价活动的</w:t>
      </w:r>
      <w:r>
        <w:rPr>
          <w:rFonts w:hint="eastAsia" w:ascii="宋体"/>
          <w:color w:val="C00000"/>
          <w:kern w:val="0"/>
          <w:szCs w:val="20"/>
        </w:rPr>
        <w:t>人员具备</w:t>
      </w:r>
      <w:r>
        <w:rPr>
          <w:rFonts w:hint="eastAsia"/>
          <w:color w:val="C00000"/>
          <w:kern w:val="0"/>
          <w:szCs w:val="20"/>
          <w:lang w:val="en-US" w:eastAsia="zh-CN"/>
        </w:rPr>
        <w:t>相应</w:t>
      </w:r>
      <w:r>
        <w:rPr>
          <w:rFonts w:hint="eastAsia" w:ascii="宋体"/>
          <w:color w:val="C00000"/>
          <w:kern w:val="0"/>
          <w:szCs w:val="20"/>
        </w:rPr>
        <w:t>的能力</w:t>
      </w:r>
      <w:r>
        <w:rPr>
          <w:rFonts w:hint="eastAsia"/>
          <w:color w:val="C00000"/>
          <w:kern w:val="0"/>
          <w:szCs w:val="20"/>
          <w:lang w:eastAsia="zh-CN"/>
        </w:rPr>
        <w:t>，</w:t>
      </w:r>
      <w:r>
        <w:rPr>
          <w:rFonts w:hint="eastAsia"/>
          <w:color w:val="C00000"/>
          <w:kern w:val="0"/>
          <w:szCs w:val="20"/>
          <w:lang w:val="en-US" w:eastAsia="zh-CN"/>
        </w:rPr>
        <w:t>并对</w:t>
      </w:r>
      <w:r>
        <w:rPr>
          <w:rFonts w:hint="eastAsia" w:ascii="宋体"/>
          <w:color w:val="C00000"/>
          <w:kern w:val="0"/>
          <w:szCs w:val="20"/>
        </w:rPr>
        <w:t>能力</w:t>
      </w:r>
      <w:r>
        <w:rPr>
          <w:rFonts w:hint="eastAsia"/>
          <w:color w:val="C00000"/>
          <w:kern w:val="0"/>
          <w:szCs w:val="20"/>
          <w:lang w:val="en-US" w:eastAsia="zh-CN"/>
        </w:rPr>
        <w:t>进行评估</w:t>
      </w:r>
      <w:r>
        <w:rPr>
          <w:rFonts w:hint="eastAsia" w:ascii="宋体"/>
          <w:kern w:val="0"/>
          <w:szCs w:val="20"/>
        </w:rPr>
        <w:t>。</w:t>
      </w:r>
    </w:p>
    <w:p w14:paraId="1899E374">
      <w:pPr>
        <w:pStyle w:val="169"/>
        <w:bidi w:val="0"/>
        <w:ind w:left="0" w:leftChars="0" w:firstLine="0" w:firstLineChars="0"/>
        <w:rPr>
          <w:rFonts w:hint="eastAsia" w:ascii="宋体"/>
          <w:kern w:val="0"/>
          <w:szCs w:val="20"/>
        </w:rPr>
      </w:pPr>
      <w:r>
        <w:rPr>
          <w:rFonts w:hint="eastAsia" w:ascii="宋体"/>
          <w:kern w:val="0"/>
          <w:szCs w:val="20"/>
        </w:rPr>
        <w:t>评价机构管理层应向参加评价活动的工作人员传达其职责和权限。</w:t>
      </w:r>
    </w:p>
    <w:p w14:paraId="7789F70D">
      <w:pPr>
        <w:pStyle w:val="169"/>
        <w:bidi w:val="0"/>
        <w:ind w:left="0" w:leftChars="0" w:firstLine="0" w:firstLineChars="0"/>
        <w:rPr>
          <w:rFonts w:hint="eastAsia" w:ascii="宋体"/>
          <w:kern w:val="0"/>
          <w:szCs w:val="20"/>
        </w:rPr>
      </w:pPr>
      <w:r>
        <w:rPr>
          <w:rFonts w:hint="eastAsia" w:ascii="宋体"/>
          <w:kern w:val="0"/>
          <w:szCs w:val="20"/>
        </w:rPr>
        <w:t>评价机构应有以下活动的程序，并保存相关记录</w:t>
      </w:r>
      <w:r>
        <w:rPr>
          <w:rFonts w:hint="eastAsia"/>
          <w:kern w:val="0"/>
          <w:szCs w:val="20"/>
          <w:lang w:eastAsia="zh-CN"/>
        </w:rPr>
        <w:t>：</w:t>
      </w:r>
    </w:p>
    <w:p w14:paraId="2DAF233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a）确定能力要求；</w:t>
      </w:r>
    </w:p>
    <w:p w14:paraId="4BA285A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b）人员选择；</w:t>
      </w:r>
    </w:p>
    <w:p w14:paraId="0B22DFAA">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c）人员培训；</w:t>
      </w:r>
    </w:p>
    <w:p w14:paraId="505AC40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d）人员监督；</w:t>
      </w:r>
    </w:p>
    <w:p w14:paraId="66BF025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e）人员授权；</w:t>
      </w:r>
    </w:p>
    <w:p w14:paraId="6705CF9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f）人员能力监控。</w:t>
      </w:r>
    </w:p>
    <w:p w14:paraId="5A409775">
      <w:pPr>
        <w:pStyle w:val="169"/>
        <w:bidi w:val="0"/>
        <w:ind w:left="0" w:leftChars="0" w:firstLine="0" w:firstLineChars="0"/>
        <w:rPr>
          <w:rFonts w:hint="eastAsia" w:ascii="宋体"/>
          <w:kern w:val="0"/>
          <w:szCs w:val="20"/>
        </w:rPr>
      </w:pPr>
      <w:r>
        <w:rPr>
          <w:rFonts w:hint="eastAsia" w:ascii="宋体"/>
          <w:kern w:val="0"/>
          <w:szCs w:val="20"/>
        </w:rPr>
        <w:t>评价机构授权人员从事特定评价活动，包括但不限于：</w:t>
      </w:r>
    </w:p>
    <w:p w14:paraId="59B4305C">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a）开发、修改、验证和确认评价指标；</w:t>
      </w:r>
    </w:p>
    <w:p w14:paraId="6E0724E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b）合同评审，评价方案选择和确认；</w:t>
      </w:r>
    </w:p>
    <w:p w14:paraId="32E0180D">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c）评价结果的形成和确认；</w:t>
      </w:r>
    </w:p>
    <w:p w14:paraId="48F13F5F">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d）评价报告编制、审查和批准。</w:t>
      </w:r>
    </w:p>
    <w:p w14:paraId="0A23E3E9">
      <w:pPr>
        <w:pStyle w:val="43"/>
        <w:spacing w:before="156" w:after="156"/>
        <w:outlineLvl w:val="1"/>
        <w:rPr>
          <w:rFonts w:hint="eastAsia"/>
          <w:lang w:val="en-US" w:eastAsia="zh-CN"/>
        </w:rPr>
      </w:pPr>
      <w:bookmarkStart w:id="93" w:name="_Toc4012"/>
      <w:r>
        <w:rPr>
          <w:rFonts w:hint="eastAsia"/>
          <w:lang w:val="en-US" w:eastAsia="zh-CN"/>
        </w:rPr>
        <w:t>评价师</w:t>
      </w:r>
      <w:bookmarkEnd w:id="93"/>
    </w:p>
    <w:p w14:paraId="47CB93F0">
      <w:pPr>
        <w:pStyle w:val="169"/>
        <w:bidi w:val="0"/>
        <w:ind w:left="0" w:leftChars="0" w:firstLine="0" w:firstLineChars="0"/>
        <w:rPr>
          <w:rFonts w:hint="eastAsia" w:ascii="宋体"/>
          <w:kern w:val="0"/>
          <w:szCs w:val="20"/>
        </w:rPr>
      </w:pPr>
      <w:r>
        <w:rPr>
          <w:rFonts w:hint="eastAsia" w:ascii="宋体"/>
          <w:color w:val="C00000"/>
          <w:kern w:val="0"/>
          <w:szCs w:val="20"/>
        </w:rPr>
        <w:t>评价师应按照T/CCAA 86标准第5、6、7、8章要求经培训考试取得能力资格</w:t>
      </w:r>
      <w:r>
        <w:rPr>
          <w:rFonts w:hint="eastAsia" w:ascii="宋体"/>
          <w:kern w:val="0"/>
          <w:szCs w:val="20"/>
        </w:rPr>
        <w:t>。</w:t>
      </w:r>
    </w:p>
    <w:p w14:paraId="64BB701E">
      <w:pPr>
        <w:pStyle w:val="169"/>
        <w:bidi w:val="0"/>
        <w:ind w:left="0" w:leftChars="0" w:firstLine="0" w:firstLineChars="0"/>
        <w:rPr>
          <w:rFonts w:hint="eastAsia" w:ascii="宋体"/>
          <w:kern w:val="0"/>
          <w:szCs w:val="20"/>
        </w:rPr>
      </w:pPr>
      <w:r>
        <w:rPr>
          <w:rFonts w:hint="eastAsia" w:ascii="宋体"/>
          <w:kern w:val="0"/>
          <w:szCs w:val="20"/>
        </w:rPr>
        <w:t>评价师应按照T/CCAA 86标准第4章要求，从事与其级别相符和的评价工作。</w:t>
      </w:r>
    </w:p>
    <w:p w14:paraId="2AD99E3C">
      <w:pPr>
        <w:pStyle w:val="169"/>
        <w:bidi w:val="0"/>
        <w:ind w:left="0" w:leftChars="0" w:firstLine="0" w:firstLineChars="0"/>
        <w:rPr>
          <w:rFonts w:hint="eastAsia" w:ascii="宋体"/>
          <w:kern w:val="0"/>
          <w:szCs w:val="20"/>
        </w:rPr>
      </w:pPr>
      <w:r>
        <w:rPr>
          <w:rFonts w:hint="eastAsia" w:ascii="宋体"/>
          <w:kern w:val="0"/>
          <w:szCs w:val="20"/>
        </w:rPr>
        <w:t>评价师按照T/CCAA 86标准第9章要求注册管理。</w:t>
      </w:r>
    </w:p>
    <w:p w14:paraId="314E3136">
      <w:pPr>
        <w:pStyle w:val="43"/>
        <w:spacing w:before="156" w:after="156"/>
        <w:outlineLvl w:val="1"/>
        <w:rPr>
          <w:rFonts w:hint="eastAsia"/>
          <w:lang w:val="en-US" w:eastAsia="zh-CN"/>
        </w:rPr>
      </w:pPr>
      <w:bookmarkStart w:id="94" w:name="_Toc25961"/>
      <w:r>
        <w:rPr>
          <w:rFonts w:hint="eastAsia"/>
          <w:lang w:val="en-US" w:eastAsia="zh-CN"/>
        </w:rPr>
        <w:t>评价专家</w:t>
      </w:r>
      <w:bookmarkEnd w:id="94"/>
    </w:p>
    <w:p w14:paraId="298A42DE">
      <w:pPr>
        <w:pStyle w:val="169"/>
        <w:bidi w:val="0"/>
        <w:ind w:left="0" w:leftChars="0" w:firstLine="0" w:firstLineChars="0"/>
        <w:rPr>
          <w:rFonts w:hint="eastAsia" w:ascii="宋体"/>
          <w:kern w:val="0"/>
          <w:szCs w:val="20"/>
        </w:rPr>
      </w:pPr>
      <w:r>
        <w:rPr>
          <w:rFonts w:hint="eastAsia" w:ascii="宋体"/>
          <w:kern w:val="0"/>
          <w:szCs w:val="20"/>
        </w:rPr>
        <w:t>评价专家应符合T/CCAA 85标准第6.2.1.1节的要求。</w:t>
      </w:r>
    </w:p>
    <w:p w14:paraId="64E18BDA">
      <w:pPr>
        <w:pStyle w:val="169"/>
        <w:bidi w:val="0"/>
        <w:ind w:left="0" w:leftChars="0" w:firstLine="0" w:firstLineChars="0"/>
        <w:rPr>
          <w:rFonts w:ascii="宋体"/>
          <w:kern w:val="0"/>
          <w:szCs w:val="20"/>
        </w:rPr>
      </w:pPr>
      <w:r>
        <w:rPr>
          <w:rFonts w:hint="eastAsia" w:ascii="宋体"/>
          <w:kern w:val="0"/>
          <w:szCs w:val="20"/>
        </w:rPr>
        <w:t>评价机构应制定措施规范评审专家在评价活动中的行为，使评价活动满足</w:t>
      </w:r>
      <w:r>
        <w:rPr>
          <w:rFonts w:hint="eastAsia" w:ascii="宋体"/>
          <w:color w:val="0000FF"/>
          <w:kern w:val="0"/>
          <w:szCs w:val="20"/>
        </w:rPr>
        <w:t>T/CCAA 85标准第6.2.1.2节</w:t>
      </w:r>
      <w:r>
        <w:rPr>
          <w:rFonts w:hint="eastAsia" w:ascii="宋体"/>
          <w:kern w:val="0"/>
          <w:szCs w:val="20"/>
        </w:rPr>
        <w:t>的要求。</w:t>
      </w:r>
    </w:p>
    <w:p w14:paraId="58918C56">
      <w:pPr>
        <w:pStyle w:val="46"/>
        <w:spacing w:before="312" w:after="312"/>
        <w:outlineLvl w:val="0"/>
        <w:rPr>
          <w:rFonts w:hint="eastAsia"/>
        </w:rPr>
      </w:pPr>
      <w:bookmarkStart w:id="95" w:name="_Toc26255"/>
      <w:r>
        <w:rPr>
          <w:rFonts w:hint="eastAsia"/>
        </w:rPr>
        <w:t>质量控制</w:t>
      </w:r>
      <w:bookmarkEnd w:id="95"/>
    </w:p>
    <w:p w14:paraId="613DE6B5">
      <w:pPr>
        <w:pStyle w:val="43"/>
        <w:spacing w:before="156" w:after="156"/>
        <w:outlineLvl w:val="1"/>
        <w:rPr>
          <w:rFonts w:hint="eastAsia"/>
          <w:lang w:val="en-US" w:eastAsia="zh-CN"/>
        </w:rPr>
      </w:pPr>
      <w:bookmarkStart w:id="96" w:name="_Toc12792"/>
      <w:r>
        <w:rPr>
          <w:rFonts w:hint="eastAsia"/>
          <w:lang w:val="en-US" w:eastAsia="zh-CN"/>
        </w:rPr>
        <w:t>总体要求</w:t>
      </w:r>
      <w:bookmarkEnd w:id="96"/>
    </w:p>
    <w:p w14:paraId="57C8750D">
      <w:pPr>
        <w:pStyle w:val="169"/>
        <w:bidi w:val="0"/>
        <w:ind w:left="0" w:leftChars="0" w:firstLine="0" w:firstLineChars="0"/>
        <w:rPr>
          <w:rFonts w:hint="eastAsia" w:ascii="宋体"/>
          <w:kern w:val="0"/>
          <w:szCs w:val="20"/>
        </w:rPr>
      </w:pPr>
      <w:r>
        <w:rPr>
          <w:rFonts w:hint="eastAsia" w:ascii="宋体"/>
          <w:kern w:val="0"/>
          <w:szCs w:val="20"/>
        </w:rPr>
        <w:t>评价机构应建立质量监控程序文件，内容覆盖本文件要素内容。</w:t>
      </w:r>
    </w:p>
    <w:p w14:paraId="589E7C5C">
      <w:pPr>
        <w:pStyle w:val="169"/>
        <w:bidi w:val="0"/>
        <w:ind w:left="0" w:leftChars="0" w:firstLine="0" w:firstLineChars="0"/>
        <w:rPr>
          <w:rFonts w:hint="eastAsia" w:ascii="宋体"/>
          <w:kern w:val="0"/>
          <w:szCs w:val="20"/>
        </w:rPr>
      </w:pPr>
      <w:r>
        <w:rPr>
          <w:rFonts w:hint="eastAsia" w:ascii="宋体"/>
          <w:kern w:val="0"/>
          <w:szCs w:val="20"/>
        </w:rPr>
        <w:t>评价机构应制定质量监控计划，开展质量管理活动，对评价过程和结果进行质量监控。</w:t>
      </w:r>
    </w:p>
    <w:p w14:paraId="7FCCB989">
      <w:pPr>
        <w:pStyle w:val="169"/>
        <w:bidi w:val="0"/>
        <w:ind w:left="0" w:leftChars="0" w:firstLine="0" w:firstLineChars="0"/>
        <w:rPr>
          <w:rFonts w:hint="eastAsia" w:ascii="宋体"/>
          <w:kern w:val="0"/>
          <w:szCs w:val="20"/>
        </w:rPr>
      </w:pPr>
      <w:r>
        <w:rPr>
          <w:rFonts w:hint="eastAsia" w:ascii="宋体"/>
          <w:kern w:val="0"/>
          <w:szCs w:val="20"/>
        </w:rPr>
        <w:t>评价机构应明确管理职责、配置资源、任命相关人员负责质量管理。</w:t>
      </w:r>
    </w:p>
    <w:p w14:paraId="7817ED31">
      <w:pPr>
        <w:pStyle w:val="43"/>
        <w:spacing w:before="156" w:after="156"/>
        <w:outlineLvl w:val="1"/>
        <w:rPr>
          <w:rFonts w:hint="eastAsia"/>
          <w:lang w:val="en-US" w:eastAsia="zh-CN"/>
        </w:rPr>
      </w:pPr>
      <w:bookmarkStart w:id="97" w:name="_Toc8543"/>
      <w:r>
        <w:rPr>
          <w:rFonts w:hint="eastAsia"/>
          <w:lang w:val="en-US" w:eastAsia="zh-CN"/>
        </w:rPr>
        <w:t>合同评审</w:t>
      </w:r>
      <w:bookmarkEnd w:id="97"/>
    </w:p>
    <w:p w14:paraId="480A8BF3">
      <w:pPr>
        <w:pStyle w:val="169"/>
        <w:bidi w:val="0"/>
        <w:ind w:left="0" w:leftChars="0" w:firstLine="0" w:firstLineChars="0"/>
        <w:rPr>
          <w:rFonts w:hint="eastAsia" w:ascii="宋体"/>
          <w:kern w:val="0"/>
          <w:szCs w:val="20"/>
        </w:rPr>
      </w:pPr>
      <w:r>
        <w:rPr>
          <w:rFonts w:hint="eastAsia" w:ascii="宋体"/>
          <w:kern w:val="0"/>
          <w:szCs w:val="20"/>
        </w:rPr>
        <w:t>评价机构应按本文件制定合同评审程序，确保：</w:t>
      </w:r>
    </w:p>
    <w:p w14:paraId="6F31D4B7">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a）要求被予以充分规定，形成文件，并易于理解；</w:t>
      </w:r>
    </w:p>
    <w:p w14:paraId="28590B0D">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ascii="宋体"/>
          <w:kern w:val="0"/>
          <w:szCs w:val="20"/>
        </w:rPr>
      </w:pPr>
      <w:r>
        <w:rPr>
          <w:rFonts w:hint="eastAsia" w:ascii="宋体"/>
          <w:kern w:val="0"/>
          <w:szCs w:val="20"/>
        </w:rPr>
        <w:t>b）评价机构有能力和评价师资源、满足这些要求。</w:t>
      </w:r>
    </w:p>
    <w:p w14:paraId="6FF531B3">
      <w:pPr>
        <w:pStyle w:val="169"/>
        <w:bidi w:val="0"/>
        <w:ind w:left="0" w:leftChars="0" w:firstLine="0" w:firstLineChars="0"/>
        <w:rPr>
          <w:rFonts w:hint="eastAsia" w:ascii="宋体"/>
          <w:kern w:val="0"/>
          <w:szCs w:val="20"/>
        </w:rPr>
      </w:pPr>
      <w:r>
        <w:rPr>
          <w:rFonts w:hint="eastAsia" w:ascii="宋体"/>
          <w:kern w:val="0"/>
          <w:szCs w:val="20"/>
        </w:rPr>
        <w:t>选择适当的方法程序和评价指标，满足委托方的要求。</w:t>
      </w:r>
    </w:p>
    <w:p w14:paraId="34E2D8C2">
      <w:pPr>
        <w:pStyle w:val="169"/>
        <w:bidi w:val="0"/>
        <w:ind w:left="0" w:leftChars="0" w:firstLine="0" w:firstLineChars="0"/>
        <w:rPr>
          <w:rFonts w:hint="eastAsia" w:ascii="宋体"/>
          <w:kern w:val="0"/>
          <w:szCs w:val="20"/>
        </w:rPr>
      </w:pPr>
      <w:r>
        <w:rPr>
          <w:rFonts w:hint="eastAsia" w:ascii="宋体"/>
          <w:kern w:val="0"/>
          <w:szCs w:val="20"/>
        </w:rPr>
        <w:t>当使用外部评价机构时，外部机构应经过第三方评审，确认满足本文件的要求，并按本文件要求实施评价活动、获得评价结果并出具评价报告。</w:t>
      </w:r>
    </w:p>
    <w:p w14:paraId="30CE2F28">
      <w:pPr>
        <w:widowControl/>
        <w:autoSpaceDE w:val="0"/>
        <w:autoSpaceDN w:val="0"/>
        <w:ind w:firstLine="420" w:firstLineChars="200"/>
        <w:rPr>
          <w:rFonts w:hint="eastAsia" w:ascii="宋体"/>
          <w:kern w:val="0"/>
          <w:szCs w:val="20"/>
        </w:rPr>
      </w:pPr>
      <w:r>
        <w:rPr>
          <w:rFonts w:hint="eastAsia" w:ascii="宋体"/>
          <w:kern w:val="0"/>
          <w:szCs w:val="20"/>
        </w:rPr>
        <w:t>注：下列情况可使用外部评价机构提供的评价结果：</w:t>
      </w:r>
    </w:p>
    <w:p w14:paraId="6EE80F02">
      <w:pPr>
        <w:keepNext w:val="0"/>
        <w:keepLines w:val="0"/>
        <w:pageBreakBefore w:val="0"/>
        <w:widowControl/>
        <w:kinsoku/>
        <w:wordWrap/>
        <w:overflowPunct/>
        <w:topLinePunct w:val="0"/>
        <w:autoSpaceDE w:val="0"/>
        <w:autoSpaceDN w:val="0"/>
        <w:bidi w:val="0"/>
        <w:adjustRightInd/>
        <w:snapToGrid/>
        <w:ind w:left="420" w:leftChars="200" w:firstLine="420" w:firstLineChars="200"/>
        <w:textAlignment w:val="auto"/>
        <w:rPr>
          <w:rFonts w:hint="eastAsia" w:ascii="宋体"/>
          <w:kern w:val="0"/>
          <w:szCs w:val="20"/>
        </w:rPr>
      </w:pPr>
      <w:r>
        <w:rPr>
          <w:rFonts w:hint="eastAsia" w:ascii="宋体"/>
          <w:kern w:val="0"/>
          <w:szCs w:val="20"/>
        </w:rPr>
        <w:t>——评价机构具备资源和能力，但由于不可预见原因不能承担部分或全部评价；</w:t>
      </w:r>
    </w:p>
    <w:p w14:paraId="1DB800E0">
      <w:pPr>
        <w:keepNext w:val="0"/>
        <w:keepLines w:val="0"/>
        <w:pageBreakBefore w:val="0"/>
        <w:widowControl/>
        <w:kinsoku/>
        <w:wordWrap/>
        <w:overflowPunct/>
        <w:topLinePunct w:val="0"/>
        <w:autoSpaceDE w:val="0"/>
        <w:autoSpaceDN w:val="0"/>
        <w:bidi w:val="0"/>
        <w:adjustRightInd/>
        <w:snapToGrid/>
        <w:ind w:left="420" w:leftChars="200" w:firstLine="420" w:firstLineChars="200"/>
        <w:textAlignment w:val="auto"/>
        <w:rPr>
          <w:rFonts w:hint="eastAsia" w:ascii="宋体"/>
          <w:kern w:val="0"/>
          <w:szCs w:val="20"/>
        </w:rPr>
      </w:pPr>
      <w:r>
        <w:rPr>
          <w:rFonts w:hint="eastAsia" w:ascii="宋体"/>
          <w:kern w:val="0"/>
          <w:szCs w:val="20"/>
        </w:rPr>
        <w:t>——实验室没有完成评价活动的资源和能力。</w:t>
      </w:r>
    </w:p>
    <w:p w14:paraId="190910E1">
      <w:pPr>
        <w:pStyle w:val="169"/>
        <w:bidi w:val="0"/>
        <w:ind w:left="0" w:leftChars="0" w:firstLine="0" w:firstLineChars="0"/>
        <w:rPr>
          <w:rFonts w:hint="eastAsia" w:ascii="宋体"/>
          <w:kern w:val="0"/>
          <w:szCs w:val="20"/>
        </w:rPr>
      </w:pPr>
      <w:r>
        <w:rPr>
          <w:rFonts w:hint="eastAsia" w:ascii="宋体"/>
          <w:kern w:val="0"/>
          <w:szCs w:val="20"/>
        </w:rPr>
        <w:t>评价机构应告知委托方由外部评价机构实施的评价活动，并获得委托方同意。</w:t>
      </w:r>
    </w:p>
    <w:p w14:paraId="11FE3CA4">
      <w:pPr>
        <w:pStyle w:val="169"/>
        <w:bidi w:val="0"/>
        <w:ind w:left="0" w:leftChars="0" w:firstLine="0" w:firstLineChars="0"/>
        <w:rPr>
          <w:rFonts w:hint="eastAsia" w:ascii="宋体"/>
          <w:kern w:val="0"/>
          <w:szCs w:val="20"/>
        </w:rPr>
      </w:pPr>
      <w:r>
        <w:rPr>
          <w:rFonts w:hint="eastAsia" w:ascii="宋体"/>
          <w:kern w:val="0"/>
          <w:szCs w:val="20"/>
        </w:rPr>
        <w:t>合同评审应保存审查过程相关记录和内容变更记录。</w:t>
      </w:r>
    </w:p>
    <w:p w14:paraId="44AC71A7">
      <w:pPr>
        <w:pStyle w:val="43"/>
        <w:spacing w:before="156" w:after="156"/>
        <w:outlineLvl w:val="1"/>
        <w:rPr>
          <w:rFonts w:hint="eastAsia"/>
          <w:lang w:val="en-US" w:eastAsia="zh-CN"/>
        </w:rPr>
      </w:pPr>
      <w:bookmarkStart w:id="98" w:name="_Toc25524"/>
      <w:r>
        <w:rPr>
          <w:rFonts w:hint="eastAsia"/>
          <w:lang w:val="en-US" w:eastAsia="zh-CN"/>
        </w:rPr>
        <w:t>评审策划</w:t>
      </w:r>
      <w:bookmarkEnd w:id="98"/>
    </w:p>
    <w:p w14:paraId="16AFD2FE">
      <w:pPr>
        <w:pStyle w:val="169"/>
        <w:bidi w:val="0"/>
        <w:ind w:left="0" w:leftChars="0" w:firstLine="0" w:firstLineChars="0"/>
        <w:rPr>
          <w:rFonts w:hint="eastAsia" w:ascii="宋体"/>
          <w:kern w:val="0"/>
          <w:szCs w:val="20"/>
        </w:rPr>
      </w:pPr>
      <w:r>
        <w:rPr>
          <w:rFonts w:hint="eastAsia" w:ascii="宋体"/>
          <w:kern w:val="0"/>
          <w:szCs w:val="20"/>
        </w:rPr>
        <w:t>评价机构应根据委托方需求和合同内容，按照本文件要求制定评审计划。</w:t>
      </w:r>
    </w:p>
    <w:p w14:paraId="10DE77A6">
      <w:pPr>
        <w:pStyle w:val="169"/>
        <w:bidi w:val="0"/>
        <w:ind w:left="0" w:leftChars="0" w:firstLine="0" w:firstLineChars="0"/>
        <w:rPr>
          <w:rFonts w:hint="eastAsia" w:ascii="宋体"/>
          <w:kern w:val="0"/>
          <w:szCs w:val="20"/>
        </w:rPr>
      </w:pPr>
      <w:r>
        <w:rPr>
          <w:rFonts w:hint="eastAsia" w:ascii="宋体"/>
          <w:kern w:val="0"/>
          <w:szCs w:val="20"/>
        </w:rPr>
        <w:t>评审计划包括成果类型、评价方法程序和要求、评审方式、评价资料、评审专家构成、评价机构人员、评价结果表述及评价报告内容等。</w:t>
      </w:r>
    </w:p>
    <w:p w14:paraId="1E26057C">
      <w:pPr>
        <w:pStyle w:val="169"/>
        <w:bidi w:val="0"/>
        <w:ind w:left="0" w:leftChars="0" w:firstLine="0" w:firstLineChars="0"/>
        <w:rPr>
          <w:rFonts w:hint="eastAsia" w:ascii="宋体"/>
          <w:kern w:val="0"/>
          <w:szCs w:val="20"/>
        </w:rPr>
      </w:pPr>
      <w:r>
        <w:rPr>
          <w:rFonts w:hint="eastAsia" w:ascii="宋体"/>
          <w:kern w:val="0"/>
          <w:szCs w:val="20"/>
        </w:rPr>
        <w:t>评价机构应保存策划过程相关记录和结果。</w:t>
      </w:r>
    </w:p>
    <w:p w14:paraId="6412D271">
      <w:pPr>
        <w:pStyle w:val="43"/>
        <w:spacing w:before="156" w:after="156"/>
        <w:outlineLvl w:val="1"/>
        <w:rPr>
          <w:rFonts w:hint="eastAsia"/>
          <w:lang w:val="en-US" w:eastAsia="zh-CN"/>
        </w:rPr>
      </w:pPr>
      <w:bookmarkStart w:id="99" w:name="_Toc6860"/>
      <w:r>
        <w:rPr>
          <w:rFonts w:hint="eastAsia"/>
          <w:lang w:val="en-US" w:eastAsia="zh-CN"/>
        </w:rPr>
        <w:t>评审过程</w:t>
      </w:r>
      <w:bookmarkEnd w:id="99"/>
    </w:p>
    <w:p w14:paraId="4320F5A5">
      <w:pPr>
        <w:pStyle w:val="169"/>
        <w:bidi w:val="0"/>
        <w:ind w:left="0" w:leftChars="0" w:firstLine="0" w:firstLineChars="0"/>
        <w:rPr>
          <w:rFonts w:hint="eastAsia" w:ascii="宋体"/>
          <w:kern w:val="0"/>
          <w:szCs w:val="20"/>
        </w:rPr>
      </w:pPr>
      <w:r>
        <w:rPr>
          <w:rFonts w:hint="eastAsia" w:ascii="宋体"/>
          <w:kern w:val="0"/>
          <w:szCs w:val="20"/>
        </w:rPr>
        <w:t>评价负责人应确保评审活动的记录包含足够的量化信息，以便在可能时识别影响评审结果的不确定因素，重复评审过程，验证评审结果。</w:t>
      </w:r>
    </w:p>
    <w:p w14:paraId="741AFA16">
      <w:pPr>
        <w:pStyle w:val="169"/>
        <w:bidi w:val="0"/>
        <w:ind w:left="0" w:leftChars="0" w:firstLine="0" w:firstLineChars="0"/>
        <w:rPr>
          <w:rFonts w:hint="eastAsia" w:ascii="宋体"/>
          <w:kern w:val="0"/>
          <w:szCs w:val="20"/>
        </w:rPr>
      </w:pPr>
      <w:r>
        <w:rPr>
          <w:rFonts w:hint="eastAsia" w:ascii="宋体"/>
          <w:kern w:val="0"/>
          <w:szCs w:val="20"/>
        </w:rPr>
        <w:t>评审记录应包括每项活动内容、数据结果、相关人员和记录日期。</w:t>
      </w:r>
    </w:p>
    <w:p w14:paraId="6DE24FB0">
      <w:pPr>
        <w:pStyle w:val="43"/>
        <w:spacing w:before="156" w:after="156"/>
        <w:outlineLvl w:val="1"/>
        <w:rPr>
          <w:rFonts w:hint="eastAsia"/>
          <w:lang w:val="en-US" w:eastAsia="zh-CN"/>
        </w:rPr>
      </w:pPr>
      <w:bookmarkStart w:id="100" w:name="_Toc11310"/>
      <w:r>
        <w:rPr>
          <w:rFonts w:hint="eastAsia"/>
          <w:lang w:val="en-US" w:eastAsia="zh-CN"/>
        </w:rPr>
        <w:t>评审结果</w:t>
      </w:r>
      <w:bookmarkEnd w:id="100"/>
    </w:p>
    <w:p w14:paraId="0456A79F">
      <w:pPr>
        <w:pStyle w:val="169"/>
        <w:bidi w:val="0"/>
        <w:ind w:left="0" w:leftChars="0" w:firstLine="0" w:firstLineChars="0"/>
        <w:rPr>
          <w:rFonts w:hint="eastAsia" w:ascii="宋体"/>
          <w:kern w:val="0"/>
          <w:szCs w:val="20"/>
        </w:rPr>
      </w:pPr>
      <w:r>
        <w:rPr>
          <w:rFonts w:hint="eastAsia" w:ascii="宋体"/>
          <w:kern w:val="0"/>
          <w:szCs w:val="20"/>
        </w:rPr>
        <w:t>评审负责人应准确、清晰、明确和客观地记录评审结果，评审结果应包括解释结果所必必需的信息。</w:t>
      </w:r>
    </w:p>
    <w:p w14:paraId="1BAE630E">
      <w:pPr>
        <w:pStyle w:val="169"/>
        <w:bidi w:val="0"/>
        <w:ind w:left="0" w:leftChars="0" w:firstLine="0" w:firstLineChars="0"/>
        <w:rPr>
          <w:rFonts w:hint="eastAsia" w:ascii="宋体"/>
          <w:kern w:val="0"/>
          <w:szCs w:val="20"/>
        </w:rPr>
      </w:pPr>
      <w:r>
        <w:rPr>
          <w:rFonts w:hint="eastAsia" w:ascii="宋体"/>
          <w:kern w:val="0"/>
          <w:szCs w:val="20"/>
        </w:rPr>
        <w:t>评价机构以评价报告的形式提供评价结果。</w:t>
      </w:r>
    </w:p>
    <w:p w14:paraId="3453C701">
      <w:pPr>
        <w:pStyle w:val="169"/>
        <w:bidi w:val="0"/>
        <w:ind w:left="0" w:leftChars="0" w:firstLine="0" w:firstLineChars="0"/>
        <w:rPr>
          <w:rFonts w:hint="eastAsia" w:ascii="宋体"/>
          <w:kern w:val="0"/>
          <w:szCs w:val="20"/>
        </w:rPr>
      </w:pPr>
      <w:r>
        <w:rPr>
          <w:rFonts w:hint="eastAsia" w:ascii="宋体"/>
          <w:kern w:val="0"/>
          <w:szCs w:val="20"/>
        </w:rPr>
        <w:t>评价结果在发出前应经过审查和批准。</w:t>
      </w:r>
    </w:p>
    <w:p w14:paraId="5D32D4D4">
      <w:pPr>
        <w:pStyle w:val="169"/>
        <w:bidi w:val="0"/>
        <w:ind w:left="0" w:leftChars="0" w:firstLine="0" w:firstLineChars="0"/>
        <w:rPr>
          <w:rFonts w:hint="eastAsia" w:ascii="宋体"/>
          <w:kern w:val="0"/>
          <w:szCs w:val="20"/>
        </w:rPr>
      </w:pPr>
      <w:r>
        <w:rPr>
          <w:rFonts w:hint="eastAsia" w:ascii="宋体"/>
          <w:kern w:val="0"/>
          <w:szCs w:val="20"/>
        </w:rPr>
        <w:t>发出的评价报告应作为评价记录予以保存。</w:t>
      </w:r>
    </w:p>
    <w:p w14:paraId="3F4C6D87">
      <w:pPr>
        <w:pStyle w:val="43"/>
        <w:spacing w:before="156" w:after="156"/>
        <w:outlineLvl w:val="1"/>
        <w:rPr>
          <w:rFonts w:hint="eastAsia"/>
          <w:lang w:val="en-US" w:eastAsia="zh-CN"/>
        </w:rPr>
      </w:pPr>
      <w:bookmarkStart w:id="101" w:name="_Toc314"/>
      <w:r>
        <w:rPr>
          <w:rFonts w:hint="eastAsia"/>
          <w:lang w:val="en-US" w:eastAsia="zh-CN"/>
        </w:rPr>
        <w:t>质量监督</w:t>
      </w:r>
      <w:bookmarkEnd w:id="101"/>
    </w:p>
    <w:p w14:paraId="0A16829C">
      <w:pPr>
        <w:pStyle w:val="169"/>
        <w:bidi w:val="0"/>
        <w:ind w:left="0" w:leftChars="0" w:firstLine="0" w:firstLineChars="0"/>
        <w:rPr>
          <w:rFonts w:hint="eastAsia" w:ascii="宋体"/>
          <w:kern w:val="0"/>
          <w:szCs w:val="20"/>
        </w:rPr>
      </w:pPr>
      <w:r>
        <w:rPr>
          <w:rFonts w:hint="eastAsia" w:ascii="宋体"/>
          <w:kern w:val="0"/>
          <w:szCs w:val="20"/>
        </w:rPr>
        <w:t>日常监督</w:t>
      </w:r>
    </w:p>
    <w:p w14:paraId="6107D643">
      <w:pPr>
        <w:widowControl/>
        <w:autoSpaceDE w:val="0"/>
        <w:autoSpaceDN w:val="0"/>
        <w:ind w:firstLine="420" w:firstLineChars="200"/>
        <w:rPr>
          <w:rFonts w:hint="eastAsia" w:ascii="宋体"/>
          <w:kern w:val="0"/>
          <w:szCs w:val="20"/>
        </w:rPr>
      </w:pPr>
      <w:r>
        <w:rPr>
          <w:rFonts w:hint="eastAsia" w:ascii="宋体"/>
          <w:kern w:val="0"/>
          <w:szCs w:val="20"/>
        </w:rPr>
        <w:t>评价机构质量管理人员按照质量监控程序文件要求，对评价活动实施质量监控。</w:t>
      </w:r>
    </w:p>
    <w:p w14:paraId="4FCE9985">
      <w:pPr>
        <w:pStyle w:val="169"/>
        <w:bidi w:val="0"/>
        <w:ind w:left="0" w:leftChars="0" w:firstLine="0" w:firstLineChars="0"/>
        <w:rPr>
          <w:rFonts w:hint="eastAsia" w:ascii="宋体"/>
          <w:kern w:val="0"/>
          <w:szCs w:val="20"/>
        </w:rPr>
      </w:pPr>
      <w:r>
        <w:rPr>
          <w:rFonts w:hint="eastAsia" w:ascii="宋体"/>
          <w:kern w:val="0"/>
          <w:szCs w:val="20"/>
        </w:rPr>
        <w:t>内部审核</w:t>
      </w:r>
    </w:p>
    <w:p w14:paraId="6EF38449">
      <w:pPr>
        <w:widowControl/>
        <w:autoSpaceDE w:val="0"/>
        <w:autoSpaceDN w:val="0"/>
        <w:ind w:firstLine="420" w:firstLineChars="200"/>
        <w:rPr>
          <w:rFonts w:hint="eastAsia" w:ascii="宋体"/>
          <w:kern w:val="0"/>
          <w:szCs w:val="20"/>
        </w:rPr>
      </w:pPr>
      <w:r>
        <w:rPr>
          <w:rFonts w:hint="eastAsia" w:ascii="宋体"/>
          <w:kern w:val="0"/>
          <w:szCs w:val="20"/>
        </w:rPr>
        <w:t>评价机构可以通过内部审核实施质量监控。</w:t>
      </w:r>
    </w:p>
    <w:p w14:paraId="7C9F1BBD">
      <w:pPr>
        <w:pStyle w:val="169"/>
        <w:bidi w:val="0"/>
        <w:ind w:left="0" w:leftChars="0" w:firstLine="0" w:firstLineChars="0"/>
        <w:rPr>
          <w:rFonts w:hint="eastAsia" w:ascii="宋体"/>
          <w:kern w:val="0"/>
          <w:szCs w:val="20"/>
        </w:rPr>
      </w:pPr>
      <w:r>
        <w:rPr>
          <w:rFonts w:hint="eastAsia" w:ascii="宋体"/>
          <w:kern w:val="0"/>
          <w:szCs w:val="20"/>
        </w:rPr>
        <w:t>外部审查</w:t>
      </w:r>
    </w:p>
    <w:p w14:paraId="5326ED7B">
      <w:pPr>
        <w:widowControl/>
        <w:autoSpaceDE w:val="0"/>
        <w:autoSpaceDN w:val="0"/>
        <w:ind w:firstLine="420" w:firstLineChars="200"/>
        <w:rPr>
          <w:rFonts w:hint="eastAsia" w:ascii="宋体"/>
          <w:kern w:val="0"/>
          <w:szCs w:val="20"/>
        </w:rPr>
      </w:pPr>
      <w:r>
        <w:rPr>
          <w:rFonts w:hint="eastAsia" w:ascii="宋体"/>
          <w:kern w:val="0"/>
          <w:szCs w:val="20"/>
        </w:rPr>
        <w:t>外部第三方按照本文件规定，对评价机构实施定期/不定期质量监督评审。</w:t>
      </w:r>
    </w:p>
    <w:p w14:paraId="329518C5">
      <w:pPr>
        <w:pStyle w:val="43"/>
        <w:spacing w:before="156" w:after="156"/>
        <w:outlineLvl w:val="1"/>
        <w:rPr>
          <w:rFonts w:hint="eastAsia"/>
          <w:lang w:val="en-US" w:eastAsia="zh-CN"/>
        </w:rPr>
      </w:pPr>
      <w:bookmarkStart w:id="102" w:name="_Toc7917"/>
      <w:r>
        <w:rPr>
          <w:rFonts w:hint="eastAsia"/>
          <w:lang w:val="en-US" w:eastAsia="zh-CN"/>
        </w:rPr>
        <w:t>投诉</w:t>
      </w:r>
      <w:bookmarkEnd w:id="102"/>
    </w:p>
    <w:p w14:paraId="0E99B16D">
      <w:pPr>
        <w:pStyle w:val="169"/>
        <w:bidi w:val="0"/>
        <w:ind w:left="0" w:leftChars="0" w:firstLine="0" w:firstLineChars="0"/>
        <w:rPr>
          <w:rFonts w:hint="eastAsia" w:ascii="宋体"/>
          <w:kern w:val="0"/>
          <w:szCs w:val="20"/>
        </w:rPr>
      </w:pPr>
      <w:r>
        <w:rPr>
          <w:rFonts w:hint="eastAsia" w:ascii="宋体"/>
          <w:kern w:val="0"/>
          <w:szCs w:val="20"/>
        </w:rPr>
        <w:t>评价机构应形成文件的规定，接收、评价和对投诉作出决定。</w:t>
      </w:r>
    </w:p>
    <w:p w14:paraId="0472807A">
      <w:pPr>
        <w:pStyle w:val="169"/>
        <w:bidi w:val="0"/>
        <w:ind w:left="0" w:leftChars="0" w:firstLine="0" w:firstLineChars="0"/>
        <w:rPr>
          <w:rFonts w:hint="eastAsia" w:ascii="宋体"/>
          <w:kern w:val="0"/>
          <w:szCs w:val="20"/>
        </w:rPr>
      </w:pPr>
      <w:r>
        <w:rPr>
          <w:rFonts w:hint="eastAsia" w:ascii="宋体"/>
          <w:kern w:val="0"/>
          <w:szCs w:val="20"/>
        </w:rPr>
        <w:t>接到投诉后，评价机构应证实投诉是否与其负责的评价活动相关；若相关，评价机构应收集并验证所有必要的信息，确认投诉是否有效，并处理。</w:t>
      </w:r>
    </w:p>
    <w:p w14:paraId="5DB4E6DB">
      <w:pPr>
        <w:pStyle w:val="169"/>
        <w:bidi w:val="0"/>
        <w:ind w:left="0" w:leftChars="0" w:firstLine="0" w:firstLineChars="0"/>
        <w:rPr>
          <w:rFonts w:hint="eastAsia" w:ascii="宋体"/>
          <w:kern w:val="0"/>
          <w:szCs w:val="20"/>
        </w:rPr>
      </w:pPr>
      <w:r>
        <w:rPr>
          <w:rFonts w:hint="eastAsia" w:ascii="宋体"/>
          <w:kern w:val="0"/>
          <w:szCs w:val="20"/>
        </w:rPr>
        <w:t>投诉处理过程应至少包括以下要素和方法：</w:t>
      </w:r>
    </w:p>
    <w:p w14:paraId="684BDF2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a）对投诉的接收、确认、调查以及决定采取处理措施过程的说明；</w:t>
      </w:r>
    </w:p>
    <w:p w14:paraId="1A4A525E">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b）跟踪并记录投诉，包括为解决投诉所采取的措施；</w:t>
      </w:r>
    </w:p>
    <w:p w14:paraId="06D3B0F7">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c）确保采取适当的措施。</w:t>
      </w:r>
    </w:p>
    <w:p w14:paraId="013180FF">
      <w:pPr>
        <w:pStyle w:val="169"/>
        <w:bidi w:val="0"/>
        <w:ind w:left="0" w:leftChars="0" w:firstLine="0" w:firstLineChars="0"/>
        <w:rPr>
          <w:rFonts w:hint="eastAsia" w:ascii="宋体"/>
          <w:kern w:val="0"/>
          <w:szCs w:val="20"/>
        </w:rPr>
      </w:pPr>
      <w:r>
        <w:rPr>
          <w:rFonts w:hint="eastAsia" w:ascii="宋体"/>
          <w:kern w:val="0"/>
          <w:szCs w:val="20"/>
        </w:rPr>
        <w:t>评价机构应告知投诉人收到投诉，并向投诉人提供处理进程的报告和结果。</w:t>
      </w:r>
    </w:p>
    <w:p w14:paraId="6CE02C8A">
      <w:pPr>
        <w:pStyle w:val="169"/>
        <w:bidi w:val="0"/>
        <w:ind w:left="0" w:leftChars="0" w:firstLine="0" w:firstLineChars="0"/>
        <w:rPr>
          <w:rFonts w:hint="eastAsia" w:ascii="宋体"/>
          <w:kern w:val="0"/>
          <w:szCs w:val="20"/>
        </w:rPr>
      </w:pPr>
      <w:r>
        <w:rPr>
          <w:rFonts w:hint="eastAsia" w:ascii="宋体"/>
          <w:kern w:val="0"/>
          <w:szCs w:val="20"/>
        </w:rPr>
        <w:t>利益相关方有要求时，应可获得对投诉处理过程的说明。</w:t>
      </w:r>
    </w:p>
    <w:p w14:paraId="42EE35F5">
      <w:pPr>
        <w:pStyle w:val="169"/>
        <w:bidi w:val="0"/>
        <w:ind w:left="0" w:leftChars="0" w:firstLine="0" w:firstLineChars="0"/>
        <w:rPr>
          <w:rFonts w:hint="eastAsia" w:ascii="宋体"/>
          <w:kern w:val="0"/>
          <w:szCs w:val="20"/>
        </w:rPr>
      </w:pPr>
      <w:r>
        <w:rPr>
          <w:rFonts w:hint="eastAsia" w:ascii="宋体"/>
          <w:kern w:val="0"/>
          <w:szCs w:val="20"/>
        </w:rPr>
        <w:t>投诉的处理、结果的审批，应由与投诉无关的人员或外部人员实施。</w:t>
      </w:r>
    </w:p>
    <w:p w14:paraId="7F2BB01C">
      <w:pPr>
        <w:pStyle w:val="169"/>
        <w:bidi w:val="0"/>
        <w:ind w:left="0" w:leftChars="0" w:firstLine="0" w:firstLineChars="0"/>
        <w:rPr>
          <w:rFonts w:hint="eastAsia" w:ascii="宋体"/>
          <w:kern w:val="0"/>
          <w:szCs w:val="20"/>
        </w:rPr>
      </w:pPr>
      <w:r>
        <w:rPr>
          <w:rFonts w:hint="eastAsia" w:ascii="宋体"/>
          <w:kern w:val="0"/>
          <w:szCs w:val="20"/>
        </w:rPr>
        <w:t>只要可能，评价机构应通知投诉人投诉处理完毕。</w:t>
      </w:r>
    </w:p>
    <w:p w14:paraId="44854F5E">
      <w:pPr>
        <w:pStyle w:val="46"/>
        <w:spacing w:before="312" w:after="312"/>
        <w:outlineLvl w:val="0"/>
        <w:rPr>
          <w:rFonts w:hint="eastAsia"/>
        </w:rPr>
      </w:pPr>
      <w:bookmarkStart w:id="103" w:name="_Toc1537"/>
      <w:r>
        <w:rPr>
          <w:rFonts w:hint="eastAsia"/>
        </w:rPr>
        <w:t>管理体系</w:t>
      </w:r>
      <w:bookmarkEnd w:id="103"/>
    </w:p>
    <w:p w14:paraId="6EFC5DCA">
      <w:pPr>
        <w:pStyle w:val="43"/>
        <w:spacing w:before="156" w:after="156"/>
        <w:outlineLvl w:val="1"/>
        <w:rPr>
          <w:rFonts w:hint="eastAsia"/>
          <w:lang w:val="en-US" w:eastAsia="zh-CN"/>
        </w:rPr>
      </w:pPr>
      <w:bookmarkStart w:id="104" w:name="_Toc3114"/>
      <w:r>
        <w:rPr>
          <w:rFonts w:hint="eastAsia"/>
          <w:lang w:val="en-US" w:eastAsia="zh-CN"/>
        </w:rPr>
        <w:t>总则</w:t>
      </w:r>
      <w:bookmarkEnd w:id="104"/>
    </w:p>
    <w:p w14:paraId="36186555">
      <w:pPr>
        <w:pStyle w:val="169"/>
        <w:bidi w:val="0"/>
        <w:ind w:left="0" w:leftChars="0" w:firstLine="0" w:firstLineChars="0"/>
        <w:rPr>
          <w:rFonts w:hint="eastAsia" w:ascii="宋体"/>
          <w:kern w:val="0"/>
          <w:szCs w:val="20"/>
        </w:rPr>
      </w:pPr>
      <w:r>
        <w:rPr>
          <w:rFonts w:hint="eastAsia" w:ascii="宋体"/>
          <w:kern w:val="0"/>
          <w:szCs w:val="20"/>
        </w:rPr>
        <w:t>评价机构应建立、实施和保持管理体系，该管理体系应能够支持和证明评价机构持续满足本文件要求。除满足本文件的要求外，评价机构应按照方式A（</w:t>
      </w:r>
      <w:r>
        <w:rPr>
          <w:rFonts w:hint="eastAsia"/>
          <w:color w:val="0000FF"/>
          <w:kern w:val="0"/>
          <w:szCs w:val="20"/>
          <w:lang w:val="en-US" w:eastAsia="zh-CN"/>
        </w:rPr>
        <w:t>7</w:t>
      </w:r>
      <w:r>
        <w:rPr>
          <w:rFonts w:hint="eastAsia" w:ascii="宋体"/>
          <w:color w:val="0000FF"/>
          <w:kern w:val="0"/>
          <w:szCs w:val="20"/>
        </w:rPr>
        <w:t>.1.4</w:t>
      </w:r>
      <w:r>
        <w:rPr>
          <w:rFonts w:hint="eastAsia" w:ascii="宋体"/>
          <w:kern w:val="0"/>
          <w:szCs w:val="20"/>
        </w:rPr>
        <w:t>）或方式B（</w:t>
      </w:r>
      <w:r>
        <w:rPr>
          <w:rFonts w:hint="eastAsia"/>
          <w:color w:val="0000FF"/>
          <w:kern w:val="0"/>
          <w:szCs w:val="20"/>
          <w:lang w:val="en-US" w:eastAsia="zh-CN"/>
        </w:rPr>
        <w:t>7</w:t>
      </w:r>
      <w:r>
        <w:rPr>
          <w:rFonts w:hint="eastAsia" w:ascii="宋体"/>
          <w:color w:val="0000FF"/>
          <w:kern w:val="0"/>
          <w:szCs w:val="20"/>
        </w:rPr>
        <w:t>.1.5</w:t>
      </w:r>
      <w:r>
        <w:rPr>
          <w:rFonts w:hint="eastAsia" w:ascii="宋体"/>
          <w:kern w:val="0"/>
          <w:szCs w:val="20"/>
        </w:rPr>
        <w:t>）实施管理体系。</w:t>
      </w:r>
    </w:p>
    <w:p w14:paraId="2B25C516">
      <w:pPr>
        <w:pStyle w:val="169"/>
        <w:bidi w:val="0"/>
        <w:ind w:left="0" w:leftChars="0" w:firstLine="0" w:firstLineChars="0"/>
        <w:rPr>
          <w:rFonts w:hint="eastAsia" w:ascii="宋体"/>
          <w:kern w:val="0"/>
          <w:szCs w:val="20"/>
        </w:rPr>
      </w:pPr>
      <w:r>
        <w:rPr>
          <w:rFonts w:hint="eastAsia" w:ascii="宋体"/>
          <w:kern w:val="0"/>
          <w:szCs w:val="20"/>
        </w:rPr>
        <w:t>评价机构管理层应制定有关评价机构能力、运作一致性和公正性的方针和目标，并形成文件。管理层应提供证据，以证实其对按本文件要求建立和实施管理体系的承诺。管理层应确保评价机构的方针在组织的各个层次上得到理解、实施和保持。</w:t>
      </w:r>
    </w:p>
    <w:p w14:paraId="27E568B2">
      <w:pPr>
        <w:pStyle w:val="169"/>
        <w:bidi w:val="0"/>
        <w:ind w:left="0" w:leftChars="0" w:firstLine="0" w:firstLineChars="0"/>
        <w:rPr>
          <w:rFonts w:hint="eastAsia" w:ascii="宋体"/>
          <w:kern w:val="0"/>
          <w:szCs w:val="20"/>
        </w:rPr>
      </w:pPr>
      <w:r>
        <w:rPr>
          <w:rFonts w:hint="eastAsia" w:ascii="宋体"/>
          <w:kern w:val="0"/>
          <w:szCs w:val="20"/>
        </w:rPr>
        <w:t>评价机构的最高管理层应分配以下职责和权限：</w:t>
      </w:r>
    </w:p>
    <w:p w14:paraId="288EEB94">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a）确保管理体系所需的政策和程序得到建立、实施和保持；</w:t>
      </w:r>
    </w:p>
    <w:p w14:paraId="2456274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b）向最高管理层报告管理体系运行情况及任何改进需求。</w:t>
      </w:r>
    </w:p>
    <w:p w14:paraId="04FC62A2">
      <w:pPr>
        <w:pStyle w:val="169"/>
        <w:bidi w:val="0"/>
        <w:ind w:left="0" w:leftChars="0" w:firstLine="0" w:firstLineChars="0"/>
        <w:rPr>
          <w:rFonts w:hint="eastAsia" w:ascii="宋体"/>
          <w:kern w:val="0"/>
          <w:szCs w:val="20"/>
        </w:rPr>
      </w:pPr>
      <w:r>
        <w:rPr>
          <w:rFonts w:hint="eastAsia" w:ascii="宋体"/>
          <w:kern w:val="0"/>
          <w:szCs w:val="20"/>
        </w:rPr>
        <w:t>方式A，评价机构的管理体系应至少包括以下内容（详见</w:t>
      </w:r>
      <w:r>
        <w:rPr>
          <w:rFonts w:hint="eastAsia"/>
          <w:color w:val="0000FF"/>
          <w:kern w:val="0"/>
          <w:szCs w:val="20"/>
          <w:lang w:val="en-US" w:eastAsia="zh-CN"/>
        </w:rPr>
        <w:t>7</w:t>
      </w:r>
      <w:r>
        <w:rPr>
          <w:rFonts w:hint="eastAsia" w:ascii="宋体"/>
          <w:color w:val="0000FF"/>
          <w:kern w:val="0"/>
          <w:szCs w:val="20"/>
        </w:rPr>
        <w:t>.2﹣</w:t>
      </w:r>
      <w:r>
        <w:rPr>
          <w:rFonts w:hint="eastAsia"/>
          <w:color w:val="0000FF"/>
          <w:kern w:val="0"/>
          <w:szCs w:val="20"/>
          <w:lang w:val="en-US" w:eastAsia="zh-CN"/>
        </w:rPr>
        <w:t>7</w:t>
      </w:r>
      <w:r>
        <w:rPr>
          <w:rFonts w:hint="eastAsia" w:ascii="宋体"/>
          <w:color w:val="0000FF"/>
          <w:kern w:val="0"/>
          <w:szCs w:val="20"/>
        </w:rPr>
        <w:t>.8</w:t>
      </w:r>
      <w:r>
        <w:rPr>
          <w:rFonts w:hint="eastAsia" w:ascii="宋体"/>
          <w:kern w:val="0"/>
          <w:szCs w:val="20"/>
        </w:rPr>
        <w:t>）：</w:t>
      </w:r>
    </w:p>
    <w:p w14:paraId="08E251E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——管理体系；</w:t>
      </w:r>
    </w:p>
    <w:p w14:paraId="25C23D0E">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——文件控制；</w:t>
      </w:r>
    </w:p>
    <w:p w14:paraId="331387CA">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——记录控制；</w:t>
      </w:r>
    </w:p>
    <w:p w14:paraId="4A9D96F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default" w:ascii="宋体" w:eastAsia="宋体"/>
          <w:kern w:val="0"/>
          <w:szCs w:val="20"/>
          <w:lang w:val="en-US" w:eastAsia="zh-CN"/>
        </w:rPr>
      </w:pPr>
      <w:r>
        <w:rPr>
          <w:rFonts w:hint="eastAsia" w:ascii="宋体"/>
          <w:kern w:val="0"/>
          <w:szCs w:val="20"/>
        </w:rPr>
        <w:t>——</w:t>
      </w:r>
      <w:r>
        <w:rPr>
          <w:rFonts w:hint="eastAsia" w:ascii="宋体"/>
          <w:kern w:val="0"/>
          <w:szCs w:val="20"/>
          <w:lang w:val="en-US" w:eastAsia="zh-CN"/>
        </w:rPr>
        <w:t>风险和机遇应对措施</w:t>
      </w:r>
    </w:p>
    <w:p w14:paraId="394A81F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——不符合和纠正措施；</w:t>
      </w:r>
    </w:p>
    <w:p w14:paraId="3F59221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——改进；</w:t>
      </w:r>
    </w:p>
    <w:p w14:paraId="660513D9">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——内部审核；</w:t>
      </w:r>
    </w:p>
    <w:p w14:paraId="1ACA2F2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——管理评审。</w:t>
      </w:r>
    </w:p>
    <w:p w14:paraId="04268FA9">
      <w:pPr>
        <w:pStyle w:val="169"/>
        <w:bidi w:val="0"/>
        <w:ind w:left="0" w:leftChars="0" w:firstLine="0" w:firstLineChars="0"/>
        <w:rPr>
          <w:rFonts w:hint="eastAsia" w:ascii="宋体"/>
          <w:kern w:val="0"/>
          <w:szCs w:val="20"/>
        </w:rPr>
      </w:pPr>
      <w:r>
        <w:rPr>
          <w:rFonts w:hint="eastAsia" w:ascii="宋体"/>
          <w:kern w:val="0"/>
          <w:szCs w:val="20"/>
        </w:rPr>
        <w:t>方式B，若评价机构已按照GB/T 19001要求建立并保持了管理体系，且能够支持并证实其持续符合本文件的要求，至少符合管理体系的要求。</w:t>
      </w:r>
    </w:p>
    <w:p w14:paraId="27874478">
      <w:pPr>
        <w:pStyle w:val="43"/>
        <w:spacing w:before="156" w:after="156"/>
        <w:outlineLvl w:val="1"/>
        <w:rPr>
          <w:rFonts w:hint="eastAsia"/>
          <w:lang w:val="en-US" w:eastAsia="zh-CN"/>
        </w:rPr>
      </w:pPr>
      <w:bookmarkStart w:id="105" w:name="_Toc5040"/>
      <w:r>
        <w:rPr>
          <w:rFonts w:hint="eastAsia"/>
          <w:lang w:val="en-US" w:eastAsia="zh-CN"/>
        </w:rPr>
        <w:t>管理体系</w:t>
      </w:r>
      <w:bookmarkEnd w:id="105"/>
    </w:p>
    <w:p w14:paraId="356548CB">
      <w:pPr>
        <w:pStyle w:val="169"/>
        <w:bidi w:val="0"/>
        <w:ind w:left="0" w:leftChars="0" w:firstLine="0" w:firstLineChars="0"/>
        <w:rPr>
          <w:rFonts w:hint="eastAsia" w:ascii="宋体"/>
          <w:kern w:val="0"/>
          <w:szCs w:val="20"/>
        </w:rPr>
      </w:pPr>
      <w:r>
        <w:rPr>
          <w:rFonts w:hint="eastAsia" w:ascii="宋体"/>
          <w:kern w:val="0"/>
          <w:szCs w:val="20"/>
        </w:rPr>
        <w:t>评价机构应运行与其评价类型、范围和业务规模相适应的管理体系。评价机构应在手册或关联文件中落实本文件中的所有适用要求。评价机构应确保其人员能够得到手册和相关文件，并确保管理体系过程的有效实施。</w:t>
      </w:r>
    </w:p>
    <w:p w14:paraId="66E459EB">
      <w:pPr>
        <w:pStyle w:val="169"/>
        <w:bidi w:val="0"/>
        <w:ind w:left="0" w:leftChars="0" w:firstLine="0" w:firstLineChars="0"/>
        <w:rPr>
          <w:rFonts w:hint="eastAsia" w:ascii="宋体"/>
          <w:kern w:val="0"/>
          <w:szCs w:val="20"/>
        </w:rPr>
      </w:pPr>
      <w:r>
        <w:rPr>
          <w:rFonts w:hint="eastAsia" w:ascii="宋体"/>
          <w:kern w:val="0"/>
          <w:szCs w:val="20"/>
        </w:rPr>
        <w:t>评价机构应按照本文件的要求持续改进管理体系的有效性。</w:t>
      </w:r>
    </w:p>
    <w:p w14:paraId="48973321">
      <w:pPr>
        <w:pStyle w:val="43"/>
        <w:spacing w:before="156" w:after="156"/>
        <w:outlineLvl w:val="1"/>
        <w:rPr>
          <w:rFonts w:hint="eastAsia"/>
          <w:lang w:val="en-US" w:eastAsia="zh-CN"/>
        </w:rPr>
      </w:pPr>
      <w:bookmarkStart w:id="106" w:name="_Toc2703"/>
      <w:r>
        <w:rPr>
          <w:rFonts w:hint="eastAsia"/>
          <w:lang w:val="en-US" w:eastAsia="zh-CN"/>
        </w:rPr>
        <w:t>文件控制</w:t>
      </w:r>
      <w:bookmarkEnd w:id="106"/>
    </w:p>
    <w:p w14:paraId="0F118BCE">
      <w:pPr>
        <w:widowControl/>
        <w:autoSpaceDE w:val="0"/>
        <w:autoSpaceDN w:val="0"/>
        <w:ind w:firstLine="420" w:firstLineChars="200"/>
        <w:rPr>
          <w:rFonts w:hint="eastAsia" w:ascii="宋体"/>
          <w:kern w:val="0"/>
          <w:szCs w:val="20"/>
        </w:rPr>
      </w:pPr>
      <w:r>
        <w:rPr>
          <w:rFonts w:hint="eastAsia" w:ascii="宋体"/>
          <w:kern w:val="0"/>
          <w:szCs w:val="20"/>
        </w:rPr>
        <w:t>评价机构应建立形成文件的程序来控制与评价活动有关的文件（内部和外部）。这些程序应明确以下控制要求：</w:t>
      </w:r>
    </w:p>
    <w:p w14:paraId="2BFCE01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a）为确保文件的充分性，文件发布前得到批准；</w:t>
      </w:r>
    </w:p>
    <w:p w14:paraId="0F18109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b）对文件进行评审，必要时更新并重新批准；</w:t>
      </w:r>
    </w:p>
    <w:p w14:paraId="3665C963">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c）确保文件的更改和当前修订状态得到识别；</w:t>
      </w:r>
    </w:p>
    <w:p w14:paraId="19395CF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d）确保在使用处能够获得适用文件的相关版本；</w:t>
      </w:r>
    </w:p>
    <w:p w14:paraId="3C21099F">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e）确保文件保持清晰，易于识别；</w:t>
      </w:r>
    </w:p>
    <w:p w14:paraId="26FE557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f）防止作废文件的非预期使用，如果出于某种目的保留作废文件时，对其做出适当的标识；</w:t>
      </w:r>
    </w:p>
    <w:p w14:paraId="4696B52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g）必要时，保证文件得到保密。</w:t>
      </w:r>
    </w:p>
    <w:p w14:paraId="4A33D45A">
      <w:pPr>
        <w:pStyle w:val="43"/>
        <w:spacing w:before="156" w:after="156"/>
        <w:outlineLvl w:val="1"/>
        <w:rPr>
          <w:rFonts w:hint="eastAsia"/>
          <w:lang w:val="en-US" w:eastAsia="zh-CN"/>
        </w:rPr>
      </w:pPr>
      <w:bookmarkStart w:id="107" w:name="_Toc11089"/>
      <w:r>
        <w:rPr>
          <w:rFonts w:hint="eastAsia"/>
          <w:lang w:val="en-US" w:eastAsia="zh-CN"/>
        </w:rPr>
        <w:t>记录控制</w:t>
      </w:r>
      <w:bookmarkEnd w:id="107"/>
    </w:p>
    <w:p w14:paraId="09D7E687">
      <w:pPr>
        <w:pStyle w:val="169"/>
        <w:bidi w:val="0"/>
        <w:ind w:left="0" w:leftChars="0" w:firstLine="0" w:firstLineChars="0"/>
        <w:rPr>
          <w:rFonts w:hint="eastAsia" w:ascii="宋体"/>
          <w:kern w:val="0"/>
          <w:szCs w:val="20"/>
        </w:rPr>
      </w:pPr>
      <w:r>
        <w:rPr>
          <w:rFonts w:hint="eastAsia" w:ascii="宋体"/>
          <w:kern w:val="0"/>
          <w:szCs w:val="20"/>
        </w:rPr>
        <w:t>评价机构应建立程序文件，规定记录的识别、贮存、保护、检索、保存期限和处置的控制要求。</w:t>
      </w:r>
    </w:p>
    <w:p w14:paraId="63E2BAFB">
      <w:pPr>
        <w:pStyle w:val="169"/>
        <w:bidi w:val="0"/>
        <w:ind w:left="0" w:leftChars="0" w:firstLine="0" w:firstLineChars="0"/>
        <w:rPr>
          <w:rFonts w:hint="eastAsia" w:ascii="宋体"/>
          <w:kern w:val="0"/>
          <w:szCs w:val="20"/>
        </w:rPr>
      </w:pPr>
      <w:r>
        <w:rPr>
          <w:rFonts w:hint="eastAsia" w:ascii="宋体"/>
          <w:kern w:val="0"/>
          <w:szCs w:val="20"/>
        </w:rPr>
        <w:t>评价机构应建立记录保存程序文件，记录保存期限应与合同及义务相符合。记录的调阅应符合保密要求。</w:t>
      </w:r>
    </w:p>
    <w:p w14:paraId="5E578A27">
      <w:pPr>
        <w:pStyle w:val="43"/>
        <w:spacing w:before="156" w:after="156"/>
        <w:outlineLvl w:val="1"/>
        <w:rPr>
          <w:rFonts w:hint="eastAsia"/>
          <w:lang w:val="en-US" w:eastAsia="zh-CN"/>
        </w:rPr>
      </w:pPr>
      <w:bookmarkStart w:id="108" w:name="_Toc28631"/>
      <w:r>
        <w:rPr>
          <w:rFonts w:hint="eastAsia"/>
          <w:lang w:val="en-US" w:eastAsia="zh-CN"/>
        </w:rPr>
        <w:t>不符合与纠正措施</w:t>
      </w:r>
      <w:bookmarkEnd w:id="108"/>
    </w:p>
    <w:p w14:paraId="083DB59F">
      <w:pPr>
        <w:widowControl/>
        <w:autoSpaceDE w:val="0"/>
        <w:autoSpaceDN w:val="0"/>
        <w:ind w:firstLine="420" w:firstLineChars="200"/>
        <w:rPr>
          <w:rFonts w:hint="eastAsia" w:ascii="宋体"/>
          <w:kern w:val="0"/>
          <w:szCs w:val="20"/>
        </w:rPr>
      </w:pPr>
      <w:r>
        <w:rPr>
          <w:rFonts w:hint="eastAsia" w:ascii="宋体"/>
          <w:kern w:val="0"/>
          <w:szCs w:val="20"/>
        </w:rPr>
        <w:t>评价机构应建立程序文件，识别和管理其运作中的不符合项。必要时，评价机构应采取措施消除不符合的原因，以避免再次发生。纠正措施应与所遇到问题的影响相适应。程序内容应包括：</w:t>
      </w:r>
    </w:p>
    <w:p w14:paraId="1625B60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a）识别不符合（如通过投诉、内部审核或其他来源发现不符合）；</w:t>
      </w:r>
    </w:p>
    <w:p w14:paraId="31A1461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b）确定不符合的原因；</w:t>
      </w:r>
    </w:p>
    <w:p w14:paraId="5D87A66D">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c）纠正不符；</w:t>
      </w:r>
    </w:p>
    <w:p w14:paraId="410C997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d）评价是否需要采取措施，以确保不符合不再发生；</w:t>
      </w:r>
    </w:p>
    <w:p w14:paraId="5B9129C5">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e）及时确定和实施所需的措施；</w:t>
      </w:r>
    </w:p>
    <w:p w14:paraId="3F9AE969">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f）记录所采取措施的结果；</w:t>
      </w:r>
    </w:p>
    <w:p w14:paraId="440E04E2">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g）评审纠正措施的有效性。</w:t>
      </w:r>
    </w:p>
    <w:p w14:paraId="7FEF2329">
      <w:pPr>
        <w:pStyle w:val="43"/>
        <w:spacing w:before="156" w:after="156"/>
        <w:outlineLvl w:val="1"/>
        <w:rPr>
          <w:rFonts w:hint="default" w:ascii="宋体"/>
          <w:kern w:val="0"/>
          <w:szCs w:val="20"/>
          <w:lang w:val="en-US" w:eastAsia="zh-CN"/>
        </w:rPr>
      </w:pPr>
      <w:bookmarkStart w:id="109" w:name="_Toc18702"/>
      <w:r>
        <w:rPr>
          <w:rFonts w:hint="eastAsia" w:ascii="宋体"/>
          <w:color w:val="0000FF"/>
          <w:kern w:val="0"/>
          <w:szCs w:val="20"/>
          <w:lang w:val="en-US" w:eastAsia="zh-CN"/>
        </w:rPr>
        <w:t>风险和机遇应对措施</w:t>
      </w:r>
      <w:bookmarkEnd w:id="109"/>
    </w:p>
    <w:p w14:paraId="6D006B55">
      <w:pPr>
        <w:pStyle w:val="169"/>
        <w:bidi w:val="0"/>
        <w:ind w:left="0" w:leftChars="0" w:firstLine="0" w:firstLineChars="0"/>
        <w:rPr>
          <w:rFonts w:hint="eastAsia" w:ascii="宋体"/>
          <w:color w:val="0000FF"/>
          <w:kern w:val="0"/>
          <w:szCs w:val="20"/>
        </w:rPr>
      </w:pPr>
      <w:r>
        <w:rPr>
          <w:rFonts w:hint="eastAsia" w:ascii="宋体"/>
          <w:color w:val="0000FF"/>
          <w:kern w:val="0"/>
          <w:szCs w:val="20"/>
          <w:lang w:val="en-US" w:eastAsia="zh-CN"/>
        </w:rPr>
        <w:t>评价机构</w:t>
      </w:r>
      <w:r>
        <w:rPr>
          <w:rFonts w:hint="eastAsia"/>
          <w:color w:val="0000FF"/>
          <w:kern w:val="0"/>
          <w:szCs w:val="20"/>
          <w:lang w:val="en-US" w:eastAsia="zh-CN"/>
        </w:rPr>
        <w:t>应分析、确认</w:t>
      </w:r>
      <w:r>
        <w:rPr>
          <w:rFonts w:hint="eastAsia" w:ascii="宋体"/>
          <w:color w:val="0000FF"/>
          <w:kern w:val="0"/>
          <w:szCs w:val="20"/>
        </w:rPr>
        <w:t>与</w:t>
      </w:r>
      <w:r>
        <w:rPr>
          <w:rFonts w:hint="eastAsia" w:ascii="宋体"/>
          <w:color w:val="0000FF"/>
          <w:kern w:val="0"/>
          <w:szCs w:val="20"/>
          <w:lang w:val="en-US" w:eastAsia="zh-CN"/>
        </w:rPr>
        <w:t>评价</w:t>
      </w:r>
      <w:r>
        <w:rPr>
          <w:rFonts w:hint="eastAsia" w:ascii="宋体"/>
          <w:color w:val="0000FF"/>
          <w:kern w:val="0"/>
          <w:szCs w:val="20"/>
        </w:rPr>
        <w:t>活动相关的风险和机遇，以：</w:t>
      </w:r>
    </w:p>
    <w:p w14:paraId="64CE4EBF">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w:t>
      </w:r>
      <w:r>
        <w:rPr>
          <w:rFonts w:hint="eastAsia" w:ascii="宋体"/>
          <w:kern w:val="0"/>
          <w:szCs w:val="20"/>
          <w:lang w:eastAsia="zh-CN"/>
        </w:rPr>
        <w:t>）</w:t>
      </w:r>
      <w:r>
        <w:rPr>
          <w:rFonts w:hint="eastAsia" w:ascii="宋体"/>
          <w:kern w:val="0"/>
          <w:szCs w:val="20"/>
        </w:rPr>
        <w:t>确保管理体系能够实现其预期结果</w:t>
      </w:r>
      <w:r>
        <w:rPr>
          <w:rFonts w:hint="eastAsia" w:ascii="宋体"/>
          <w:kern w:val="0"/>
          <w:szCs w:val="20"/>
          <w:lang w:eastAsia="zh-CN"/>
        </w:rPr>
        <w:t>；</w:t>
      </w:r>
    </w:p>
    <w:p w14:paraId="4DC1496B">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w:t>
      </w:r>
      <w:r>
        <w:rPr>
          <w:rFonts w:hint="eastAsia" w:ascii="宋体"/>
          <w:kern w:val="0"/>
          <w:szCs w:val="20"/>
          <w:lang w:eastAsia="zh-CN"/>
        </w:rPr>
        <w:t>）</w:t>
      </w:r>
      <w:r>
        <w:rPr>
          <w:rFonts w:hint="eastAsia" w:ascii="宋体"/>
          <w:kern w:val="0"/>
          <w:szCs w:val="20"/>
        </w:rPr>
        <w:t>增强</w:t>
      </w:r>
      <w:r>
        <w:rPr>
          <w:rFonts w:hint="eastAsia" w:ascii="宋体"/>
          <w:kern w:val="0"/>
          <w:szCs w:val="20"/>
          <w:lang w:val="en-US" w:eastAsia="zh-CN"/>
        </w:rPr>
        <w:t>有利影响和</w:t>
      </w:r>
      <w:r>
        <w:rPr>
          <w:rFonts w:hint="eastAsia" w:ascii="宋体"/>
          <w:kern w:val="0"/>
          <w:szCs w:val="20"/>
        </w:rPr>
        <w:t>实现目的和目标的机遇</w:t>
      </w:r>
      <w:r>
        <w:rPr>
          <w:rFonts w:hint="eastAsia" w:ascii="宋体"/>
          <w:kern w:val="0"/>
          <w:szCs w:val="20"/>
          <w:lang w:eastAsia="zh-CN"/>
        </w:rPr>
        <w:t>；</w:t>
      </w:r>
    </w:p>
    <w:p w14:paraId="7F3F52B7">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w:t>
      </w:r>
      <w:r>
        <w:rPr>
          <w:rFonts w:hint="eastAsia" w:ascii="宋体"/>
          <w:kern w:val="0"/>
          <w:szCs w:val="20"/>
          <w:lang w:eastAsia="zh-CN"/>
        </w:rPr>
        <w:t>）</w:t>
      </w:r>
      <w:r>
        <w:rPr>
          <w:rFonts w:hint="eastAsia" w:ascii="宋体"/>
          <w:kern w:val="0"/>
          <w:szCs w:val="20"/>
        </w:rPr>
        <w:t>预防或减少</w:t>
      </w:r>
      <w:r>
        <w:rPr>
          <w:rFonts w:hint="eastAsia" w:ascii="宋体"/>
          <w:kern w:val="0"/>
          <w:szCs w:val="20"/>
          <w:lang w:val="en-US" w:eastAsia="zh-CN"/>
        </w:rPr>
        <w:t>评价</w:t>
      </w:r>
      <w:r>
        <w:rPr>
          <w:rFonts w:hint="eastAsia" w:ascii="宋体"/>
          <w:kern w:val="0"/>
          <w:szCs w:val="20"/>
        </w:rPr>
        <w:t>活动中的不利影响</w:t>
      </w:r>
      <w:r>
        <w:rPr>
          <w:rFonts w:hint="eastAsia" w:ascii="宋体"/>
          <w:kern w:val="0"/>
          <w:szCs w:val="20"/>
          <w:lang w:eastAsia="zh-CN"/>
        </w:rPr>
        <w:t>；</w:t>
      </w:r>
    </w:p>
    <w:p w14:paraId="2BB3655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w:t>
      </w:r>
      <w:r>
        <w:rPr>
          <w:rFonts w:hint="eastAsia" w:ascii="宋体"/>
          <w:kern w:val="0"/>
          <w:szCs w:val="20"/>
          <w:lang w:eastAsia="zh-CN"/>
        </w:rPr>
        <w:t>）</w:t>
      </w:r>
      <w:r>
        <w:rPr>
          <w:rFonts w:hint="eastAsia" w:ascii="宋体"/>
          <w:kern w:val="0"/>
          <w:szCs w:val="20"/>
        </w:rPr>
        <w:t>实现改进</w:t>
      </w:r>
      <w:r>
        <w:rPr>
          <w:rFonts w:hint="eastAsia" w:ascii="宋体"/>
          <w:kern w:val="0"/>
          <w:szCs w:val="20"/>
          <w:lang w:eastAsia="zh-CN"/>
        </w:rPr>
        <w:t>。</w:t>
      </w:r>
    </w:p>
    <w:p w14:paraId="0EC3A91D">
      <w:pPr>
        <w:pStyle w:val="169"/>
        <w:bidi w:val="0"/>
        <w:ind w:left="0" w:leftChars="0" w:firstLine="0" w:firstLineChars="0"/>
        <w:rPr>
          <w:rFonts w:hint="eastAsia" w:ascii="宋体"/>
          <w:color w:val="0000FF"/>
          <w:kern w:val="0"/>
          <w:szCs w:val="20"/>
          <w:lang w:val="en-US" w:eastAsia="zh-CN"/>
        </w:rPr>
      </w:pPr>
      <w:r>
        <w:rPr>
          <w:rFonts w:hint="eastAsia"/>
          <w:color w:val="0000FF"/>
          <w:kern w:val="0"/>
          <w:szCs w:val="20"/>
          <w:lang w:val="en-US" w:eastAsia="zh-CN"/>
        </w:rPr>
        <w:t>评价机构应</w:t>
      </w:r>
      <w:r>
        <w:rPr>
          <w:rFonts w:hint="eastAsia" w:ascii="宋体"/>
          <w:color w:val="0000FF"/>
          <w:kern w:val="0"/>
          <w:szCs w:val="20"/>
          <w:lang w:val="en-US" w:eastAsia="zh-CN"/>
        </w:rPr>
        <w:t>策划</w:t>
      </w:r>
      <w:r>
        <w:rPr>
          <w:rFonts w:hint="eastAsia"/>
          <w:color w:val="0000FF"/>
          <w:kern w:val="0"/>
          <w:szCs w:val="20"/>
          <w:lang w:val="en-US" w:eastAsia="zh-CN"/>
        </w:rPr>
        <w:t>：</w:t>
      </w:r>
    </w:p>
    <w:p w14:paraId="3641D793">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eastAsia="宋体"/>
          <w:kern w:val="0"/>
          <w:szCs w:val="20"/>
          <w:lang w:eastAsia="zh-CN"/>
        </w:rPr>
      </w:pPr>
      <w:r>
        <w:rPr>
          <w:rFonts w:hint="eastAsia" w:ascii="宋体"/>
          <w:kern w:val="0"/>
          <w:szCs w:val="20"/>
        </w:rPr>
        <w:t>a</w:t>
      </w:r>
      <w:r>
        <w:rPr>
          <w:rFonts w:hint="eastAsia" w:ascii="宋体"/>
          <w:kern w:val="0"/>
          <w:szCs w:val="20"/>
          <w:lang w:eastAsia="zh-CN"/>
        </w:rPr>
        <w:t>）</w:t>
      </w:r>
      <w:r>
        <w:rPr>
          <w:rFonts w:hint="eastAsia" w:ascii="宋体"/>
          <w:kern w:val="0"/>
          <w:szCs w:val="20"/>
        </w:rPr>
        <w:t>应对这些风险和机遇的措施</w:t>
      </w:r>
      <w:r>
        <w:rPr>
          <w:rFonts w:hint="eastAsia" w:ascii="宋体"/>
          <w:kern w:val="0"/>
          <w:szCs w:val="20"/>
          <w:lang w:eastAsia="zh-CN"/>
        </w:rPr>
        <w:t>；</w:t>
      </w:r>
    </w:p>
    <w:p w14:paraId="0CF020EB">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w:t>
      </w:r>
      <w:r>
        <w:rPr>
          <w:rFonts w:hint="eastAsia" w:ascii="宋体"/>
          <w:kern w:val="0"/>
          <w:szCs w:val="20"/>
          <w:lang w:eastAsia="zh-CN"/>
        </w:rPr>
        <w:t>）</w:t>
      </w:r>
      <w:r>
        <w:rPr>
          <w:rFonts w:hint="eastAsia" w:ascii="宋体"/>
          <w:kern w:val="0"/>
          <w:szCs w:val="20"/>
        </w:rPr>
        <w:t>如何在管理体系中整合并实施这些措施</w:t>
      </w:r>
      <w:r>
        <w:rPr>
          <w:rFonts w:hint="eastAsia" w:ascii="宋体"/>
          <w:kern w:val="0"/>
          <w:szCs w:val="20"/>
          <w:lang w:eastAsia="zh-CN"/>
        </w:rPr>
        <w:t>；</w:t>
      </w:r>
    </w:p>
    <w:p w14:paraId="6024EB4B">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lang w:val="en-US" w:eastAsia="zh-CN"/>
        </w:rPr>
        <w:t>c）如何</w:t>
      </w:r>
      <w:r>
        <w:rPr>
          <w:rFonts w:hint="eastAsia" w:ascii="宋体"/>
          <w:kern w:val="0"/>
          <w:szCs w:val="20"/>
        </w:rPr>
        <w:t>评价这些措施的有效性</w:t>
      </w:r>
      <w:r>
        <w:rPr>
          <w:rFonts w:hint="eastAsia" w:ascii="宋体"/>
          <w:kern w:val="0"/>
          <w:szCs w:val="20"/>
          <w:lang w:eastAsia="zh-CN"/>
        </w:rPr>
        <w:t>。</w:t>
      </w:r>
    </w:p>
    <w:p w14:paraId="68733DD8">
      <w:pPr>
        <w:pStyle w:val="169"/>
        <w:bidi w:val="0"/>
        <w:ind w:left="0" w:leftChars="0" w:firstLine="0" w:firstLineChars="0"/>
        <w:rPr>
          <w:rFonts w:hint="eastAsia" w:ascii="宋体"/>
          <w:kern w:val="0"/>
          <w:szCs w:val="20"/>
        </w:rPr>
      </w:pPr>
      <w:r>
        <w:rPr>
          <w:rFonts w:hint="eastAsia"/>
          <w:color w:val="0000FF"/>
          <w:kern w:val="0"/>
          <w:szCs w:val="20"/>
          <w:lang w:val="en-US" w:eastAsia="zh-CN"/>
        </w:rPr>
        <w:t>评价机构应确认风险和机遇应对措施的有效性，评估这些措施对评价结果的潜在影响。</w:t>
      </w:r>
    </w:p>
    <w:p w14:paraId="28AEEAF6">
      <w:pPr>
        <w:pStyle w:val="43"/>
        <w:spacing w:before="156" w:after="156"/>
        <w:outlineLvl w:val="1"/>
        <w:rPr>
          <w:rFonts w:hint="eastAsia"/>
          <w:lang w:val="en-US" w:eastAsia="zh-CN"/>
        </w:rPr>
      </w:pPr>
      <w:bookmarkStart w:id="110" w:name="_Toc14207"/>
      <w:r>
        <w:rPr>
          <w:rFonts w:hint="eastAsia"/>
          <w:lang w:val="en-US" w:eastAsia="zh-CN"/>
        </w:rPr>
        <w:t>改进</w:t>
      </w:r>
      <w:bookmarkEnd w:id="110"/>
    </w:p>
    <w:p w14:paraId="2B0BF3B5">
      <w:pPr>
        <w:widowControl/>
        <w:autoSpaceDE w:val="0"/>
        <w:autoSpaceDN w:val="0"/>
        <w:ind w:firstLine="420" w:firstLineChars="200"/>
        <w:rPr>
          <w:rFonts w:hint="eastAsia" w:ascii="宋体"/>
          <w:kern w:val="0"/>
          <w:szCs w:val="20"/>
        </w:rPr>
      </w:pPr>
      <w:r>
        <w:rPr>
          <w:rFonts w:hint="eastAsia" w:ascii="宋体"/>
          <w:kern w:val="0"/>
          <w:szCs w:val="20"/>
        </w:rPr>
        <w:t>评价机构应建立程序文件，识别改进机会及风险，井采取适当措施。</w:t>
      </w:r>
    </w:p>
    <w:p w14:paraId="43F3C7D3">
      <w:pPr>
        <w:pStyle w:val="43"/>
        <w:spacing w:before="156" w:after="156"/>
        <w:outlineLvl w:val="1"/>
        <w:rPr>
          <w:rFonts w:hint="eastAsia" w:ascii="宋体"/>
          <w:kern w:val="0"/>
          <w:szCs w:val="20"/>
        </w:rPr>
      </w:pPr>
      <w:bookmarkStart w:id="111" w:name="_Toc29340"/>
      <w:r>
        <w:rPr>
          <w:rFonts w:hint="eastAsia" w:ascii="宋体"/>
          <w:kern w:val="0"/>
          <w:szCs w:val="20"/>
        </w:rPr>
        <w:t>内部审核</w:t>
      </w:r>
      <w:bookmarkEnd w:id="111"/>
    </w:p>
    <w:p w14:paraId="1C76A08A">
      <w:pPr>
        <w:pStyle w:val="169"/>
        <w:bidi w:val="0"/>
        <w:ind w:left="0" w:leftChars="0" w:firstLine="0" w:firstLineChars="0"/>
        <w:rPr>
          <w:rFonts w:hint="eastAsia" w:ascii="宋体"/>
          <w:kern w:val="0"/>
          <w:szCs w:val="20"/>
        </w:rPr>
      </w:pPr>
      <w:r>
        <w:rPr>
          <w:rFonts w:hint="eastAsia" w:ascii="宋体"/>
          <w:kern w:val="0"/>
          <w:szCs w:val="20"/>
        </w:rPr>
        <w:t>评价机构应建立内部审核程序文件，验证评价机构符合本文件要求，且管理体系得到实施和保持。</w:t>
      </w:r>
    </w:p>
    <w:p w14:paraId="06A5E17B">
      <w:pPr>
        <w:pStyle w:val="169"/>
        <w:bidi w:val="0"/>
        <w:ind w:left="0" w:leftChars="0" w:firstLine="0" w:firstLineChars="0"/>
        <w:rPr>
          <w:rFonts w:hint="eastAsia" w:ascii="宋体"/>
          <w:kern w:val="0"/>
          <w:szCs w:val="20"/>
        </w:rPr>
      </w:pPr>
      <w:r>
        <w:rPr>
          <w:rFonts w:hint="eastAsia" w:ascii="宋体"/>
          <w:kern w:val="0"/>
          <w:szCs w:val="20"/>
        </w:rPr>
        <w:t>评价机构应建立内部审核方案，审核方案应考虑被审核的过程和部门的重要性及以往审核的结果。</w:t>
      </w:r>
    </w:p>
    <w:p w14:paraId="5B3892A7">
      <w:pPr>
        <w:pStyle w:val="169"/>
        <w:bidi w:val="0"/>
        <w:ind w:left="0" w:leftChars="0" w:firstLine="0" w:firstLineChars="0"/>
        <w:rPr>
          <w:rFonts w:hint="eastAsia" w:ascii="宋体"/>
          <w:kern w:val="0"/>
          <w:szCs w:val="20"/>
        </w:rPr>
      </w:pPr>
      <w:r>
        <w:rPr>
          <w:rFonts w:hint="eastAsia" w:ascii="宋体"/>
          <w:kern w:val="0"/>
          <w:szCs w:val="20"/>
        </w:rPr>
        <w:t>评价机构应确保：</w:t>
      </w:r>
    </w:p>
    <w:p w14:paraId="4A0B6324">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a）内部审核人员应熟悉本文件要求、掌握评价知识、具有审核能力；</w:t>
      </w:r>
    </w:p>
    <w:p w14:paraId="054228A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b）实施内部审核的人员应未参与被审核的活动；</w:t>
      </w:r>
    </w:p>
    <w:p w14:paraId="3DE8B4D9">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c）将审核结果通知被审核部门的负责人；</w:t>
      </w:r>
    </w:p>
    <w:p w14:paraId="376D4A2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d）以及时和适当的方式采取措施；</w:t>
      </w:r>
    </w:p>
    <w:p w14:paraId="5E50E8E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e）识别出任何改进机会。</w:t>
      </w:r>
    </w:p>
    <w:p w14:paraId="02BEEA04">
      <w:pPr>
        <w:pStyle w:val="169"/>
        <w:bidi w:val="0"/>
        <w:ind w:left="0" w:leftChars="0" w:firstLine="0" w:firstLineChars="0"/>
        <w:rPr>
          <w:rFonts w:hint="eastAsia" w:ascii="宋体"/>
          <w:kern w:val="0"/>
          <w:szCs w:val="20"/>
        </w:rPr>
      </w:pPr>
      <w:r>
        <w:rPr>
          <w:rFonts w:hint="eastAsia" w:ascii="宋体"/>
          <w:kern w:val="0"/>
          <w:szCs w:val="20"/>
        </w:rPr>
        <w:t>内部审核应覆盖本文件规定的要素内容；</w:t>
      </w:r>
    </w:p>
    <w:p w14:paraId="42F360E7">
      <w:pPr>
        <w:pStyle w:val="169"/>
        <w:bidi w:val="0"/>
        <w:ind w:left="0" w:leftChars="0" w:firstLine="0" w:firstLineChars="0"/>
        <w:rPr>
          <w:rFonts w:hint="eastAsia" w:ascii="宋体"/>
          <w:kern w:val="0"/>
          <w:szCs w:val="20"/>
        </w:rPr>
      </w:pPr>
      <w:r>
        <w:rPr>
          <w:rFonts w:hint="eastAsia" w:ascii="宋体"/>
          <w:kern w:val="0"/>
          <w:szCs w:val="20"/>
        </w:rPr>
        <w:t>内部审核通常应每年执行1次。</w:t>
      </w:r>
    </w:p>
    <w:p w14:paraId="3D29C534">
      <w:pPr>
        <w:pStyle w:val="169"/>
        <w:bidi w:val="0"/>
        <w:ind w:left="0" w:leftChars="0" w:firstLine="0" w:firstLineChars="0"/>
        <w:rPr>
          <w:rFonts w:hint="eastAsia" w:ascii="宋体"/>
          <w:kern w:val="0"/>
          <w:szCs w:val="20"/>
        </w:rPr>
      </w:pPr>
      <w:r>
        <w:rPr>
          <w:rFonts w:hint="eastAsia" w:ascii="宋体"/>
          <w:kern w:val="0"/>
          <w:szCs w:val="20"/>
        </w:rPr>
        <w:t>如果评价机构能够证实其管理体系已按照本文件得到有效实施并具有经证实的稳定性，可降低内部审核频次。</w:t>
      </w:r>
    </w:p>
    <w:p w14:paraId="33CEDB77">
      <w:pPr>
        <w:pStyle w:val="43"/>
        <w:spacing w:before="156" w:after="156"/>
        <w:outlineLvl w:val="1"/>
        <w:rPr>
          <w:rFonts w:hint="eastAsia" w:ascii="宋体"/>
          <w:kern w:val="0"/>
          <w:szCs w:val="20"/>
        </w:rPr>
      </w:pPr>
      <w:bookmarkStart w:id="112" w:name="_Toc4071"/>
      <w:r>
        <w:rPr>
          <w:rFonts w:hint="eastAsia" w:ascii="宋体"/>
          <w:kern w:val="0"/>
          <w:szCs w:val="20"/>
        </w:rPr>
        <w:t>管理评审</w:t>
      </w:r>
      <w:bookmarkEnd w:id="112"/>
    </w:p>
    <w:p w14:paraId="0CCBDD86">
      <w:pPr>
        <w:pStyle w:val="169"/>
        <w:bidi w:val="0"/>
        <w:ind w:left="0" w:leftChars="0" w:firstLine="0" w:firstLineChars="0"/>
        <w:rPr>
          <w:rFonts w:hint="eastAsia" w:ascii="宋体"/>
          <w:kern w:val="0"/>
          <w:szCs w:val="20"/>
        </w:rPr>
      </w:pPr>
      <w:r>
        <w:rPr>
          <w:rFonts w:hint="eastAsia" w:ascii="宋体"/>
          <w:kern w:val="0"/>
          <w:szCs w:val="20"/>
        </w:rPr>
        <w:t>评价机构应建立管理评审程序文件，管理层应按策划的时间间隔对管理体系进行评审，以确保管理体系在满足包括本文件及规定方针和目标在内的相关要求方面，具有持续的充分性和有效性。管理评审通常应至少每年1次。</w:t>
      </w:r>
    </w:p>
    <w:p w14:paraId="7A14BC1E">
      <w:pPr>
        <w:pStyle w:val="169"/>
        <w:bidi w:val="0"/>
        <w:ind w:left="0" w:leftChars="0" w:firstLine="0" w:firstLineChars="0"/>
        <w:rPr>
          <w:rFonts w:hint="eastAsia" w:ascii="宋体"/>
          <w:kern w:val="0"/>
          <w:szCs w:val="20"/>
        </w:rPr>
      </w:pPr>
      <w:r>
        <w:rPr>
          <w:rFonts w:hint="eastAsia" w:ascii="宋体"/>
          <w:kern w:val="0"/>
          <w:szCs w:val="20"/>
        </w:rPr>
        <w:t>管理评审输入应包括以下内容：</w:t>
      </w:r>
    </w:p>
    <w:p w14:paraId="4AC63FC9">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a）审核（内部、外部和同行评审）结果；</w:t>
      </w:r>
    </w:p>
    <w:p w14:paraId="4D0E28DC">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b）维护公正性；</w:t>
      </w:r>
    </w:p>
    <w:p w14:paraId="01B7076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c）来自相关方的反馈；</w:t>
      </w:r>
    </w:p>
    <w:p w14:paraId="24E72C3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d）新的评价领域范围；</w:t>
      </w:r>
    </w:p>
    <w:p w14:paraId="178C043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e）不符合的趋势；</w:t>
      </w:r>
    </w:p>
    <w:p w14:paraId="1B37B7D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f）纠正措施的状况；</w:t>
      </w:r>
    </w:p>
    <w:p w14:paraId="5DA20F88">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g）应对风险的措施的状况；</w:t>
      </w:r>
    </w:p>
    <w:p w14:paraId="7A0BA5E1">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h）以往管理评审的后续措施；</w:t>
      </w:r>
    </w:p>
    <w:p w14:paraId="2737A300">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i）目标的实现情况；</w:t>
      </w:r>
    </w:p>
    <w:p w14:paraId="4AEEB39A">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j）可能影响管理体系的变化；</w:t>
      </w:r>
    </w:p>
    <w:p w14:paraId="7E254FEE">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k）对申诉、投诉的分析。</w:t>
      </w:r>
    </w:p>
    <w:p w14:paraId="4EBEC84E">
      <w:pPr>
        <w:pStyle w:val="169"/>
        <w:bidi w:val="0"/>
        <w:ind w:left="0" w:leftChars="0" w:firstLine="0" w:firstLineChars="0"/>
        <w:rPr>
          <w:rFonts w:hint="eastAsia" w:ascii="宋体"/>
          <w:kern w:val="0"/>
          <w:szCs w:val="20"/>
        </w:rPr>
      </w:pPr>
      <w:r>
        <w:rPr>
          <w:rFonts w:hint="eastAsia" w:ascii="宋体"/>
          <w:kern w:val="0"/>
          <w:szCs w:val="20"/>
        </w:rPr>
        <w:t>管理评审输出应包括以下相关措施：</w:t>
      </w:r>
    </w:p>
    <w:p w14:paraId="272830FF">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a）管理体系及其过程的改进；</w:t>
      </w:r>
    </w:p>
    <w:p w14:paraId="34C9F8A3">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b）对评价过程的改进，以符合相关要求、满足相关方期望；</w:t>
      </w:r>
    </w:p>
    <w:p w14:paraId="559ADEA4">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hint="eastAsia" w:ascii="宋体"/>
          <w:kern w:val="0"/>
          <w:szCs w:val="20"/>
        </w:rPr>
      </w:pPr>
      <w:r>
        <w:rPr>
          <w:rFonts w:hint="eastAsia" w:ascii="宋体"/>
          <w:kern w:val="0"/>
          <w:szCs w:val="20"/>
        </w:rPr>
        <w:t>c）对资源的需求；</w:t>
      </w:r>
    </w:p>
    <w:p w14:paraId="779EDEEB">
      <w:pPr>
        <w:keepNext w:val="0"/>
        <w:keepLines w:val="0"/>
        <w:pageBreakBefore w:val="0"/>
        <w:widowControl/>
        <w:kinsoku/>
        <w:wordWrap/>
        <w:overflowPunct/>
        <w:topLinePunct w:val="0"/>
        <w:autoSpaceDE w:val="0"/>
        <w:autoSpaceDN w:val="0"/>
        <w:bidi w:val="0"/>
        <w:adjustRightInd/>
        <w:snapToGrid/>
        <w:ind w:left="735" w:leftChars="200" w:hanging="315" w:hangingChars="150"/>
        <w:textAlignment w:val="auto"/>
        <w:rPr>
          <w:rFonts w:ascii="宋体"/>
          <w:kern w:val="0"/>
          <w:szCs w:val="20"/>
        </w:rPr>
      </w:pPr>
      <w:r>
        <w:rPr>
          <w:rFonts w:hint="eastAsia" w:ascii="宋体"/>
          <w:kern w:val="0"/>
          <w:szCs w:val="20"/>
        </w:rPr>
        <w:t>d）确定或重新确定方针和目标。</w:t>
      </w:r>
    </w:p>
    <w:p w14:paraId="6E2F1431">
      <w:pPr>
        <w:widowControl/>
        <w:autoSpaceDE w:val="0"/>
        <w:autoSpaceDN w:val="0"/>
        <w:ind w:firstLine="420" w:firstLineChars="200"/>
        <w:rPr>
          <w:rFonts w:ascii="宋体"/>
          <w:kern w:val="0"/>
          <w:szCs w:val="20"/>
        </w:rPr>
      </w:pPr>
    </w:p>
    <w:p w14:paraId="1FC04B42">
      <w:pPr>
        <w:rPr>
          <w:rFonts w:ascii="宋体"/>
          <w:kern w:val="0"/>
          <w:szCs w:val="20"/>
        </w:rPr>
      </w:pPr>
      <w:r>
        <w:rPr>
          <w:rFonts w:ascii="宋体"/>
          <w:kern w:val="0"/>
          <w:szCs w:val="20"/>
        </w:rPr>
        <w:br w:type="page"/>
      </w:r>
    </w:p>
    <w:p w14:paraId="62C74D35">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0"/>
        <w:rPr>
          <w:rFonts w:hint="eastAsia" w:ascii="宋体" w:eastAsia="宋体"/>
          <w:bCs/>
          <w:szCs w:val="22"/>
        </w:rPr>
      </w:pPr>
      <w:bookmarkStart w:id="113" w:name="_Toc32573"/>
      <w:bookmarkStart w:id="114" w:name="_Toc26196"/>
      <w:r>
        <w:rPr>
          <w:rFonts w:hint="eastAsia" w:ascii="宋体" w:eastAsia="宋体"/>
          <w:b/>
          <w:bCs w:val="0"/>
          <w:szCs w:val="22"/>
        </w:rPr>
        <w:t>附录A</w:t>
      </w:r>
      <w:r>
        <w:rPr>
          <w:rFonts w:hint="eastAsia" w:ascii="宋体" w:eastAsia="宋体"/>
          <w:b/>
          <w:bCs w:val="0"/>
          <w:szCs w:val="22"/>
        </w:rPr>
        <w:br w:type="textWrapping"/>
      </w:r>
      <w:r>
        <w:rPr>
          <w:rFonts w:hint="eastAsia" w:ascii="宋体"/>
          <w:b/>
          <w:bCs w:val="0"/>
          <w:szCs w:val="22"/>
          <w:lang w:val="en-US" w:eastAsia="zh-CN"/>
        </w:rPr>
        <w:t>(</w:t>
      </w:r>
      <w:r>
        <w:rPr>
          <w:rFonts w:hint="eastAsia" w:ascii="宋体" w:eastAsia="宋体"/>
          <w:b/>
          <w:bCs w:val="0"/>
          <w:szCs w:val="22"/>
        </w:rPr>
        <w:t>资料性</w:t>
      </w:r>
      <w:r>
        <w:rPr>
          <w:rFonts w:hint="eastAsia" w:ascii="宋体"/>
          <w:b/>
          <w:bCs w:val="0"/>
          <w:szCs w:val="22"/>
          <w:lang w:val="en-US" w:eastAsia="zh-CN"/>
        </w:rPr>
        <w:t>)</w:t>
      </w:r>
      <w:r>
        <w:rPr>
          <w:rFonts w:hint="eastAsia" w:ascii="宋体" w:eastAsia="宋体"/>
          <w:b/>
          <w:bCs w:val="0"/>
          <w:szCs w:val="22"/>
        </w:rPr>
        <w:br w:type="textWrapping"/>
      </w:r>
      <w:r>
        <w:rPr>
          <w:rFonts w:hint="eastAsia" w:ascii="宋体"/>
          <w:b/>
          <w:bCs w:val="0"/>
          <w:szCs w:val="22"/>
          <w:lang w:val="en-US" w:eastAsia="zh-CN"/>
        </w:rPr>
        <w:t>科技成果评价领域分类</w:t>
      </w:r>
      <w:bookmarkEnd w:id="113"/>
      <w:bookmarkEnd w:id="114"/>
    </w:p>
    <w:p w14:paraId="25DC8442">
      <w:pPr>
        <w:widowControl/>
        <w:autoSpaceDE w:val="0"/>
        <w:autoSpaceDN w:val="0"/>
        <w:ind w:firstLine="420" w:firstLineChars="200"/>
        <w:rPr>
          <w:rFonts w:hint="eastAsia" w:ascii="宋体" w:eastAsia="宋体"/>
          <w:bCs/>
          <w:szCs w:val="22"/>
        </w:rPr>
      </w:pPr>
      <w:r>
        <w:rPr>
          <w:rFonts w:hint="eastAsia" w:ascii="宋体"/>
          <w:bCs/>
          <w:szCs w:val="22"/>
          <w:lang w:val="en-US" w:eastAsia="zh-CN"/>
        </w:rPr>
        <w:t>科技</w:t>
      </w:r>
      <w:r>
        <w:rPr>
          <w:rFonts w:hint="eastAsia" w:ascii="宋体"/>
          <w:kern w:val="0"/>
          <w:szCs w:val="20"/>
          <w:lang w:val="en-US" w:eastAsia="zh-CN"/>
        </w:rPr>
        <w:t>成果</w:t>
      </w:r>
      <w:r>
        <w:rPr>
          <w:rFonts w:hint="eastAsia" w:ascii="宋体"/>
          <w:bCs/>
          <w:szCs w:val="22"/>
          <w:lang w:val="en-US" w:eastAsia="zh-CN"/>
        </w:rPr>
        <w:t>评价领域分类</w:t>
      </w:r>
      <w:r>
        <w:rPr>
          <w:rFonts w:hint="eastAsia" w:ascii="宋体" w:eastAsia="宋体"/>
          <w:bCs/>
          <w:szCs w:val="22"/>
        </w:rPr>
        <w:t>见表A.1。</w:t>
      </w:r>
    </w:p>
    <w:p w14:paraId="11EA5B2B">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Cs/>
          <w:szCs w:val="22"/>
          <w:lang w:val="en-US" w:eastAsia="zh-CN"/>
        </w:rPr>
      </w:pPr>
      <w:r>
        <w:rPr>
          <w:rFonts w:hint="eastAsia" w:ascii="宋体" w:eastAsia="宋体"/>
          <w:b/>
          <w:bCs w:val="0"/>
          <w:szCs w:val="22"/>
        </w:rPr>
        <w:t xml:space="preserve">表A.1 </w:t>
      </w:r>
      <w:r>
        <w:rPr>
          <w:rFonts w:hint="eastAsia" w:ascii="宋体"/>
          <w:b/>
          <w:bCs w:val="0"/>
          <w:szCs w:val="22"/>
          <w:lang w:val="en-US" w:eastAsia="zh-CN"/>
        </w:rPr>
        <w:t>科技成果评价领域分类</w:t>
      </w:r>
    </w:p>
    <w:tbl>
      <w:tblPr>
        <w:tblStyle w:val="33"/>
        <w:tblW w:w="79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7"/>
        <w:gridCol w:w="6741"/>
      </w:tblGrid>
      <w:tr w14:paraId="6355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blHeader/>
          <w:jc w:val="center"/>
        </w:trPr>
        <w:tc>
          <w:tcPr>
            <w:tcW w:w="1167"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4636FF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序号</w:t>
            </w:r>
          </w:p>
        </w:tc>
        <w:tc>
          <w:tcPr>
            <w:tcW w:w="6741" w:type="dxa"/>
            <w:tcBorders>
              <w:top w:val="single" w:color="000000" w:sz="6" w:space="0"/>
              <w:left w:val="single" w:color="000000" w:sz="6" w:space="0"/>
              <w:bottom w:val="single" w:color="000000" w:sz="6" w:space="0"/>
              <w:right w:val="single" w:color="000000" w:sz="6" w:space="0"/>
            </w:tcBorders>
            <w:shd w:val="clear" w:color="auto" w:fill="auto"/>
            <w:noWrap w:val="0"/>
            <w:vAlign w:val="center"/>
          </w:tcPr>
          <w:p w14:paraId="2B9820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一二三级分类</w:t>
            </w:r>
          </w:p>
        </w:tc>
      </w:tr>
      <w:tr w14:paraId="5BD9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6" w:space="0"/>
              <w:left w:val="single" w:color="000000" w:sz="6" w:space="0"/>
              <w:bottom w:val="single" w:color="000000" w:sz="4" w:space="0"/>
              <w:right w:val="single" w:color="000000" w:sz="4" w:space="0"/>
            </w:tcBorders>
            <w:shd w:val="clear" w:color="auto" w:fill="auto"/>
            <w:noWrap w:val="0"/>
            <w:vAlign w:val="center"/>
          </w:tcPr>
          <w:p w14:paraId="1D4730A4">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6741" w:type="dxa"/>
            <w:tcBorders>
              <w:top w:val="single" w:color="000000" w:sz="6" w:space="0"/>
              <w:left w:val="single" w:color="000000" w:sz="4" w:space="0"/>
              <w:bottom w:val="single" w:color="000000" w:sz="4" w:space="0"/>
              <w:right w:val="single" w:color="000000" w:sz="6" w:space="0"/>
            </w:tcBorders>
            <w:shd w:val="clear" w:color="auto" w:fill="auto"/>
            <w:noWrap w:val="0"/>
            <w:vAlign w:val="center"/>
          </w:tcPr>
          <w:p w14:paraId="4F710D3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电子信息</w:t>
            </w:r>
          </w:p>
        </w:tc>
      </w:tr>
      <w:tr w14:paraId="34EC1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AC5680E">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26241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软件</w:t>
            </w:r>
          </w:p>
        </w:tc>
      </w:tr>
      <w:tr w14:paraId="633F6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B9CA9A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AE383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基础软件</w:t>
            </w:r>
          </w:p>
        </w:tc>
      </w:tr>
      <w:tr w14:paraId="34CA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02E17E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C8E796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嵌入式软件</w:t>
            </w:r>
          </w:p>
        </w:tc>
      </w:tr>
      <w:tr w14:paraId="67B59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C7045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3823E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计算机辅助设计与辅助工程管理软件</w:t>
            </w:r>
          </w:p>
        </w:tc>
      </w:tr>
      <w:tr w14:paraId="7582F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22C5E6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1125B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中文及多语种处理软件</w:t>
            </w:r>
          </w:p>
        </w:tc>
      </w:tr>
      <w:tr w14:paraId="35451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EE6707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D56430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图形和图像处理软件</w:t>
            </w:r>
          </w:p>
        </w:tc>
      </w:tr>
      <w:tr w14:paraId="2E0FD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F4BE00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D9FFA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地理信息系统（GIS）软件</w:t>
            </w:r>
          </w:p>
        </w:tc>
      </w:tr>
      <w:tr w14:paraId="58878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5C45B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E422B9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电子商务软件</w:t>
            </w:r>
          </w:p>
        </w:tc>
      </w:tr>
      <w:tr w14:paraId="555D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A03CCF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7E3106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电子政务软件</w:t>
            </w:r>
          </w:p>
        </w:tc>
      </w:tr>
      <w:tr w14:paraId="76320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CA9E53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6FC66C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 企业管理软件</w:t>
            </w:r>
          </w:p>
        </w:tc>
      </w:tr>
      <w:tr w14:paraId="4EDC9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626C2F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0686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 物联网应用软件</w:t>
            </w:r>
          </w:p>
        </w:tc>
      </w:tr>
      <w:tr w14:paraId="3115D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5047AC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68DD8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 云计算与移动互联网软件</w:t>
            </w:r>
          </w:p>
        </w:tc>
      </w:tr>
      <w:tr w14:paraId="639A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9F7458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2466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 Web服务与集成软件</w:t>
            </w:r>
          </w:p>
        </w:tc>
      </w:tr>
      <w:tr w14:paraId="330D8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86A3902">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030470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微电子技术</w:t>
            </w:r>
          </w:p>
        </w:tc>
      </w:tr>
      <w:tr w14:paraId="1B56B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62F1C9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B0E4E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集成电路设计技术</w:t>
            </w:r>
          </w:p>
        </w:tc>
      </w:tr>
      <w:tr w14:paraId="7A4D1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548031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97754E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集成电路产品设计技术</w:t>
            </w:r>
          </w:p>
        </w:tc>
      </w:tr>
      <w:tr w14:paraId="0C538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9AE654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F1B02D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集成电路封装技术</w:t>
            </w:r>
          </w:p>
        </w:tc>
      </w:tr>
      <w:tr w14:paraId="76724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540738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645DC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集成电路测试技术</w:t>
            </w:r>
          </w:p>
        </w:tc>
      </w:tr>
      <w:tr w14:paraId="577DF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787EE2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588AF8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集成电路芯片制造工艺技术</w:t>
            </w:r>
          </w:p>
        </w:tc>
      </w:tr>
      <w:tr w14:paraId="394C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FAB7BF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9B34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集成光电子器件设计、制造与工艺技术</w:t>
            </w:r>
          </w:p>
        </w:tc>
      </w:tr>
      <w:tr w14:paraId="47618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09FA17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33D2AF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计算机产品及其网络应用技术</w:t>
            </w:r>
          </w:p>
        </w:tc>
      </w:tr>
      <w:tr w14:paraId="13B79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1F3BE0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CA505B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计算机及终端设计与制造技术</w:t>
            </w:r>
          </w:p>
        </w:tc>
      </w:tr>
      <w:tr w14:paraId="0807B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E0A83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D34E24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计算机外围设备设计与制造技术</w:t>
            </w:r>
          </w:p>
        </w:tc>
      </w:tr>
      <w:tr w14:paraId="1E710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C2A9B6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92E044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网络设备设计与制造技术</w:t>
            </w:r>
          </w:p>
        </w:tc>
      </w:tr>
      <w:tr w14:paraId="71570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5951AC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21101B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网络应用技术</w:t>
            </w:r>
          </w:p>
        </w:tc>
      </w:tr>
      <w:tr w14:paraId="05B03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D6D2B19">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4D9C9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通信技术</w:t>
            </w:r>
          </w:p>
        </w:tc>
      </w:tr>
      <w:tr w14:paraId="63FA4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30AA4B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E742E7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通信网络技术</w:t>
            </w:r>
          </w:p>
        </w:tc>
      </w:tr>
      <w:tr w14:paraId="4AD46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477B82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2E70DC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光传输系统技术</w:t>
            </w:r>
          </w:p>
        </w:tc>
      </w:tr>
      <w:tr w14:paraId="57E1E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F74D7A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C27A6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有线宽带接入系统技术</w:t>
            </w:r>
          </w:p>
        </w:tc>
      </w:tr>
      <w:tr w14:paraId="1C5E7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036AA1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13D552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移动通信系统技术</w:t>
            </w:r>
          </w:p>
        </w:tc>
      </w:tr>
      <w:tr w14:paraId="08D2A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FA06B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65E16C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宽带无线通信系统技术</w:t>
            </w:r>
          </w:p>
        </w:tc>
      </w:tr>
      <w:tr w14:paraId="02C1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C49FD2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25A3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卫星通信系统技术</w:t>
            </w:r>
          </w:p>
        </w:tc>
      </w:tr>
      <w:tr w14:paraId="3AE3D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EB1F75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8A433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微波通信系统技术</w:t>
            </w:r>
          </w:p>
        </w:tc>
      </w:tr>
      <w:tr w14:paraId="50788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BE38B2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3A1FBF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物联网设备、部件及组网技术</w:t>
            </w:r>
          </w:p>
        </w:tc>
      </w:tr>
      <w:tr w14:paraId="32B88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C9C6DF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1A023E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 电信网络运营支撑管理技术</w:t>
            </w:r>
          </w:p>
        </w:tc>
      </w:tr>
      <w:tr w14:paraId="6D884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E27D20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0129E2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 电信网与互联网增值业务应用技术</w:t>
            </w:r>
          </w:p>
        </w:tc>
      </w:tr>
      <w:tr w14:paraId="19BA8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6010063">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FDE4C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广播影视技术</w:t>
            </w:r>
          </w:p>
        </w:tc>
      </w:tr>
      <w:tr w14:paraId="2757B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CAA5B3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1FD701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广播电视节目采编播系统技术</w:t>
            </w:r>
          </w:p>
        </w:tc>
      </w:tr>
      <w:tr w14:paraId="32B5B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4555F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E7F1A7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广播电视业务集成与支撑系统技术</w:t>
            </w:r>
          </w:p>
        </w:tc>
      </w:tr>
      <w:tr w14:paraId="078D3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4DDD4A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44A11C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有线传输与覆盖系统技术</w:t>
            </w:r>
          </w:p>
        </w:tc>
      </w:tr>
      <w:tr w14:paraId="3BA9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770CA2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A9225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无线传输与覆盖系统技术</w:t>
            </w:r>
          </w:p>
        </w:tc>
      </w:tr>
      <w:tr w14:paraId="3AF06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59EDD5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BF11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广播电视监测监管、安全运行与维护系统技术</w:t>
            </w:r>
          </w:p>
        </w:tc>
      </w:tr>
      <w:tr w14:paraId="6F573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9A81A9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F2F1E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数字电影系统技术</w:t>
            </w:r>
          </w:p>
        </w:tc>
      </w:tr>
      <w:tr w14:paraId="5C85D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EDDE59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DAC677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数字电视终端技术</w:t>
            </w:r>
          </w:p>
        </w:tc>
      </w:tr>
      <w:tr w14:paraId="335FB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E65CE5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C161E1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专业视频应用服务平台技术</w:t>
            </w:r>
          </w:p>
        </w:tc>
      </w:tr>
      <w:tr w14:paraId="0C77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5D412B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9E27B8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 音响、光盘技术</w:t>
            </w:r>
          </w:p>
        </w:tc>
      </w:tr>
      <w:tr w14:paraId="63A26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658F22A">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52986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新型电子元器件</w:t>
            </w:r>
          </w:p>
        </w:tc>
      </w:tr>
      <w:tr w14:paraId="5BD68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F117EB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C5CD7B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半导体发光技术</w:t>
            </w:r>
          </w:p>
        </w:tc>
      </w:tr>
      <w:tr w14:paraId="19A7B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EC8360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5442C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片式和集成无源元件</w:t>
            </w:r>
          </w:p>
        </w:tc>
      </w:tr>
      <w:tr w14:paraId="5AC42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F6347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F0FFB5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大功率半导体器件</w:t>
            </w:r>
          </w:p>
        </w:tc>
      </w:tr>
      <w:tr w14:paraId="21ED3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03E810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F02468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专用特种器件</w:t>
            </w:r>
          </w:p>
        </w:tc>
      </w:tr>
      <w:tr w14:paraId="65F9E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601FA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E18D84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敏感元器件与传感器</w:t>
            </w:r>
          </w:p>
        </w:tc>
      </w:tr>
      <w:tr w14:paraId="3C4B1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B70C86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DCBDE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中高档机电组件</w:t>
            </w:r>
          </w:p>
        </w:tc>
      </w:tr>
      <w:tr w14:paraId="1326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F9C9E1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70EA2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平板显示器件</w:t>
            </w:r>
          </w:p>
        </w:tc>
      </w:tr>
      <w:tr w14:paraId="616A0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48D90BF">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5DB8A1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信息安全技术</w:t>
            </w:r>
          </w:p>
        </w:tc>
      </w:tr>
      <w:tr w14:paraId="70AB5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990312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354AE3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密码技术</w:t>
            </w:r>
          </w:p>
        </w:tc>
      </w:tr>
      <w:tr w14:paraId="64E7D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2C3F08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E795BB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认证授权技术</w:t>
            </w:r>
          </w:p>
        </w:tc>
      </w:tr>
      <w:tr w14:paraId="5FDFC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0603B9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4420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系统与软件安全技术</w:t>
            </w:r>
          </w:p>
        </w:tc>
      </w:tr>
      <w:tr w14:paraId="1AD23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25C35B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4371F7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网络与通信安全技术</w:t>
            </w:r>
          </w:p>
        </w:tc>
      </w:tr>
      <w:tr w14:paraId="60894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8B232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657071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安全保密技术</w:t>
            </w:r>
          </w:p>
        </w:tc>
      </w:tr>
      <w:tr w14:paraId="3D697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E1B523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416A0A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安全测评技术</w:t>
            </w:r>
          </w:p>
        </w:tc>
      </w:tr>
      <w:tr w14:paraId="7620F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9B78E5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35335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安全管理技术</w:t>
            </w:r>
          </w:p>
        </w:tc>
      </w:tr>
      <w:tr w14:paraId="5BBBC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BA9491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83FAA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应用安全技术</w:t>
            </w:r>
          </w:p>
        </w:tc>
      </w:tr>
      <w:tr w14:paraId="7197F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F497B54">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70819F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智能交通和轨道交通技术</w:t>
            </w:r>
          </w:p>
        </w:tc>
      </w:tr>
      <w:tr w14:paraId="0817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43177A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CD105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交通控制与管理技术</w:t>
            </w:r>
          </w:p>
        </w:tc>
      </w:tr>
      <w:tr w14:paraId="0961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32639D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58C96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交通基础信息采集、处理技术</w:t>
            </w:r>
          </w:p>
        </w:tc>
      </w:tr>
      <w:tr w14:paraId="3A2F9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DE630A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4297F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交通运输运营管理技术</w:t>
            </w:r>
          </w:p>
        </w:tc>
      </w:tr>
      <w:tr w14:paraId="47A19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DD6CD0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F5975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车、船载电子设备技术</w:t>
            </w:r>
          </w:p>
        </w:tc>
      </w:tr>
      <w:tr w14:paraId="13E01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569B2E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AF4CBD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轨道交通车辆及运行保障技术</w:t>
            </w:r>
          </w:p>
        </w:tc>
      </w:tr>
      <w:tr w14:paraId="69546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C94B46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74A406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轨道交通运营管理与服务技术</w:t>
            </w:r>
          </w:p>
        </w:tc>
      </w:tr>
      <w:tr w14:paraId="07FD0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A8E1E3C">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403FB1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生物与医药</w:t>
            </w:r>
          </w:p>
        </w:tc>
      </w:tr>
      <w:tr w14:paraId="1DBE1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70BCBDA">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7FA249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医药生物技术</w:t>
            </w:r>
          </w:p>
        </w:tc>
      </w:tr>
      <w:tr w14:paraId="73435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5D4391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E7525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新型疫苗</w:t>
            </w:r>
          </w:p>
        </w:tc>
      </w:tr>
      <w:tr w14:paraId="7CF7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62EEE5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D181D4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生物治疗技术和基因工程药物</w:t>
            </w:r>
          </w:p>
        </w:tc>
      </w:tr>
      <w:tr w14:paraId="46249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149809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165AD9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快速生物检测技术</w:t>
            </w:r>
          </w:p>
        </w:tc>
      </w:tr>
      <w:tr w14:paraId="555BB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1F22D8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786D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生物大分子类药物研发技术</w:t>
            </w:r>
          </w:p>
        </w:tc>
      </w:tr>
      <w:tr w14:paraId="62570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D49F2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0C8354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天然药物生物合成制备技术</w:t>
            </w:r>
          </w:p>
        </w:tc>
      </w:tr>
      <w:tr w14:paraId="43E4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4B0976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D01BC8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生物分离介质、试剂、装置及相关检测技术</w:t>
            </w:r>
          </w:p>
        </w:tc>
      </w:tr>
      <w:tr w14:paraId="499A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9F2A77B">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2D39E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中药、天然药物</w:t>
            </w:r>
          </w:p>
        </w:tc>
      </w:tr>
      <w:tr w14:paraId="0E10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0B0E85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06F10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中药资源可持续利用与生态保护技术</w:t>
            </w:r>
          </w:p>
        </w:tc>
      </w:tr>
      <w:tr w14:paraId="553A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BCA1D4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FE94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创新药物研发技术</w:t>
            </w:r>
          </w:p>
        </w:tc>
      </w:tr>
      <w:tr w14:paraId="4B284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A15ABD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F1F538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中成药二次开发技术</w:t>
            </w:r>
          </w:p>
        </w:tc>
      </w:tr>
      <w:tr w14:paraId="5605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098957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23241D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中药质控及有害物质检测技术</w:t>
            </w:r>
          </w:p>
        </w:tc>
      </w:tr>
      <w:tr w14:paraId="62F0C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68A0D76">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068519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化学药研发技术</w:t>
            </w:r>
          </w:p>
        </w:tc>
      </w:tr>
      <w:tr w14:paraId="7ECD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0C863C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7918AF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创新药物技术</w:t>
            </w:r>
          </w:p>
        </w:tc>
      </w:tr>
      <w:tr w14:paraId="11187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2BB9F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342D4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手性药物创制技术</w:t>
            </w:r>
          </w:p>
        </w:tc>
      </w:tr>
      <w:tr w14:paraId="01CC1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EE52D3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5BC373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晶型药物创制技术</w:t>
            </w:r>
          </w:p>
        </w:tc>
      </w:tr>
      <w:tr w14:paraId="277FA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98CA6B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0F692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国家基本药物生产技术</w:t>
            </w:r>
          </w:p>
        </w:tc>
      </w:tr>
      <w:tr w14:paraId="3BEDA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C67E59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7987F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国家基本药物原料药和重要中间体的技术</w:t>
            </w:r>
          </w:p>
        </w:tc>
      </w:tr>
      <w:tr w14:paraId="22B29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3376F57">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3E410C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药物新剂型与制剂创制技术</w:t>
            </w:r>
          </w:p>
        </w:tc>
      </w:tr>
      <w:tr w14:paraId="6CE5F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DEFBAD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2E6FF3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创新制剂技术</w:t>
            </w:r>
          </w:p>
        </w:tc>
      </w:tr>
      <w:tr w14:paraId="10031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CE48F5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ACB44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新型给药制剂技术</w:t>
            </w:r>
          </w:p>
        </w:tc>
      </w:tr>
      <w:tr w14:paraId="06671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F3C381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6B3CAA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制剂新辅料开发及生产技术</w:t>
            </w:r>
          </w:p>
        </w:tc>
      </w:tr>
      <w:tr w14:paraId="7D8C7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DEB8F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FED988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制药装备技术</w:t>
            </w:r>
          </w:p>
        </w:tc>
      </w:tr>
      <w:tr w14:paraId="46FB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D700176">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7FBBA6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医疗仪器、设备与医学专用软件</w:t>
            </w:r>
          </w:p>
        </w:tc>
      </w:tr>
      <w:tr w14:paraId="52E6B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2DC774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FCE3BE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医学影像诊断技术</w:t>
            </w:r>
          </w:p>
        </w:tc>
      </w:tr>
      <w:tr w14:paraId="28290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F40E6F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54FB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新型治疗、急救与康复技术</w:t>
            </w:r>
          </w:p>
        </w:tc>
      </w:tr>
      <w:tr w14:paraId="1089A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FF2E52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19FCB6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新型电生理检测和监护技术</w:t>
            </w:r>
          </w:p>
        </w:tc>
      </w:tr>
      <w:tr w14:paraId="45562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D16942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97C6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医学检验技术及新设备</w:t>
            </w:r>
          </w:p>
        </w:tc>
      </w:tr>
      <w:tr w14:paraId="3BF95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00BC75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8C898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医学专用网络新型软件</w:t>
            </w:r>
          </w:p>
        </w:tc>
      </w:tr>
      <w:tr w14:paraId="33CAE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0115E7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6D77E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医用探测及射线计量检测技术</w:t>
            </w:r>
          </w:p>
        </w:tc>
      </w:tr>
      <w:tr w14:paraId="09504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4D13EC3">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1CFF56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轻工和化工生物技术</w:t>
            </w:r>
          </w:p>
        </w:tc>
      </w:tr>
      <w:tr w14:paraId="4DF6F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76031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22860D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高效工业酶制备与生物催化技术</w:t>
            </w:r>
          </w:p>
        </w:tc>
      </w:tr>
      <w:tr w14:paraId="27DD2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7C262E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AE025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微生物发酵技术</w:t>
            </w:r>
          </w:p>
        </w:tc>
      </w:tr>
      <w:tr w14:paraId="08F50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E6F245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F6B975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生物反应及分离技术</w:t>
            </w:r>
          </w:p>
        </w:tc>
      </w:tr>
      <w:tr w14:paraId="17090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7658FC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332A5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天然产物有效成份的分离提取技术</w:t>
            </w:r>
          </w:p>
        </w:tc>
      </w:tr>
      <w:tr w14:paraId="50979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2DA1E2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E292C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食品安全生产与评价技术</w:t>
            </w:r>
          </w:p>
        </w:tc>
      </w:tr>
      <w:tr w14:paraId="2FFB8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379C7E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3CA22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食品安全检测技术</w:t>
            </w:r>
          </w:p>
        </w:tc>
      </w:tr>
      <w:tr w14:paraId="5F5EB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77A400">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809585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农业生物技术</w:t>
            </w:r>
          </w:p>
        </w:tc>
      </w:tr>
      <w:tr w14:paraId="1BB67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CAE408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0CFE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农林植物优良新品种与优质高效安全生产技术</w:t>
            </w:r>
          </w:p>
        </w:tc>
      </w:tr>
      <w:tr w14:paraId="3242A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963692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DC9B8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畜禽水产优良新品种与健康养殖技术</w:t>
            </w:r>
          </w:p>
        </w:tc>
      </w:tr>
      <w:tr w14:paraId="08B01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9AA077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B60C60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重大农林生物灾害与动物疫病防控技术</w:t>
            </w:r>
          </w:p>
        </w:tc>
      </w:tr>
      <w:tr w14:paraId="07AB0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72C7D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B78F3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现代农业装备与信息化技术</w:t>
            </w:r>
          </w:p>
        </w:tc>
      </w:tr>
      <w:tr w14:paraId="629B4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202F1F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5EC964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农业面源和重金属污染农田综合防治与修复技术</w:t>
            </w:r>
          </w:p>
        </w:tc>
      </w:tr>
      <w:tr w14:paraId="71B4E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36546B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4E838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航空航天</w:t>
            </w:r>
          </w:p>
        </w:tc>
      </w:tr>
      <w:tr w14:paraId="4D3A5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5F80817">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E9813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航空技术</w:t>
            </w:r>
          </w:p>
        </w:tc>
      </w:tr>
      <w:tr w14:paraId="3D287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708A93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A9F2BE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飞行器</w:t>
            </w:r>
          </w:p>
        </w:tc>
      </w:tr>
      <w:tr w14:paraId="43FED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DACF1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24FBC6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飞行器动力技术</w:t>
            </w:r>
          </w:p>
        </w:tc>
      </w:tr>
      <w:tr w14:paraId="3C469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B1239C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10ADA1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飞行器系统技术</w:t>
            </w:r>
          </w:p>
        </w:tc>
      </w:tr>
      <w:tr w14:paraId="6BBAA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71E3C6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354AD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飞行器制造与材料技术</w:t>
            </w:r>
          </w:p>
        </w:tc>
      </w:tr>
      <w:tr w14:paraId="3B949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E1F10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6EDF27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空中管制技术</w:t>
            </w:r>
          </w:p>
        </w:tc>
      </w:tr>
      <w:tr w14:paraId="10CD4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477FB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CBBAE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民航及通用航空运行保障技术</w:t>
            </w:r>
          </w:p>
        </w:tc>
      </w:tr>
      <w:tr w14:paraId="215BD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6FAFB7E">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1740F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航天技术</w:t>
            </w:r>
          </w:p>
        </w:tc>
      </w:tr>
      <w:tr w14:paraId="6EB33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B54B6D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E97BC3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卫星总体技术</w:t>
            </w:r>
          </w:p>
        </w:tc>
      </w:tr>
      <w:tr w14:paraId="601B7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3CC3A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01E8C2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运载火箭技术</w:t>
            </w:r>
          </w:p>
        </w:tc>
      </w:tr>
      <w:tr w14:paraId="2B9E3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D9B34C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33E9E8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卫星平台技术</w:t>
            </w:r>
          </w:p>
        </w:tc>
      </w:tr>
      <w:tr w14:paraId="58067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9D4B0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F55743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卫星有效载荷技术</w:t>
            </w:r>
          </w:p>
        </w:tc>
      </w:tr>
      <w:tr w14:paraId="63E56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12D2BD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4665DE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航天测控技术</w:t>
            </w:r>
          </w:p>
        </w:tc>
      </w:tr>
      <w:tr w14:paraId="3B29E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0A0CBB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0D2883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航天电子与航天材料制造技术</w:t>
            </w:r>
          </w:p>
        </w:tc>
      </w:tr>
      <w:tr w14:paraId="3806A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BA4B4E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3A5265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先进航天动力设计技术</w:t>
            </w:r>
          </w:p>
        </w:tc>
      </w:tr>
      <w:tr w14:paraId="01142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9B16DA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5793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卫星应用技术</w:t>
            </w:r>
          </w:p>
        </w:tc>
      </w:tr>
      <w:tr w14:paraId="31E66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70129AF">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C38C5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新材料</w:t>
            </w:r>
          </w:p>
        </w:tc>
      </w:tr>
      <w:tr w14:paraId="7DEBB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BF41C1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420BD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金属材料</w:t>
            </w:r>
          </w:p>
        </w:tc>
      </w:tr>
      <w:tr w14:paraId="0B243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E11D99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3C76A4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精品钢材制备技术</w:t>
            </w:r>
          </w:p>
        </w:tc>
      </w:tr>
      <w:tr w14:paraId="4655D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91E84F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543FD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铝、铜、镁、钛合金清洁生产与深加工技术</w:t>
            </w:r>
          </w:p>
        </w:tc>
      </w:tr>
      <w:tr w14:paraId="58DFF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349F3C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730699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稀有、稀土金属精深产品制备技术</w:t>
            </w:r>
          </w:p>
        </w:tc>
      </w:tr>
      <w:tr w14:paraId="08DF9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B5A731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028FD3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纳米及粉末冶金新材料制备与应用技术</w:t>
            </w:r>
          </w:p>
        </w:tc>
      </w:tr>
      <w:tr w14:paraId="2445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FC9BB3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91074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金属及金属基复合新材料制备技术</w:t>
            </w:r>
          </w:p>
        </w:tc>
      </w:tr>
      <w:tr w14:paraId="3907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F3607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2B90BE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半导体新材料制备与应用技术</w:t>
            </w:r>
          </w:p>
        </w:tc>
      </w:tr>
      <w:tr w14:paraId="65E7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718D09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C3569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电工、微电子和光电子新材料制备与应用技术</w:t>
            </w:r>
          </w:p>
        </w:tc>
      </w:tr>
      <w:tr w14:paraId="2F658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92E83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D05A2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超导、高效能电池等其它新材料制备与应用技术</w:t>
            </w:r>
          </w:p>
        </w:tc>
      </w:tr>
      <w:tr w14:paraId="19D5B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42F0DD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7B9E43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无机非金属材料</w:t>
            </w:r>
          </w:p>
        </w:tc>
      </w:tr>
      <w:tr w14:paraId="4F02C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B1A5D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F3560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结构陶瓷及陶瓷基复合材料强化增韧技术</w:t>
            </w:r>
          </w:p>
        </w:tc>
      </w:tr>
      <w:tr w14:paraId="7F52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C6D022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A2583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功能陶瓷制备技术</w:t>
            </w:r>
          </w:p>
        </w:tc>
      </w:tr>
      <w:tr w14:paraId="7CF61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7005A3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62EBFF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功能玻璃制备技术</w:t>
            </w:r>
          </w:p>
        </w:tc>
      </w:tr>
      <w:tr w14:paraId="3BA3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1898AB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F0F073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节能与新能源用材料制备技术</w:t>
            </w:r>
          </w:p>
        </w:tc>
      </w:tr>
      <w:tr w14:paraId="0A563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6F434A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7AC0C3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环保及环境友好型材料技术</w:t>
            </w:r>
          </w:p>
        </w:tc>
      </w:tr>
      <w:tr w14:paraId="6ECCD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329DD5B">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D5CE5E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高分子材料</w:t>
            </w:r>
          </w:p>
        </w:tc>
      </w:tr>
      <w:tr w14:paraId="5636F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87B771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45FFE9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新型功能高分子材料的制备及应用技术</w:t>
            </w:r>
          </w:p>
        </w:tc>
      </w:tr>
      <w:tr w14:paraId="4CB62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172F90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3106E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工程和特种工程塑料制备技术</w:t>
            </w:r>
          </w:p>
        </w:tc>
      </w:tr>
      <w:tr w14:paraId="4BAD4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33094E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C30F61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新型橡胶的合成技术及橡胶新材料制备技术</w:t>
            </w:r>
          </w:p>
        </w:tc>
      </w:tr>
      <w:tr w14:paraId="6476A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548701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8F232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新型纤维及复合材料制备技术</w:t>
            </w:r>
          </w:p>
        </w:tc>
      </w:tr>
      <w:tr w14:paraId="6B42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DE75DD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5AD50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高分子材料制备及循环再利用技术</w:t>
            </w:r>
          </w:p>
        </w:tc>
      </w:tr>
      <w:tr w14:paraId="21C0C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A585D9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F153A6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高分子材料的新型加工和应用技术</w:t>
            </w:r>
          </w:p>
        </w:tc>
      </w:tr>
      <w:tr w14:paraId="074A5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4E57E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A9164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生物医用材料</w:t>
            </w:r>
          </w:p>
        </w:tc>
      </w:tr>
      <w:tr w14:paraId="329FC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06CAED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3EB99B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介入治疗器具材料制备技术</w:t>
            </w:r>
          </w:p>
        </w:tc>
      </w:tr>
      <w:tr w14:paraId="048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01BE73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03FAC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心脑血管外科用新型生物材料制备技术</w:t>
            </w:r>
          </w:p>
        </w:tc>
      </w:tr>
      <w:tr w14:paraId="113C7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6BA57C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49BD37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骨科内置物制备技术</w:t>
            </w:r>
          </w:p>
        </w:tc>
      </w:tr>
      <w:tr w14:paraId="42FA0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222E1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DB920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口腔材料制备技术</w:t>
            </w:r>
          </w:p>
        </w:tc>
      </w:tr>
      <w:tr w14:paraId="37CA8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624571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3C4BB3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组织工程用材料制备技术</w:t>
            </w:r>
          </w:p>
        </w:tc>
      </w:tr>
      <w:tr w14:paraId="06D81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0DF2C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E971A2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新型敷料和止血材料制备技术</w:t>
            </w:r>
          </w:p>
        </w:tc>
      </w:tr>
      <w:tr w14:paraId="7466D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7A4DB0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6660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专用手术器械和材料制备技术</w:t>
            </w:r>
          </w:p>
        </w:tc>
      </w:tr>
      <w:tr w14:paraId="4D120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701D0C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2952F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其他新型医用材料及制备技术</w:t>
            </w:r>
          </w:p>
        </w:tc>
      </w:tr>
      <w:tr w14:paraId="20DFC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8D59D3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08F6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精细和专用化学品</w:t>
            </w:r>
          </w:p>
        </w:tc>
      </w:tr>
      <w:tr w14:paraId="72AB7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CBDAD6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3B1050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新型催化剂制备及应用技术</w:t>
            </w:r>
          </w:p>
        </w:tc>
      </w:tr>
      <w:tr w14:paraId="47B9B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F3BB99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315339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电子化学品制备及应用技术</w:t>
            </w:r>
          </w:p>
        </w:tc>
      </w:tr>
      <w:tr w14:paraId="6B725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F73771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961D1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超细功能材料制备及应用技术</w:t>
            </w:r>
          </w:p>
        </w:tc>
      </w:tr>
      <w:tr w14:paraId="35F35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AE0EF0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69354C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精细化学品制备及应用技术</w:t>
            </w:r>
          </w:p>
        </w:tc>
      </w:tr>
      <w:tr w14:paraId="238E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7FE66D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80E631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其他新材料</w:t>
            </w:r>
          </w:p>
        </w:tc>
      </w:tr>
      <w:tr w14:paraId="20FDE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F02ED2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159A4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文化载体和介质新材料制备技术</w:t>
            </w:r>
          </w:p>
        </w:tc>
      </w:tr>
      <w:tr w14:paraId="3D4CA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A1EBC3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A5BB88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艺术专用新材料制备技术</w:t>
            </w:r>
          </w:p>
        </w:tc>
      </w:tr>
      <w:tr w14:paraId="53946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D9F070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99D47F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影视场景和舞台专用新材料的加工生产技术</w:t>
            </w:r>
          </w:p>
        </w:tc>
      </w:tr>
      <w:tr w14:paraId="5D801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713E14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0DEC6C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文化产品印刷新材料制备技术</w:t>
            </w:r>
          </w:p>
        </w:tc>
      </w:tr>
      <w:tr w14:paraId="56223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CD2300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0F9B15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文物保护新材料制备技术</w:t>
            </w:r>
          </w:p>
        </w:tc>
      </w:tr>
      <w:tr w14:paraId="7A8DC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7C9B05C">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9A7FB1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高技术服务</w:t>
            </w:r>
          </w:p>
        </w:tc>
      </w:tr>
      <w:tr w14:paraId="67E2E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BDA1C1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98C7E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研发与设计服务</w:t>
            </w:r>
          </w:p>
        </w:tc>
      </w:tr>
      <w:tr w14:paraId="05A9D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A31CEE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C49959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研发服务</w:t>
            </w:r>
          </w:p>
        </w:tc>
      </w:tr>
      <w:tr w14:paraId="114BE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0DA4F2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FC21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设计服务</w:t>
            </w:r>
          </w:p>
        </w:tc>
      </w:tr>
      <w:tr w14:paraId="1C08B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9DA5AE5">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7FF72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检验检测认证与标准服务</w:t>
            </w:r>
          </w:p>
        </w:tc>
      </w:tr>
      <w:tr w14:paraId="75781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3E869C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EEB72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检验检测认证技术</w:t>
            </w:r>
          </w:p>
        </w:tc>
      </w:tr>
      <w:tr w14:paraId="1E338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65D1FA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463EB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标准化服务技术</w:t>
            </w:r>
          </w:p>
        </w:tc>
      </w:tr>
      <w:tr w14:paraId="0FDB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A5B9BE6">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EE0CB2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信息技术服务</w:t>
            </w:r>
          </w:p>
        </w:tc>
      </w:tr>
      <w:tr w14:paraId="4374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337CC7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FDD156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云计算服务技术</w:t>
            </w:r>
          </w:p>
        </w:tc>
      </w:tr>
      <w:tr w14:paraId="24A90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04216C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E3ADD1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数据服务技术</w:t>
            </w:r>
          </w:p>
        </w:tc>
      </w:tr>
      <w:tr w14:paraId="483C3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8AEE40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0E018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其他信息服务技术</w:t>
            </w:r>
          </w:p>
        </w:tc>
      </w:tr>
      <w:tr w14:paraId="19E31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2BC425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2F6B3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高技术专业化服务</w:t>
            </w:r>
          </w:p>
        </w:tc>
      </w:tr>
      <w:tr w14:paraId="53D0B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7A2435">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9EB698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知识产权与成果转化服务</w:t>
            </w:r>
          </w:p>
        </w:tc>
      </w:tr>
      <w:tr w14:paraId="4FCF3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C2546A3">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D521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电子商务与现代物流技术</w:t>
            </w:r>
          </w:p>
        </w:tc>
      </w:tr>
      <w:tr w14:paraId="2F33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ED055F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3F23DA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电子商务技术</w:t>
            </w:r>
          </w:p>
        </w:tc>
      </w:tr>
      <w:tr w14:paraId="7A992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AE10FC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58A278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物流与供应链管理技术</w:t>
            </w:r>
          </w:p>
        </w:tc>
      </w:tr>
      <w:tr w14:paraId="2C6D0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A4719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F53764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城市管理与社会服务</w:t>
            </w:r>
          </w:p>
        </w:tc>
      </w:tr>
      <w:tr w14:paraId="13C3A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25D64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BB906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智慧城市服务支撑技术</w:t>
            </w:r>
          </w:p>
        </w:tc>
      </w:tr>
      <w:tr w14:paraId="29F07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68F66D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2BC4F2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互联网教育</w:t>
            </w:r>
          </w:p>
        </w:tc>
      </w:tr>
      <w:tr w14:paraId="7E231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17AA69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E21C8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健康管理</w:t>
            </w:r>
          </w:p>
        </w:tc>
      </w:tr>
      <w:tr w14:paraId="4AB20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88D056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0E2032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现代体育服务支撑技术</w:t>
            </w:r>
          </w:p>
        </w:tc>
      </w:tr>
      <w:tr w14:paraId="5BC92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1F42BD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5.8</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992FE7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文化创意产业支撑技术</w:t>
            </w:r>
          </w:p>
        </w:tc>
      </w:tr>
      <w:tr w14:paraId="75696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8330E6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D90850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创作、设计与制作技术</w:t>
            </w:r>
          </w:p>
        </w:tc>
      </w:tr>
      <w:tr w14:paraId="23EFB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891810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5F10D2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传播与展示技术</w:t>
            </w:r>
          </w:p>
        </w:tc>
      </w:tr>
      <w:tr w14:paraId="709FD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66EE2F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4E5A0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文化遗产发现与再利用技术</w:t>
            </w:r>
          </w:p>
        </w:tc>
      </w:tr>
      <w:tr w14:paraId="1B04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7521E5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E379A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运营与管理技术</w:t>
            </w:r>
          </w:p>
        </w:tc>
      </w:tr>
      <w:tr w14:paraId="12A13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561DEC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0A6C2D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新能源与节能</w:t>
            </w:r>
          </w:p>
        </w:tc>
      </w:tr>
      <w:tr w14:paraId="05ADC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2F8748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4CE496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可再生清洁能源</w:t>
            </w:r>
          </w:p>
        </w:tc>
      </w:tr>
      <w:tr w14:paraId="61B7F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DDF4C8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541AD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太阳能</w:t>
            </w:r>
          </w:p>
        </w:tc>
      </w:tr>
      <w:tr w14:paraId="4053E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BDC212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1CBA29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风能</w:t>
            </w:r>
          </w:p>
        </w:tc>
      </w:tr>
      <w:tr w14:paraId="72208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9AA891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55AEFE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生物质能</w:t>
            </w:r>
          </w:p>
        </w:tc>
      </w:tr>
      <w:tr w14:paraId="62B36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9B5FBF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65737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地热能、海洋能及运动能</w:t>
            </w:r>
          </w:p>
        </w:tc>
      </w:tr>
      <w:tr w14:paraId="662C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AFDE617">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925648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核能及氢能</w:t>
            </w:r>
          </w:p>
        </w:tc>
      </w:tr>
      <w:tr w14:paraId="76257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E03463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C5C494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核能</w:t>
            </w:r>
          </w:p>
        </w:tc>
      </w:tr>
      <w:tr w14:paraId="50AE8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CDE509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4B293B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氢能</w:t>
            </w:r>
          </w:p>
        </w:tc>
      </w:tr>
      <w:tr w14:paraId="724D9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FA61B98">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FD5FA6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新型高效能量转换与储存技术</w:t>
            </w:r>
          </w:p>
        </w:tc>
      </w:tr>
      <w:tr w14:paraId="52862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5A0E2E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3B5991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高性能绿色电池（组）技术</w:t>
            </w:r>
          </w:p>
        </w:tc>
      </w:tr>
      <w:tr w14:paraId="2BEFC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E16D96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0629DA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新型动力电池（组）与储能电池技术</w:t>
            </w:r>
          </w:p>
        </w:tc>
      </w:tr>
      <w:tr w14:paraId="7DFAA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1B3974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1298BE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燃料电池技术</w:t>
            </w:r>
          </w:p>
        </w:tc>
      </w:tr>
      <w:tr w14:paraId="35B2E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83AB4C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C3AB8F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超级电容器与热电转换技术</w:t>
            </w:r>
          </w:p>
        </w:tc>
      </w:tr>
      <w:tr w14:paraId="79F5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08DC7CB">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91911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高效节能技术</w:t>
            </w:r>
          </w:p>
        </w:tc>
      </w:tr>
      <w:tr w14:paraId="4AE5B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7238E3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DF8928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工业节能技术</w:t>
            </w:r>
          </w:p>
        </w:tc>
      </w:tr>
      <w:tr w14:paraId="2824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C47ACB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BAF687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能量回收利用技术</w:t>
            </w:r>
          </w:p>
        </w:tc>
      </w:tr>
      <w:tr w14:paraId="1E543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EBA605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1BD86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蓄热式燃烧技术</w:t>
            </w:r>
          </w:p>
        </w:tc>
      </w:tr>
      <w:tr w14:paraId="01F18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18DDB8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1CF5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输配电系统优化技术</w:t>
            </w:r>
          </w:p>
        </w:tc>
      </w:tr>
      <w:tr w14:paraId="152E3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D31B42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92656A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高温热泵技术</w:t>
            </w:r>
          </w:p>
        </w:tc>
      </w:tr>
      <w:tr w14:paraId="6B79D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9CA300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1FB45F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建筑节能技术</w:t>
            </w:r>
          </w:p>
        </w:tc>
      </w:tr>
      <w:tr w14:paraId="3FF5D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D150A2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BF948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能源系统管理、优化与控制技术</w:t>
            </w:r>
          </w:p>
        </w:tc>
      </w:tr>
      <w:tr w14:paraId="19C3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DCC806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56D83B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 节能监测技术</w:t>
            </w:r>
          </w:p>
        </w:tc>
      </w:tr>
      <w:tr w14:paraId="6733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44D2A9">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850C45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资源与环境</w:t>
            </w:r>
          </w:p>
        </w:tc>
      </w:tr>
      <w:tr w14:paraId="7A68E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04744A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A9EB92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水污染控制与水资源利用技术</w:t>
            </w:r>
          </w:p>
        </w:tc>
      </w:tr>
      <w:tr w14:paraId="1DD69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575ECA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5125B0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城镇污水处理与资源化技术</w:t>
            </w:r>
          </w:p>
        </w:tc>
      </w:tr>
      <w:tr w14:paraId="10A1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282355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8B256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工业废水处理与资源化技术</w:t>
            </w:r>
          </w:p>
        </w:tc>
      </w:tr>
      <w:tr w14:paraId="281E9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5A190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61A22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农业水污染控制技术</w:t>
            </w:r>
          </w:p>
        </w:tc>
      </w:tr>
      <w:tr w14:paraId="5FCA9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FFA871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2C8E57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流域水污染治理与富营养化综合控制技术</w:t>
            </w:r>
          </w:p>
        </w:tc>
      </w:tr>
      <w:tr w14:paraId="0B171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D2319C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F48A34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节水与非常规水资源综合利用技术</w:t>
            </w:r>
          </w:p>
        </w:tc>
      </w:tr>
      <w:tr w14:paraId="408FE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4CB2FE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A2B41E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饮用水安全保障技术</w:t>
            </w:r>
          </w:p>
        </w:tc>
      </w:tr>
      <w:tr w14:paraId="41D8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BD37CC3">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7B6B27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大气污染控制技术</w:t>
            </w:r>
          </w:p>
        </w:tc>
      </w:tr>
      <w:tr w14:paraId="33765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7BEF3A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C3D2D8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煤燃烧污染防治技术</w:t>
            </w:r>
          </w:p>
        </w:tc>
      </w:tr>
      <w:tr w14:paraId="25700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9DD28B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5CDF7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机动车排放控制技术</w:t>
            </w:r>
          </w:p>
        </w:tc>
      </w:tr>
      <w:tr w14:paraId="1F3B9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D102FF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200AD0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工业炉窑污染防治技术</w:t>
            </w:r>
          </w:p>
        </w:tc>
      </w:tr>
      <w:tr w14:paraId="309B3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36C86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750885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工业有害废气控制技术</w:t>
            </w:r>
          </w:p>
        </w:tc>
      </w:tr>
      <w:tr w14:paraId="01564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EFCB78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BE7445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有限空间空气污染防治技术</w:t>
            </w:r>
          </w:p>
        </w:tc>
      </w:tr>
      <w:tr w14:paraId="0C98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D668DAE">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E933E4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固体废弃物处置与综合利用技术</w:t>
            </w:r>
          </w:p>
        </w:tc>
      </w:tr>
      <w:tr w14:paraId="7ABFF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6A12E9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4FE684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危险固体废弃物处置技术</w:t>
            </w:r>
          </w:p>
        </w:tc>
      </w:tr>
      <w:tr w14:paraId="40764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1898EC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4D7CB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工业固体废弃物综合利用技术</w:t>
            </w:r>
          </w:p>
        </w:tc>
      </w:tr>
      <w:tr w14:paraId="3877D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FCA527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74A4B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生活垃圾处置与资源化技术</w:t>
            </w:r>
          </w:p>
        </w:tc>
      </w:tr>
      <w:tr w14:paraId="33BEF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CDF805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8007D4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建筑垃圾处置与资源化技术</w:t>
            </w:r>
          </w:p>
        </w:tc>
      </w:tr>
      <w:tr w14:paraId="3C95E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D54CC8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882580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有机固体废物处理与资源化技术</w:t>
            </w:r>
          </w:p>
        </w:tc>
      </w:tr>
      <w:tr w14:paraId="639C0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C3BCA5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BA8810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社会源固体废物处置与资源化技术</w:t>
            </w:r>
          </w:p>
        </w:tc>
      </w:tr>
      <w:tr w14:paraId="2445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84AA68F">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EE592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物理性污染防治技术</w:t>
            </w:r>
          </w:p>
        </w:tc>
      </w:tr>
      <w:tr w14:paraId="13736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A24713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6D8D78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噪声、振动污染防治技术</w:t>
            </w:r>
          </w:p>
        </w:tc>
      </w:tr>
      <w:tr w14:paraId="4D550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A8B64B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F18B1E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 xml:space="preserve">2. 核与辐射安全防治技术 </w:t>
            </w:r>
          </w:p>
        </w:tc>
      </w:tr>
      <w:tr w14:paraId="3B568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483308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0B4FDB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环境监测及环境事故应急处理技术</w:t>
            </w:r>
          </w:p>
        </w:tc>
      </w:tr>
      <w:tr w14:paraId="65FE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DF8314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1F80B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环境监测预警技术</w:t>
            </w:r>
          </w:p>
        </w:tc>
      </w:tr>
      <w:tr w14:paraId="70C7D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C7CFD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55049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应急环境监测技术</w:t>
            </w:r>
          </w:p>
        </w:tc>
      </w:tr>
      <w:tr w14:paraId="1F246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45FD9B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652E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生态环境监测技术</w:t>
            </w:r>
          </w:p>
        </w:tc>
      </w:tr>
      <w:tr w14:paraId="0302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D2DACA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38DC39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非常规污染物监测技术</w:t>
            </w:r>
          </w:p>
        </w:tc>
      </w:tr>
      <w:tr w14:paraId="7E45B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D86B57F">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40597E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生态环境建设与保护技术</w:t>
            </w:r>
          </w:p>
        </w:tc>
      </w:tr>
      <w:tr w14:paraId="59DB0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1131C86">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A7861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清洁生产技术</w:t>
            </w:r>
          </w:p>
        </w:tc>
      </w:tr>
      <w:tr w14:paraId="309B3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94DD4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065CD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重污染行业生产过程中节水、减排及资源化关键技术</w:t>
            </w:r>
          </w:p>
        </w:tc>
      </w:tr>
      <w:tr w14:paraId="60E4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3929A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0FC9BD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清洁生产关键技术</w:t>
            </w:r>
          </w:p>
        </w:tc>
      </w:tr>
      <w:tr w14:paraId="38A8E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85DC45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ED69B2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环保制造关键技术</w:t>
            </w:r>
          </w:p>
        </w:tc>
      </w:tr>
      <w:tr w14:paraId="0B2FB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B164A64">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7.8</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412A7E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资源勘查、高效开采与综合利用技术</w:t>
            </w:r>
          </w:p>
        </w:tc>
      </w:tr>
      <w:tr w14:paraId="3F8C3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ACC04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58711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资源勘查开采技术</w:t>
            </w:r>
          </w:p>
        </w:tc>
      </w:tr>
      <w:tr w14:paraId="466A3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C6199F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73857C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提高矿产资源回收利用率的采矿、选矿技术</w:t>
            </w:r>
          </w:p>
        </w:tc>
      </w:tr>
      <w:tr w14:paraId="6E8E0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7FC3D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B050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伴生有价元素的分选提取技术</w:t>
            </w:r>
          </w:p>
        </w:tc>
      </w:tr>
      <w:tr w14:paraId="4DCDC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A6E05D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C0F59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低品位资源和尾矿资源综合利用技术</w:t>
            </w:r>
          </w:p>
        </w:tc>
      </w:tr>
      <w:tr w14:paraId="2F358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C61273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CB1048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放射性资源勘查开发技术</w:t>
            </w:r>
          </w:p>
        </w:tc>
      </w:tr>
      <w:tr w14:paraId="67294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63AA93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651CD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放射性废物处理处置技术</w:t>
            </w:r>
          </w:p>
        </w:tc>
      </w:tr>
      <w:tr w14:paraId="213CD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1DD3A2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F0EBDF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绿色矿山建设技术</w:t>
            </w:r>
          </w:p>
        </w:tc>
      </w:tr>
      <w:tr w14:paraId="3F780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65CDDB9">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11702D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先进制造与自动化</w:t>
            </w:r>
          </w:p>
        </w:tc>
      </w:tr>
      <w:tr w14:paraId="20D65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4301DB2">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2A3C09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工业生产过程控制系统</w:t>
            </w:r>
          </w:p>
        </w:tc>
      </w:tr>
      <w:tr w14:paraId="4868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1729E8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AC608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现场总线与工业以太网技术</w:t>
            </w:r>
          </w:p>
        </w:tc>
      </w:tr>
      <w:tr w14:paraId="2CF9C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AF78D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BA590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嵌入式系统技术</w:t>
            </w:r>
          </w:p>
        </w:tc>
      </w:tr>
      <w:tr w14:paraId="1F770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F5FD9A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3E4B61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新一代工业控制计算机技术</w:t>
            </w:r>
          </w:p>
        </w:tc>
      </w:tr>
      <w:tr w14:paraId="6072F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B1A635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1FA731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制造执行系统（MES）技术</w:t>
            </w:r>
          </w:p>
        </w:tc>
      </w:tr>
      <w:tr w14:paraId="563DD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CE5878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A71F5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工业生产过程综合自动化控制系统技术</w:t>
            </w:r>
          </w:p>
        </w:tc>
      </w:tr>
      <w:tr w14:paraId="7AA67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F9C123D">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D6B4D3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 xml:space="preserve"> 安全生产技术</w:t>
            </w:r>
          </w:p>
        </w:tc>
      </w:tr>
      <w:tr w14:paraId="1682F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0A08D5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F5D7AA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矿山安全生产技术</w:t>
            </w:r>
          </w:p>
        </w:tc>
      </w:tr>
      <w:tr w14:paraId="5680A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357B12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4ABD79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危险化学品安全生产技术</w:t>
            </w:r>
          </w:p>
        </w:tc>
      </w:tr>
      <w:tr w14:paraId="4E6F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3591BF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5AF60A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其它事故防治及处置技术</w:t>
            </w:r>
          </w:p>
        </w:tc>
      </w:tr>
      <w:tr w14:paraId="64740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05840B9">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100D34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高性能、智能化仪器仪表</w:t>
            </w:r>
          </w:p>
        </w:tc>
      </w:tr>
      <w:tr w14:paraId="49BF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2D6EC24">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B488A7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新型传感器</w:t>
            </w:r>
          </w:p>
        </w:tc>
      </w:tr>
      <w:tr w14:paraId="3F599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88D0D3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C293B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新型自动化仪器仪表</w:t>
            </w:r>
          </w:p>
        </w:tc>
      </w:tr>
      <w:tr w14:paraId="4441D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E8F94D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A6C8D8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科学分析仪器/检测仪器</w:t>
            </w:r>
          </w:p>
        </w:tc>
      </w:tr>
      <w:tr w14:paraId="2037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48194B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DDD80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精确制造中的测控仪器仪表</w:t>
            </w:r>
          </w:p>
        </w:tc>
      </w:tr>
      <w:tr w14:paraId="08617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3FE00A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B6326E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微机电系统技术</w:t>
            </w:r>
          </w:p>
        </w:tc>
      </w:tr>
      <w:tr w14:paraId="552E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875326A">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E627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先进制造工艺与装备</w:t>
            </w:r>
          </w:p>
        </w:tc>
      </w:tr>
      <w:tr w14:paraId="53D21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31FD50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6923C9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高档数控装备与数控加工技术</w:t>
            </w:r>
          </w:p>
        </w:tc>
      </w:tr>
      <w:tr w14:paraId="36C9D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7D25BA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9230D3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机器人</w:t>
            </w:r>
          </w:p>
        </w:tc>
      </w:tr>
      <w:tr w14:paraId="2888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4AC02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1B411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智能装备驱动控制技术</w:t>
            </w:r>
          </w:p>
        </w:tc>
      </w:tr>
      <w:tr w14:paraId="4867F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36A20FB">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5926A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特种加工技术</w:t>
            </w:r>
          </w:p>
        </w:tc>
      </w:tr>
      <w:tr w14:paraId="0745C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968EF0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0F8BA9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大规模集成电路制造相关技术</w:t>
            </w:r>
          </w:p>
        </w:tc>
      </w:tr>
      <w:tr w14:paraId="7007E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31EC8A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E2D96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 增材制造技术</w:t>
            </w:r>
          </w:p>
        </w:tc>
      </w:tr>
      <w:tr w14:paraId="4692F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23945F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E2F5F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 高端装备再制造技术</w:t>
            </w:r>
          </w:p>
        </w:tc>
      </w:tr>
      <w:tr w14:paraId="29F9A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74811BF">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8.5</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996046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新型机械</w:t>
            </w:r>
          </w:p>
        </w:tc>
      </w:tr>
      <w:tr w14:paraId="5925D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3A9B8BD">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46E338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机械基础件及制造技术</w:t>
            </w:r>
          </w:p>
        </w:tc>
      </w:tr>
      <w:tr w14:paraId="07E29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6B44E6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5D4093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通用机械装备制造技术</w:t>
            </w:r>
          </w:p>
        </w:tc>
      </w:tr>
      <w:tr w14:paraId="46FB9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A8C848C">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E78754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极端制造与专用机械装备制造技术</w:t>
            </w:r>
          </w:p>
        </w:tc>
      </w:tr>
      <w:tr w14:paraId="24715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9C8265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F636A6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纺织及其他行业专用设备制造技术</w:t>
            </w:r>
          </w:p>
        </w:tc>
      </w:tr>
      <w:tr w14:paraId="7CCFD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A313CEB">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8.6</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24FC85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电力系统与设备</w:t>
            </w:r>
          </w:p>
        </w:tc>
      </w:tr>
      <w:tr w14:paraId="73BB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527224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7B0663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发电与储能技术</w:t>
            </w:r>
          </w:p>
        </w:tc>
      </w:tr>
      <w:tr w14:paraId="06464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32CC4B7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6C2AA77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输电技术</w:t>
            </w:r>
          </w:p>
        </w:tc>
      </w:tr>
      <w:tr w14:paraId="68B7F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D09F4F8">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DD542C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配电与用电技术</w:t>
            </w:r>
          </w:p>
        </w:tc>
      </w:tr>
      <w:tr w14:paraId="7BCA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6" w:space="0"/>
              <w:right w:val="single" w:color="000000" w:sz="4" w:space="0"/>
            </w:tcBorders>
            <w:shd w:val="clear" w:color="auto" w:fill="auto"/>
            <w:noWrap w:val="0"/>
            <w:vAlign w:val="center"/>
          </w:tcPr>
          <w:p w14:paraId="13EF07B1">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6" w:space="0"/>
              <w:right w:val="single" w:color="000000" w:sz="6" w:space="0"/>
            </w:tcBorders>
            <w:shd w:val="clear" w:color="auto" w:fill="auto"/>
            <w:noWrap w:val="0"/>
            <w:vAlign w:val="center"/>
          </w:tcPr>
          <w:p w14:paraId="3B5B3E9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变电技术</w:t>
            </w:r>
          </w:p>
        </w:tc>
      </w:tr>
      <w:tr w14:paraId="5FF6E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67" w:type="dxa"/>
            <w:tcBorders>
              <w:top w:val="single" w:color="000000" w:sz="6" w:space="0"/>
              <w:left w:val="single" w:color="000000" w:sz="6" w:space="0"/>
              <w:bottom w:val="single" w:color="000000" w:sz="4" w:space="0"/>
              <w:right w:val="single" w:color="000000" w:sz="4" w:space="0"/>
            </w:tcBorders>
            <w:shd w:val="clear" w:color="auto" w:fill="auto"/>
            <w:noWrap w:val="0"/>
            <w:vAlign w:val="center"/>
          </w:tcPr>
          <w:p w14:paraId="0CC74CA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6" w:space="0"/>
              <w:left w:val="single" w:color="000000" w:sz="4" w:space="0"/>
              <w:bottom w:val="single" w:color="000000" w:sz="4" w:space="0"/>
              <w:right w:val="single" w:color="000000" w:sz="6" w:space="0"/>
            </w:tcBorders>
            <w:shd w:val="clear" w:color="auto" w:fill="auto"/>
            <w:noWrap w:val="0"/>
            <w:vAlign w:val="center"/>
          </w:tcPr>
          <w:p w14:paraId="715B5AB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系统仿真与自动化技术</w:t>
            </w:r>
          </w:p>
        </w:tc>
      </w:tr>
      <w:tr w14:paraId="2EE98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3548C10">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8.7</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E23485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汽车及轨道车辆相关技术</w:t>
            </w:r>
          </w:p>
        </w:tc>
      </w:tr>
      <w:tr w14:paraId="08B5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6463DA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6342F0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车用发动机及其相关技术</w:t>
            </w:r>
          </w:p>
        </w:tc>
      </w:tr>
      <w:tr w14:paraId="7AE6F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2ABF2BF">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7105C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汽车关键零部件技术</w:t>
            </w:r>
          </w:p>
        </w:tc>
      </w:tr>
      <w:tr w14:paraId="22BED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36658A3">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4899B6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 节能与新能源汽车技术</w:t>
            </w:r>
          </w:p>
        </w:tc>
      </w:tr>
      <w:tr w14:paraId="27333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8D45A55">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462768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 机动车及发动机先进设计、制造和测试平台技术</w:t>
            </w:r>
          </w:p>
        </w:tc>
      </w:tr>
      <w:tr w14:paraId="32AC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C71CB5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5CAF37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 轨道车辆及关键零部件技术</w:t>
            </w:r>
          </w:p>
        </w:tc>
      </w:tr>
      <w:tr w14:paraId="4DA94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42D1C19">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8.8</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8E6A4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高技术船舶与海洋工程装备设计制造技术</w:t>
            </w:r>
          </w:p>
        </w:tc>
      </w:tr>
      <w:tr w14:paraId="3C505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98FF42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C5084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高技术船舶设计制造技术</w:t>
            </w:r>
          </w:p>
        </w:tc>
      </w:tr>
      <w:tr w14:paraId="2F43C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5A1C0F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76E2CE9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海洋工程装备设计制造技术</w:t>
            </w:r>
          </w:p>
        </w:tc>
      </w:tr>
      <w:tr w14:paraId="5F7B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2DB5BF1">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8.9</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0D9722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传统文化产业改造技术</w:t>
            </w:r>
          </w:p>
        </w:tc>
      </w:tr>
      <w:tr w14:paraId="760F5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DBEE75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37BF7E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 乐器制造技术</w:t>
            </w:r>
          </w:p>
        </w:tc>
      </w:tr>
      <w:tr w14:paraId="4B492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8CC3FC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2D8BDC8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 印刷技术</w:t>
            </w:r>
          </w:p>
        </w:tc>
      </w:tr>
      <w:tr w14:paraId="79380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0323ED0">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7A7A64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国防科技工业</w:t>
            </w:r>
          </w:p>
        </w:tc>
      </w:tr>
      <w:tr w14:paraId="17F1B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AA59202">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9.1</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84B352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技术基础</w:t>
            </w:r>
          </w:p>
        </w:tc>
      </w:tr>
      <w:tr w14:paraId="2F95B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5509DD8E">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3534B3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1．标准化</w:t>
            </w:r>
          </w:p>
        </w:tc>
      </w:tr>
      <w:tr w14:paraId="7A3D0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195BE052">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4EF32D5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2．质量与可靠性</w:t>
            </w:r>
          </w:p>
        </w:tc>
      </w:tr>
      <w:tr w14:paraId="0FF2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4F29857">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8C368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3．军工计量</w:t>
            </w:r>
          </w:p>
        </w:tc>
      </w:tr>
      <w:tr w14:paraId="1DC8B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20F0609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59446F4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4．自然环境试验</w:t>
            </w:r>
          </w:p>
        </w:tc>
      </w:tr>
      <w:tr w14:paraId="1A258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FAD8636">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2EED6F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5．检测</w:t>
            </w:r>
          </w:p>
        </w:tc>
      </w:tr>
      <w:tr w14:paraId="2CAC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6F842BB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8DC989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6．科技情报</w:t>
            </w:r>
          </w:p>
        </w:tc>
      </w:tr>
      <w:tr w14:paraId="0F567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46791330">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34D8334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7．成果推广</w:t>
            </w:r>
          </w:p>
        </w:tc>
      </w:tr>
      <w:tr w14:paraId="3A969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7EDC5C9E">
            <w:pPr>
              <w:keepNext w:val="0"/>
              <w:keepLines w:val="0"/>
              <w:pageBreakBefore w:val="0"/>
              <w:widowControl/>
              <w:suppressLineNumbers w:val="0"/>
              <w:kinsoku/>
              <w:wordWrap/>
              <w:overflowPunct/>
              <w:topLinePunct w:val="0"/>
              <w:autoSpaceDE/>
              <w:autoSpaceDN/>
              <w:bidi w:val="0"/>
              <w:adjustRightInd/>
              <w:snapToGrid w:val="0"/>
              <w:ind w:firstLineChars="10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9.2</w:t>
            </w: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1733380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基础科研</w:t>
            </w:r>
          </w:p>
        </w:tc>
      </w:tr>
      <w:tr w14:paraId="4611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1167" w:type="dxa"/>
            <w:tcBorders>
              <w:top w:val="single" w:color="000000" w:sz="4" w:space="0"/>
              <w:left w:val="single" w:color="000000" w:sz="6" w:space="0"/>
              <w:bottom w:val="single" w:color="000000" w:sz="4" w:space="0"/>
              <w:right w:val="single" w:color="000000" w:sz="4" w:space="0"/>
            </w:tcBorders>
            <w:shd w:val="clear" w:color="auto" w:fill="auto"/>
            <w:noWrap w:val="0"/>
            <w:vAlign w:val="center"/>
          </w:tcPr>
          <w:p w14:paraId="09C3CBE9">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4" w:space="0"/>
              <w:right w:val="single" w:color="000000" w:sz="6" w:space="0"/>
            </w:tcBorders>
            <w:shd w:val="clear" w:color="auto" w:fill="auto"/>
            <w:noWrap w:val="0"/>
            <w:vAlign w:val="center"/>
          </w:tcPr>
          <w:p w14:paraId="0DD3D10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1．先进工业技术（共性关键技术研究；工程应用研究）</w:t>
            </w:r>
          </w:p>
        </w:tc>
      </w:tr>
      <w:tr w14:paraId="5C8AD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1167" w:type="dxa"/>
            <w:tcBorders>
              <w:top w:val="single" w:color="000000" w:sz="4" w:space="0"/>
              <w:left w:val="single" w:color="000000" w:sz="6" w:space="0"/>
              <w:bottom w:val="single" w:color="000000" w:sz="6" w:space="0"/>
              <w:right w:val="single" w:color="000000" w:sz="4" w:space="0"/>
            </w:tcBorders>
            <w:shd w:val="clear" w:color="auto" w:fill="auto"/>
            <w:noWrap w:val="0"/>
            <w:vAlign w:val="center"/>
          </w:tcPr>
          <w:p w14:paraId="0CA97AAA">
            <w:pPr>
              <w:keepNext w:val="0"/>
              <w:keepLines w:val="0"/>
              <w:pageBreakBefore w:val="0"/>
              <w:kinsoku/>
              <w:wordWrap/>
              <w:overflowPunct/>
              <w:topLinePunct w:val="0"/>
              <w:autoSpaceDE/>
              <w:autoSpaceDN/>
              <w:bidi w:val="0"/>
              <w:adjustRightInd/>
              <w:snapToGrid w:val="0"/>
              <w:jc w:val="left"/>
              <w:rPr>
                <w:rFonts w:hint="eastAsia" w:asciiTheme="minorEastAsia" w:hAnsiTheme="minorEastAsia" w:eastAsiaTheme="minorEastAsia" w:cstheme="minorEastAsia"/>
                <w:i w:val="0"/>
                <w:iCs w:val="0"/>
                <w:color w:val="000000"/>
                <w:sz w:val="21"/>
                <w:szCs w:val="21"/>
                <w:u w:val="none"/>
              </w:rPr>
            </w:pPr>
          </w:p>
        </w:tc>
        <w:tc>
          <w:tcPr>
            <w:tcW w:w="6741" w:type="dxa"/>
            <w:tcBorders>
              <w:top w:val="single" w:color="000000" w:sz="4" w:space="0"/>
              <w:left w:val="single" w:color="000000" w:sz="4" w:space="0"/>
              <w:bottom w:val="single" w:color="000000" w:sz="6" w:space="0"/>
              <w:right w:val="single" w:color="000000" w:sz="6" w:space="0"/>
            </w:tcBorders>
            <w:shd w:val="clear" w:color="auto" w:fill="auto"/>
            <w:noWrap w:val="0"/>
            <w:vAlign w:val="center"/>
          </w:tcPr>
          <w:p w14:paraId="32BDE2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2．国防基础研究（国防应用基础研究；基础理论和关键机理研究）</w:t>
            </w:r>
          </w:p>
        </w:tc>
      </w:tr>
    </w:tbl>
    <w:p w14:paraId="112D58B4">
      <w:pPr>
        <w:widowControl/>
        <w:autoSpaceDE w:val="0"/>
        <w:autoSpaceDN w:val="0"/>
        <w:ind w:firstLine="420" w:firstLineChars="200"/>
        <w:rPr>
          <w:rFonts w:ascii="宋体"/>
          <w:kern w:val="0"/>
          <w:szCs w:val="20"/>
        </w:rPr>
      </w:pPr>
    </w:p>
    <w:p w14:paraId="5BD985A4">
      <w:pPr>
        <w:widowControl/>
        <w:autoSpaceDE w:val="0"/>
        <w:autoSpaceDN w:val="0"/>
        <w:ind w:firstLine="420" w:firstLineChars="200"/>
        <w:rPr>
          <w:rFonts w:ascii="宋体"/>
          <w:kern w:val="0"/>
          <w:szCs w:val="20"/>
        </w:rPr>
      </w:pPr>
    </w:p>
    <w:p w14:paraId="6C36C4DC">
      <w:pPr>
        <w:widowControl/>
        <w:autoSpaceDE w:val="0"/>
        <w:autoSpaceDN w:val="0"/>
        <w:ind w:firstLine="420" w:firstLineChars="200"/>
        <w:rPr>
          <w:rFonts w:ascii="宋体"/>
          <w:kern w:val="0"/>
          <w:szCs w:val="20"/>
        </w:rPr>
      </w:pPr>
    </w:p>
    <w:p w14:paraId="5D630A64">
      <w:pPr>
        <w:widowControl/>
        <w:autoSpaceDE w:val="0"/>
        <w:autoSpaceDN w:val="0"/>
        <w:ind w:firstLine="420" w:firstLineChars="200"/>
        <w:rPr>
          <w:rFonts w:ascii="宋体"/>
          <w:kern w:val="0"/>
          <w:szCs w:val="20"/>
        </w:rPr>
      </w:pPr>
    </w:p>
    <w:p w14:paraId="728DF4FD">
      <w:pPr>
        <w:widowControl/>
        <w:autoSpaceDE w:val="0"/>
        <w:autoSpaceDN w:val="0"/>
        <w:ind w:left="0" w:leftChars="0" w:firstLine="0" w:firstLineChars="0"/>
        <w:jc w:val="center"/>
        <w:rPr>
          <w:rFonts w:ascii="宋体"/>
          <w:kern w:val="0"/>
          <w:szCs w:val="20"/>
        </w:rPr>
      </w:pPr>
      <w:r>
        <w:rPr>
          <w:rFonts w:ascii="宋体"/>
          <w:kern w:val="0"/>
          <w:szCs w:val="20"/>
        </w:rPr>
        <w:t>_________________________________</w:t>
      </w:r>
    </w:p>
    <w:p w14:paraId="4AFC87BF">
      <w:pPr>
        <w:widowControl/>
        <w:autoSpaceDE w:val="0"/>
        <w:autoSpaceDN w:val="0"/>
        <w:ind w:firstLine="420" w:firstLineChars="200"/>
        <w:rPr>
          <w:rFonts w:ascii="宋体"/>
          <w:kern w:val="0"/>
          <w:szCs w:val="20"/>
        </w:rPr>
      </w:pPr>
    </w:p>
    <w:p w14:paraId="54F076BD">
      <w:pPr>
        <w:widowControl/>
        <w:autoSpaceDE w:val="0"/>
        <w:autoSpaceDN w:val="0"/>
        <w:ind w:firstLine="420" w:firstLineChars="200"/>
        <w:rPr>
          <w:rFonts w:ascii="宋体"/>
          <w:kern w:val="0"/>
          <w:szCs w:val="20"/>
        </w:rPr>
      </w:pPr>
    </w:p>
    <w:bookmarkEnd w:id="3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28080E06">
      <w:pPr>
        <w:pStyle w:val="23"/>
        <w:rPr>
          <w:rFonts w:hAnsi="宋体" w:cs="宋体"/>
          <w:szCs w:val="21"/>
        </w:rPr>
      </w:pPr>
    </w:p>
    <w:sectPr>
      <w:headerReference r:id="rId16" w:type="default"/>
      <w:footerReference r:id="rId17" w:type="default"/>
      <w:footerReference r:id="rId18" w:type="even"/>
      <w:pgSz w:w="11906" w:h="16838"/>
      <w:pgMar w:top="1984" w:right="1134" w:bottom="1134" w:left="1418" w:header="1418" w:footer="1134" w:gutter="0"/>
      <w:pgBorders>
        <w:top w:val="none" w:sz="0" w:space="0"/>
        <w:left w:val="none" w:sz="0" w:space="0"/>
        <w:bottom w:val="none" w:sz="0" w:space="0"/>
        <w:right w:val="none" w:sz="0" w:space="0"/>
      </w:pgBorders>
      <w:pgNumType w:fmt="decimal" w:start="1"/>
      <w:cols w:space="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BB5EA">
    <w:pPr>
      <w:pStyle w:val="17"/>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4DC4B">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74DC4B">
                    <w:pPr>
                      <w:pStyle w:val="17"/>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E1B11">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2D84B">
    <w:pPr>
      <w:pStyle w:val="17"/>
      <w:jc w:val="left"/>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82CA5">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C82CA5">
                    <w:pPr>
                      <w:pStyle w:val="17"/>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rPr>
      <w:t>Ⅱ</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3E8B7">
    <w:pPr>
      <w:pStyle w:val="44"/>
      <w:jc w:val="left"/>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0A48F">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8E0A48F">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9D292">
    <w:pPr>
      <w:pStyle w:val="17"/>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F9768">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CAF9768">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11A9A">
    <w:pPr>
      <w:pStyle w:val="44"/>
      <w:jc w:val="left"/>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297815" cy="224155"/>
              <wp:effectExtent l="0" t="0" r="0" b="0"/>
              <wp:wrapNone/>
              <wp:docPr id="17" name="文本框 3"/>
              <wp:cNvGraphicFramePr/>
              <a:graphic xmlns:a="http://schemas.openxmlformats.org/drawingml/2006/main">
                <a:graphicData uri="http://schemas.microsoft.com/office/word/2010/wordprocessingShape">
                  <wps:wsp>
                    <wps:cNvSpPr txBox="1"/>
                    <wps:spPr>
                      <a:xfrm>
                        <a:off x="0" y="0"/>
                        <a:ext cx="297815" cy="224155"/>
                      </a:xfrm>
                      <a:prstGeom prst="rect">
                        <a:avLst/>
                      </a:prstGeom>
                      <a:noFill/>
                      <a:ln w="6350">
                        <a:noFill/>
                      </a:ln>
                    </wps:spPr>
                    <wps:txbx>
                      <w:txbxContent>
                        <w:p w14:paraId="5CD34BC0">
                          <w:pPr>
                            <w:pStyle w:val="44"/>
                            <w:jc w:val="left"/>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7.65pt;width:23.45pt;mso-position-horizontal:outside;mso-position-horizontal-relative:margin;mso-wrap-style:none;z-index:251667456;mso-width-relative:page;mso-height-relative:page;" filled="f" stroked="f" coordsize="21600,21600" o:gfxdata="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wmh1tIAAAADAQAADwAAAAAAAAABACAAAAAiAAAAZHJzL2Rvd25yZXYueG1sUEsBAhQA&#10;FAAAAAgAh07iQNc/9BoxAgAAVAQAAA4AAAAAAAAAAQAgAAAAIQEAAGRycy9lMm9Eb2MueG1sUEsF&#10;BgAAAAAGAAYAWQEAAMQFAAAAAA==&#10;">
              <v:fill on="f" focussize="0,0"/>
              <v:stroke on="f" weight="0.5pt"/>
              <v:imagedata o:title=""/>
              <o:lock v:ext="edit" aspectratio="f"/>
              <v:textbox inset="0mm,0mm,0mm,0mm" style="mso-fit-shape-to-text:t;">
                <w:txbxContent>
                  <w:p w14:paraId="5CD34BC0">
                    <w:pPr>
                      <w:pStyle w:val="44"/>
                      <w:jc w:val="left"/>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44CD8">
    <w:pPr>
      <w:pStyle w:val="17"/>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B9BF71">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9B9BF71">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7CFC">
    <w:pPr>
      <w:pStyle w:val="44"/>
      <w:spacing w:before="0"/>
      <w:ind w:right="0"/>
      <w:jc w:val="both"/>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91135" cy="131445"/>
              <wp:effectExtent l="0" t="0" r="0" b="0"/>
              <wp:wrapNone/>
              <wp:docPr id="15" name="文本框 1"/>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30FA848D">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0.35pt;width:15.05pt;mso-position-horizontal:outside;mso-position-horizontal-relative:margin;mso-wrap-style:none;z-index:251669504;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YbBvtEAAAADAQAADwAAAAAAAAABACAAAAAiAAAAZHJzL2Rvd25yZXYueG1sUEsBAhQAFAAA&#10;AAgAh07iQMnYolYvAgAAVAQAAA4AAAAAAAAAAQAgAAAAIAEAAGRycy9lMm9Eb2MueG1sUEsFBgAA&#10;AAAGAAYAWQEAAMEFAAAAAA==&#10;">
              <v:fill on="f" focussize="0,0"/>
              <v:stroke on="f" weight="0.5pt"/>
              <v:imagedata o:title=""/>
              <o:lock v:ext="edit" aspectratio="f"/>
              <v:textbox inset="0mm,0mm,0mm,0mm" style="mso-fit-shape-to-text:t;">
                <w:txbxContent>
                  <w:p w14:paraId="30FA848D">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81748">
    <w:pPr>
      <w:pStyle w:val="17"/>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91135" cy="131445"/>
              <wp:effectExtent l="0" t="0" r="0" b="0"/>
              <wp:wrapNone/>
              <wp:docPr id="14" name="文本框 2"/>
              <wp:cNvGraphicFramePr/>
              <a:graphic xmlns:a="http://schemas.openxmlformats.org/drawingml/2006/main">
                <a:graphicData uri="http://schemas.microsoft.com/office/word/2010/wordprocessingShape">
                  <wps:wsp>
                    <wps:cNvSpPr txBox="1"/>
                    <wps:spPr>
                      <a:xfrm>
                        <a:off x="0" y="0"/>
                        <a:ext cx="191135" cy="131445"/>
                      </a:xfrm>
                      <a:prstGeom prst="rect">
                        <a:avLst/>
                      </a:prstGeom>
                      <a:noFill/>
                      <a:ln w="6350">
                        <a:noFill/>
                      </a:ln>
                    </wps:spPr>
                    <wps:txbx>
                      <w:txbxContent>
                        <w:p w14:paraId="7D744943">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0.35pt;width:15.05pt;mso-position-horizontal:outside;mso-position-horizontal-relative:margin;mso-wrap-style:none;z-index:251668480;mso-width-relative:page;mso-height-relative:page;" filled="f" stroked="f" coordsize="21600,21600" o:gfxdata="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WGwb7RAAAAAwEAAA8AAAAAAAAAAQAgAAAAIgAAAGRycy9kb3ducmV2LnhtbFBLAQIUABQA&#10;AAAIAIdO4kCQOLPZMAIAAFQEAAAOAAAAAAAAAAEAIAAAACABAABkcnMvZTJvRG9jLnhtbFBLBQYA&#10;AAAABgAGAFkBAADCBQAAAAA=&#10;">
              <v:fill on="f" focussize="0,0"/>
              <v:stroke on="f" weight="0.5pt"/>
              <v:imagedata o:title=""/>
              <o:lock v:ext="edit" aspectratio="f"/>
              <v:textbox inset="0mm,0mm,0mm,0mm" style="mso-fit-shape-to-text:t;">
                <w:txbxContent>
                  <w:p w14:paraId="7D744943">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69F14">
    <w:pPr>
      <w:pStyle w:val="18"/>
    </w:pPr>
    <w:r>
      <w:rPr>
        <w:b/>
      </w:rPr>
      <w:t>T/</w:t>
    </w:r>
    <w:r>
      <w:rPr>
        <w:rFonts w:hint="eastAsia"/>
        <w:b/>
      </w:rPr>
      <w:t>CCAA 36</w:t>
    </w:r>
    <w:r>
      <w:t>-20</w:t>
    </w:r>
    <w:r>
      <w:rPr>
        <w:rFonts w:hint="eastAsia"/>
      </w:rPr>
      <w:t>20X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E384B">
    <w:pPr>
      <w:pStyle w:val="18"/>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1199F">
    <w:pPr>
      <w:pStyle w:val="18"/>
      <w:jc w:val="right"/>
      <w:rPr>
        <w:sz w:val="21"/>
        <w:szCs w:val="21"/>
      </w:rPr>
    </w:pPr>
    <w:r>
      <w:rPr>
        <w:rFonts w:hint="eastAsia" w:ascii="黑体" w:hAnsi="黑体" w:eastAsia="黑体" w:cs="黑体"/>
        <w:b w:val="0"/>
        <w:bCs/>
        <w:sz w:val="21"/>
        <w:szCs w:val="21"/>
      </w:rPr>
      <w:t xml:space="preserve">T/CCAA </w:t>
    </w:r>
    <w:r>
      <w:rPr>
        <w:rFonts w:hint="eastAsia" w:ascii="黑体" w:hAnsi="黑体" w:eastAsia="黑体" w:cs="黑体"/>
        <w:b w:val="0"/>
        <w:bCs/>
        <w:sz w:val="21"/>
        <w:szCs w:val="21"/>
        <w:lang w:val="en-US" w:eastAsia="zh-CN"/>
      </w:rPr>
      <w:t>XX</w:t>
    </w:r>
    <w:r>
      <w:rPr>
        <w:rFonts w:hint="eastAsia" w:ascii="黑体" w:hAnsi="黑体" w:eastAsia="黑体" w:cs="黑体"/>
        <w:b w:val="0"/>
        <w:bCs/>
        <w:sz w:val="21"/>
        <w:szCs w:val="21"/>
      </w:rPr>
      <w:t>-202X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388E4">
    <w:pPr>
      <w:pStyle w:val="18"/>
      <w:rPr>
        <w:rFonts w:hint="eastAsia" w:ascii="黑体" w:hAnsi="黑体" w:eastAsia="黑体" w:cs="黑体"/>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8655">
    <w:pPr>
      <w:pStyle w:val="18"/>
    </w:pPr>
    <w:r>
      <w:rPr>
        <w:b/>
      </w:rPr>
      <w:t>T/</w:t>
    </w:r>
    <w:r>
      <w:rPr>
        <w:rFonts w:hint="eastAsia"/>
        <w:b/>
      </w:rPr>
      <w:t>CCAA XX</w:t>
    </w:r>
    <w:r>
      <w:t>-20</w:t>
    </w:r>
    <w:r>
      <w:rPr>
        <w:rFonts w:hint="eastAsia"/>
      </w:rPr>
      <w:t>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23C70">
    <w:pPr>
      <w:pStyle w:val="18"/>
      <w:rPr>
        <w:rFonts w:ascii="黑体" w:hAnsi="黑体" w:eastAsia="黑体" w:cs="黑体"/>
        <w:sz w:val="21"/>
        <w:szCs w:val="21"/>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sz w:val="21"/>
        <w:szCs w:val="21"/>
      </w:rPr>
      <w:t>-202</w:t>
    </w:r>
    <w:r>
      <w:rPr>
        <w:rFonts w:ascii="黑体" w:hAnsi="黑体" w:eastAsia="黑体" w:cs="黑体"/>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FDA2">
    <w:pPr>
      <w:pStyle w:val="18"/>
      <w:jc w:val="right"/>
      <w:rPr>
        <w:bCs/>
      </w:rPr>
    </w:pPr>
    <w:r>
      <w:rPr>
        <w:rFonts w:hint="eastAsia" w:ascii="黑体" w:hAnsi="黑体" w:eastAsia="黑体" w:cs="黑体"/>
        <w:bCs/>
        <w:sz w:val="21"/>
        <w:szCs w:val="21"/>
      </w:rPr>
      <w:t xml:space="preserve">T/CCAA </w:t>
    </w:r>
    <w:r>
      <w:rPr>
        <w:rFonts w:ascii="黑体" w:hAnsi="黑体" w:eastAsia="黑体" w:cs="黑体"/>
        <w:bCs/>
        <w:sz w:val="21"/>
        <w:szCs w:val="21"/>
      </w:rPr>
      <w:t>XX</w:t>
    </w:r>
    <w:r>
      <w:rPr>
        <w:rFonts w:hint="eastAsia" w:ascii="黑体" w:hAnsi="黑体" w:eastAsia="黑体" w:cs="黑体"/>
        <w:bCs/>
        <w:sz w:val="21"/>
        <w:szCs w:val="21"/>
      </w:rPr>
      <w:t>-202</w:t>
    </w:r>
    <w:r>
      <w:rPr>
        <w:rFonts w:ascii="黑体" w:hAnsi="黑体" w:eastAsia="黑体" w:cs="黑体"/>
        <w:bCs/>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6"/>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8"/>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6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5"/>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pStyle w:val="170"/>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pStyle w:val="6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20F62E9"/>
    <w:multiLevelType w:val="multilevel"/>
    <w:tmpl w:val="520F62E9"/>
    <w:lvl w:ilvl="0" w:tentative="0">
      <w:start w:val="1"/>
      <w:numFmt w:val="decimal"/>
      <w:pStyle w:val="129"/>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59"/>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7"/>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63"/>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4MDUzYjNhNWQ5MmEzOWM5OTYxMjBiNzVjMGU3ZGEifQ=="/>
  </w:docVars>
  <w:rsids>
    <w:rsidRoot w:val="00035925"/>
    <w:rsid w:val="00000244"/>
    <w:rsid w:val="00000BB3"/>
    <w:rsid w:val="0000185F"/>
    <w:rsid w:val="00004B91"/>
    <w:rsid w:val="00004E32"/>
    <w:rsid w:val="0000586F"/>
    <w:rsid w:val="0000606B"/>
    <w:rsid w:val="00013D86"/>
    <w:rsid w:val="00013E02"/>
    <w:rsid w:val="0002143C"/>
    <w:rsid w:val="00025A65"/>
    <w:rsid w:val="00026C31"/>
    <w:rsid w:val="00027280"/>
    <w:rsid w:val="000320A7"/>
    <w:rsid w:val="000325EA"/>
    <w:rsid w:val="00032E0A"/>
    <w:rsid w:val="00034D2D"/>
    <w:rsid w:val="00035925"/>
    <w:rsid w:val="00036C2C"/>
    <w:rsid w:val="0004530E"/>
    <w:rsid w:val="00045A7C"/>
    <w:rsid w:val="000502B6"/>
    <w:rsid w:val="00053BCA"/>
    <w:rsid w:val="00055081"/>
    <w:rsid w:val="00055371"/>
    <w:rsid w:val="00055A30"/>
    <w:rsid w:val="00056A24"/>
    <w:rsid w:val="00057CE5"/>
    <w:rsid w:val="000607A3"/>
    <w:rsid w:val="000657F7"/>
    <w:rsid w:val="00067CDF"/>
    <w:rsid w:val="000709E3"/>
    <w:rsid w:val="00072FD6"/>
    <w:rsid w:val="00074FBE"/>
    <w:rsid w:val="0007762A"/>
    <w:rsid w:val="00081F6E"/>
    <w:rsid w:val="00083A09"/>
    <w:rsid w:val="00083BFE"/>
    <w:rsid w:val="0009005E"/>
    <w:rsid w:val="000918A9"/>
    <w:rsid w:val="00092001"/>
    <w:rsid w:val="00092618"/>
    <w:rsid w:val="00092857"/>
    <w:rsid w:val="00092BD8"/>
    <w:rsid w:val="000930CD"/>
    <w:rsid w:val="000959B3"/>
    <w:rsid w:val="00095D5A"/>
    <w:rsid w:val="000964C7"/>
    <w:rsid w:val="000979D9"/>
    <w:rsid w:val="000A20A9"/>
    <w:rsid w:val="000A36CA"/>
    <w:rsid w:val="000A48B1"/>
    <w:rsid w:val="000A5F21"/>
    <w:rsid w:val="000A76E3"/>
    <w:rsid w:val="000B2C50"/>
    <w:rsid w:val="000B2F0E"/>
    <w:rsid w:val="000B3143"/>
    <w:rsid w:val="000B405D"/>
    <w:rsid w:val="000C2BE6"/>
    <w:rsid w:val="000C6B05"/>
    <w:rsid w:val="000C6DD6"/>
    <w:rsid w:val="000C73D4"/>
    <w:rsid w:val="000D3D4C"/>
    <w:rsid w:val="000D4F51"/>
    <w:rsid w:val="000D54FC"/>
    <w:rsid w:val="000D718B"/>
    <w:rsid w:val="000D7BD9"/>
    <w:rsid w:val="000E025C"/>
    <w:rsid w:val="000E0C46"/>
    <w:rsid w:val="000E15EE"/>
    <w:rsid w:val="000E3676"/>
    <w:rsid w:val="000F030C"/>
    <w:rsid w:val="000F129C"/>
    <w:rsid w:val="000F174F"/>
    <w:rsid w:val="000F36DB"/>
    <w:rsid w:val="000F5661"/>
    <w:rsid w:val="00104E29"/>
    <w:rsid w:val="001056DE"/>
    <w:rsid w:val="001124C0"/>
    <w:rsid w:val="00117A25"/>
    <w:rsid w:val="00121293"/>
    <w:rsid w:val="001224FE"/>
    <w:rsid w:val="0013175F"/>
    <w:rsid w:val="0013364D"/>
    <w:rsid w:val="001343BB"/>
    <w:rsid w:val="00134539"/>
    <w:rsid w:val="00140F58"/>
    <w:rsid w:val="00143425"/>
    <w:rsid w:val="001512B4"/>
    <w:rsid w:val="00153A26"/>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A0E8F"/>
    <w:rsid w:val="001A288E"/>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F3A19"/>
    <w:rsid w:val="001F4EB7"/>
    <w:rsid w:val="001F771A"/>
    <w:rsid w:val="002009E4"/>
    <w:rsid w:val="00201053"/>
    <w:rsid w:val="0020251B"/>
    <w:rsid w:val="00204DCD"/>
    <w:rsid w:val="002073D3"/>
    <w:rsid w:val="00212EBD"/>
    <w:rsid w:val="00212FCA"/>
    <w:rsid w:val="00213D03"/>
    <w:rsid w:val="00215D48"/>
    <w:rsid w:val="0021624B"/>
    <w:rsid w:val="0022185E"/>
    <w:rsid w:val="0022620A"/>
    <w:rsid w:val="00227FED"/>
    <w:rsid w:val="0023030A"/>
    <w:rsid w:val="00230F08"/>
    <w:rsid w:val="00234467"/>
    <w:rsid w:val="00235BE6"/>
    <w:rsid w:val="00237D8D"/>
    <w:rsid w:val="00241DA2"/>
    <w:rsid w:val="00247FEE"/>
    <w:rsid w:val="00250B57"/>
    <w:rsid w:val="00250E7D"/>
    <w:rsid w:val="002523DB"/>
    <w:rsid w:val="002527DD"/>
    <w:rsid w:val="00252DAA"/>
    <w:rsid w:val="002565D5"/>
    <w:rsid w:val="002622C0"/>
    <w:rsid w:val="00263510"/>
    <w:rsid w:val="002656A5"/>
    <w:rsid w:val="002777BD"/>
    <w:rsid w:val="002778AE"/>
    <w:rsid w:val="0028269A"/>
    <w:rsid w:val="0028314A"/>
    <w:rsid w:val="00283590"/>
    <w:rsid w:val="0028500B"/>
    <w:rsid w:val="00286973"/>
    <w:rsid w:val="00287674"/>
    <w:rsid w:val="002938A4"/>
    <w:rsid w:val="00294E70"/>
    <w:rsid w:val="002954B8"/>
    <w:rsid w:val="002967B2"/>
    <w:rsid w:val="002A1924"/>
    <w:rsid w:val="002A5837"/>
    <w:rsid w:val="002A7420"/>
    <w:rsid w:val="002A7A7E"/>
    <w:rsid w:val="002B0F12"/>
    <w:rsid w:val="002B1308"/>
    <w:rsid w:val="002B4554"/>
    <w:rsid w:val="002B707C"/>
    <w:rsid w:val="002C0FBB"/>
    <w:rsid w:val="002C72D8"/>
    <w:rsid w:val="002D11FA"/>
    <w:rsid w:val="002D17BC"/>
    <w:rsid w:val="002D19A4"/>
    <w:rsid w:val="002D6352"/>
    <w:rsid w:val="002E0DDF"/>
    <w:rsid w:val="002E2906"/>
    <w:rsid w:val="002E5249"/>
    <w:rsid w:val="002E5635"/>
    <w:rsid w:val="002E64C3"/>
    <w:rsid w:val="002E6A2C"/>
    <w:rsid w:val="002F035E"/>
    <w:rsid w:val="002F0FE8"/>
    <w:rsid w:val="002F1D8C"/>
    <w:rsid w:val="002F21DA"/>
    <w:rsid w:val="002F34B8"/>
    <w:rsid w:val="002F3D70"/>
    <w:rsid w:val="00301F39"/>
    <w:rsid w:val="00303D27"/>
    <w:rsid w:val="00305BEE"/>
    <w:rsid w:val="003067E6"/>
    <w:rsid w:val="00312975"/>
    <w:rsid w:val="00313962"/>
    <w:rsid w:val="003234E0"/>
    <w:rsid w:val="00323F03"/>
    <w:rsid w:val="00325926"/>
    <w:rsid w:val="00327252"/>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77824"/>
    <w:rsid w:val="003818A4"/>
    <w:rsid w:val="00383191"/>
    <w:rsid w:val="00386DED"/>
    <w:rsid w:val="003912E7"/>
    <w:rsid w:val="0039307C"/>
    <w:rsid w:val="00393947"/>
    <w:rsid w:val="00395141"/>
    <w:rsid w:val="003A0E27"/>
    <w:rsid w:val="003A14AD"/>
    <w:rsid w:val="003A1E26"/>
    <w:rsid w:val="003A2275"/>
    <w:rsid w:val="003A6A4F"/>
    <w:rsid w:val="003A7088"/>
    <w:rsid w:val="003B00DF"/>
    <w:rsid w:val="003B0B56"/>
    <w:rsid w:val="003B1275"/>
    <w:rsid w:val="003B1778"/>
    <w:rsid w:val="003C11CB"/>
    <w:rsid w:val="003C3017"/>
    <w:rsid w:val="003C663B"/>
    <w:rsid w:val="003C6A77"/>
    <w:rsid w:val="003C6E99"/>
    <w:rsid w:val="003C75F3"/>
    <w:rsid w:val="003C78A3"/>
    <w:rsid w:val="003D0EC8"/>
    <w:rsid w:val="003D36AB"/>
    <w:rsid w:val="003E1867"/>
    <w:rsid w:val="003E5729"/>
    <w:rsid w:val="003E6280"/>
    <w:rsid w:val="003E724E"/>
    <w:rsid w:val="003F1D40"/>
    <w:rsid w:val="003F22BB"/>
    <w:rsid w:val="003F2A5B"/>
    <w:rsid w:val="003F4EE0"/>
    <w:rsid w:val="003F5559"/>
    <w:rsid w:val="003F6861"/>
    <w:rsid w:val="00400473"/>
    <w:rsid w:val="00401A53"/>
    <w:rsid w:val="00402153"/>
    <w:rsid w:val="004023FF"/>
    <w:rsid w:val="00402E26"/>
    <w:rsid w:val="00402FC1"/>
    <w:rsid w:val="004157CB"/>
    <w:rsid w:val="004200D9"/>
    <w:rsid w:val="00425082"/>
    <w:rsid w:val="00430053"/>
    <w:rsid w:val="00431DEB"/>
    <w:rsid w:val="00440A06"/>
    <w:rsid w:val="0044259D"/>
    <w:rsid w:val="004439D9"/>
    <w:rsid w:val="00446B29"/>
    <w:rsid w:val="00451F6D"/>
    <w:rsid w:val="004524BE"/>
    <w:rsid w:val="00453F9A"/>
    <w:rsid w:val="00454CC3"/>
    <w:rsid w:val="00464903"/>
    <w:rsid w:val="00471E91"/>
    <w:rsid w:val="0047401F"/>
    <w:rsid w:val="00474079"/>
    <w:rsid w:val="00474675"/>
    <w:rsid w:val="0047470C"/>
    <w:rsid w:val="00482582"/>
    <w:rsid w:val="00484C88"/>
    <w:rsid w:val="00486991"/>
    <w:rsid w:val="00490BA1"/>
    <w:rsid w:val="004A203E"/>
    <w:rsid w:val="004A32B4"/>
    <w:rsid w:val="004A35F9"/>
    <w:rsid w:val="004A4662"/>
    <w:rsid w:val="004A7A3B"/>
    <w:rsid w:val="004A7E02"/>
    <w:rsid w:val="004B157A"/>
    <w:rsid w:val="004B24C1"/>
    <w:rsid w:val="004B3092"/>
    <w:rsid w:val="004B49B1"/>
    <w:rsid w:val="004B557C"/>
    <w:rsid w:val="004C292F"/>
    <w:rsid w:val="004C657F"/>
    <w:rsid w:val="004D306F"/>
    <w:rsid w:val="004D4B02"/>
    <w:rsid w:val="004D4F76"/>
    <w:rsid w:val="004E4B13"/>
    <w:rsid w:val="004E4B8C"/>
    <w:rsid w:val="004E5A47"/>
    <w:rsid w:val="004E76B5"/>
    <w:rsid w:val="004F50E5"/>
    <w:rsid w:val="004F6651"/>
    <w:rsid w:val="005036E2"/>
    <w:rsid w:val="00510280"/>
    <w:rsid w:val="0051035F"/>
    <w:rsid w:val="00511F7E"/>
    <w:rsid w:val="00513D73"/>
    <w:rsid w:val="005148B3"/>
    <w:rsid w:val="00514A43"/>
    <w:rsid w:val="00515E9C"/>
    <w:rsid w:val="005174E5"/>
    <w:rsid w:val="005175A0"/>
    <w:rsid w:val="00520898"/>
    <w:rsid w:val="00522393"/>
    <w:rsid w:val="00522620"/>
    <w:rsid w:val="00525656"/>
    <w:rsid w:val="00525BF3"/>
    <w:rsid w:val="00530E6E"/>
    <w:rsid w:val="005338DE"/>
    <w:rsid w:val="00533EAE"/>
    <w:rsid w:val="00534C02"/>
    <w:rsid w:val="00535EAF"/>
    <w:rsid w:val="0053708C"/>
    <w:rsid w:val="0054044C"/>
    <w:rsid w:val="00540A31"/>
    <w:rsid w:val="0054264B"/>
    <w:rsid w:val="00543786"/>
    <w:rsid w:val="00545A49"/>
    <w:rsid w:val="005463CC"/>
    <w:rsid w:val="00546D0D"/>
    <w:rsid w:val="00547C78"/>
    <w:rsid w:val="0055153A"/>
    <w:rsid w:val="005533D7"/>
    <w:rsid w:val="00554B63"/>
    <w:rsid w:val="00562CF6"/>
    <w:rsid w:val="00563044"/>
    <w:rsid w:val="0056544B"/>
    <w:rsid w:val="005657EC"/>
    <w:rsid w:val="00567177"/>
    <w:rsid w:val="005703DE"/>
    <w:rsid w:val="00570B0A"/>
    <w:rsid w:val="005710BC"/>
    <w:rsid w:val="005751F7"/>
    <w:rsid w:val="005755F1"/>
    <w:rsid w:val="00577DE2"/>
    <w:rsid w:val="0058191F"/>
    <w:rsid w:val="00582BBE"/>
    <w:rsid w:val="005836F0"/>
    <w:rsid w:val="0058464E"/>
    <w:rsid w:val="0058650E"/>
    <w:rsid w:val="005A01CB"/>
    <w:rsid w:val="005A19A9"/>
    <w:rsid w:val="005A3F06"/>
    <w:rsid w:val="005A58FF"/>
    <w:rsid w:val="005A5EAF"/>
    <w:rsid w:val="005A6491"/>
    <w:rsid w:val="005A64C0"/>
    <w:rsid w:val="005A7FE9"/>
    <w:rsid w:val="005B1985"/>
    <w:rsid w:val="005B3C11"/>
    <w:rsid w:val="005B6513"/>
    <w:rsid w:val="005C1C28"/>
    <w:rsid w:val="005C43D0"/>
    <w:rsid w:val="005C6DB5"/>
    <w:rsid w:val="005C7424"/>
    <w:rsid w:val="005D0D2C"/>
    <w:rsid w:val="005D221E"/>
    <w:rsid w:val="005D3842"/>
    <w:rsid w:val="005E19E7"/>
    <w:rsid w:val="005E2392"/>
    <w:rsid w:val="00601622"/>
    <w:rsid w:val="0060313B"/>
    <w:rsid w:val="00605058"/>
    <w:rsid w:val="0060789B"/>
    <w:rsid w:val="0061037E"/>
    <w:rsid w:val="006107BA"/>
    <w:rsid w:val="00613FAA"/>
    <w:rsid w:val="00616C36"/>
    <w:rsid w:val="0061716C"/>
    <w:rsid w:val="006171AF"/>
    <w:rsid w:val="006176D1"/>
    <w:rsid w:val="00617868"/>
    <w:rsid w:val="006243A1"/>
    <w:rsid w:val="00626005"/>
    <w:rsid w:val="00632E56"/>
    <w:rsid w:val="00635CBA"/>
    <w:rsid w:val="00636EFC"/>
    <w:rsid w:val="0064338B"/>
    <w:rsid w:val="00646542"/>
    <w:rsid w:val="00647C8E"/>
    <w:rsid w:val="006504F4"/>
    <w:rsid w:val="0065366F"/>
    <w:rsid w:val="00654BC9"/>
    <w:rsid w:val="006552FD"/>
    <w:rsid w:val="00656F0B"/>
    <w:rsid w:val="00663733"/>
    <w:rsid w:val="00663AF3"/>
    <w:rsid w:val="00666B6C"/>
    <w:rsid w:val="00672F44"/>
    <w:rsid w:val="00677B54"/>
    <w:rsid w:val="00682682"/>
    <w:rsid w:val="00682702"/>
    <w:rsid w:val="00687FC9"/>
    <w:rsid w:val="00692368"/>
    <w:rsid w:val="00695192"/>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3"/>
    <w:rsid w:val="006E3675"/>
    <w:rsid w:val="006E4A7F"/>
    <w:rsid w:val="006E56E9"/>
    <w:rsid w:val="006F0967"/>
    <w:rsid w:val="006F2274"/>
    <w:rsid w:val="006F64A0"/>
    <w:rsid w:val="0070038F"/>
    <w:rsid w:val="007027B1"/>
    <w:rsid w:val="0070286C"/>
    <w:rsid w:val="00704DF6"/>
    <w:rsid w:val="0070641D"/>
    <w:rsid w:val="0070651C"/>
    <w:rsid w:val="0070683A"/>
    <w:rsid w:val="007132A3"/>
    <w:rsid w:val="00714A4F"/>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5415C"/>
    <w:rsid w:val="00757097"/>
    <w:rsid w:val="007606CB"/>
    <w:rsid w:val="00761E8B"/>
    <w:rsid w:val="00763502"/>
    <w:rsid w:val="00772089"/>
    <w:rsid w:val="00777725"/>
    <w:rsid w:val="00780DE2"/>
    <w:rsid w:val="00785003"/>
    <w:rsid w:val="007913AB"/>
    <w:rsid w:val="007914F7"/>
    <w:rsid w:val="00795C73"/>
    <w:rsid w:val="007A000F"/>
    <w:rsid w:val="007A2BDB"/>
    <w:rsid w:val="007A4809"/>
    <w:rsid w:val="007A637E"/>
    <w:rsid w:val="007B1625"/>
    <w:rsid w:val="007B706E"/>
    <w:rsid w:val="007B71EB"/>
    <w:rsid w:val="007C0748"/>
    <w:rsid w:val="007C4AC3"/>
    <w:rsid w:val="007C6205"/>
    <w:rsid w:val="007C686A"/>
    <w:rsid w:val="007C728E"/>
    <w:rsid w:val="007C72A8"/>
    <w:rsid w:val="007D0BE0"/>
    <w:rsid w:val="007D204F"/>
    <w:rsid w:val="007D2C53"/>
    <w:rsid w:val="007D3D60"/>
    <w:rsid w:val="007D7E6E"/>
    <w:rsid w:val="007E1980"/>
    <w:rsid w:val="007E22FF"/>
    <w:rsid w:val="007E4B76"/>
    <w:rsid w:val="007E4ECD"/>
    <w:rsid w:val="007E5043"/>
    <w:rsid w:val="007E5EA8"/>
    <w:rsid w:val="007E74ED"/>
    <w:rsid w:val="007F0CF1"/>
    <w:rsid w:val="007F12A5"/>
    <w:rsid w:val="007F2D74"/>
    <w:rsid w:val="007F3FB7"/>
    <w:rsid w:val="007F4CF1"/>
    <w:rsid w:val="007F54D6"/>
    <w:rsid w:val="007F758D"/>
    <w:rsid w:val="007F7D52"/>
    <w:rsid w:val="008000DA"/>
    <w:rsid w:val="00802D2A"/>
    <w:rsid w:val="008047D3"/>
    <w:rsid w:val="0080484A"/>
    <w:rsid w:val="00805589"/>
    <w:rsid w:val="008057A5"/>
    <w:rsid w:val="00805E2F"/>
    <w:rsid w:val="0080654C"/>
    <w:rsid w:val="008071C6"/>
    <w:rsid w:val="00815D1E"/>
    <w:rsid w:val="00817A00"/>
    <w:rsid w:val="0082014D"/>
    <w:rsid w:val="00820907"/>
    <w:rsid w:val="00820B95"/>
    <w:rsid w:val="00820C67"/>
    <w:rsid w:val="00825891"/>
    <w:rsid w:val="00831631"/>
    <w:rsid w:val="0083228D"/>
    <w:rsid w:val="00833D07"/>
    <w:rsid w:val="00835DB3"/>
    <w:rsid w:val="0083617B"/>
    <w:rsid w:val="0083627B"/>
    <w:rsid w:val="00836342"/>
    <w:rsid w:val="00836A2D"/>
    <w:rsid w:val="008371BD"/>
    <w:rsid w:val="00840EBF"/>
    <w:rsid w:val="008503D0"/>
    <w:rsid w:val="008504A8"/>
    <w:rsid w:val="00851B58"/>
    <w:rsid w:val="0085282E"/>
    <w:rsid w:val="00854769"/>
    <w:rsid w:val="008608E6"/>
    <w:rsid w:val="0087198C"/>
    <w:rsid w:val="00872C1F"/>
    <w:rsid w:val="00873B42"/>
    <w:rsid w:val="00875D43"/>
    <w:rsid w:val="00877CB0"/>
    <w:rsid w:val="008805AC"/>
    <w:rsid w:val="00880D1A"/>
    <w:rsid w:val="00884468"/>
    <w:rsid w:val="008856D8"/>
    <w:rsid w:val="00886722"/>
    <w:rsid w:val="00887C29"/>
    <w:rsid w:val="00892E82"/>
    <w:rsid w:val="00893277"/>
    <w:rsid w:val="008943AB"/>
    <w:rsid w:val="008955FB"/>
    <w:rsid w:val="00895FA9"/>
    <w:rsid w:val="00897DC0"/>
    <w:rsid w:val="008A1035"/>
    <w:rsid w:val="008A6E08"/>
    <w:rsid w:val="008C0BE9"/>
    <w:rsid w:val="008C1B58"/>
    <w:rsid w:val="008C39AE"/>
    <w:rsid w:val="008C40DF"/>
    <w:rsid w:val="008C4734"/>
    <w:rsid w:val="008C590D"/>
    <w:rsid w:val="008D447E"/>
    <w:rsid w:val="008D7566"/>
    <w:rsid w:val="008E031B"/>
    <w:rsid w:val="008E0560"/>
    <w:rsid w:val="008E2D8C"/>
    <w:rsid w:val="008E7029"/>
    <w:rsid w:val="008E7757"/>
    <w:rsid w:val="008E7EF6"/>
    <w:rsid w:val="008F01AB"/>
    <w:rsid w:val="008F1F98"/>
    <w:rsid w:val="008F2340"/>
    <w:rsid w:val="008F2790"/>
    <w:rsid w:val="008F6758"/>
    <w:rsid w:val="009040DD"/>
    <w:rsid w:val="00905B47"/>
    <w:rsid w:val="0090690F"/>
    <w:rsid w:val="00911391"/>
    <w:rsid w:val="0091190E"/>
    <w:rsid w:val="0091331C"/>
    <w:rsid w:val="009137BD"/>
    <w:rsid w:val="0091503D"/>
    <w:rsid w:val="009279DE"/>
    <w:rsid w:val="00927AB9"/>
    <w:rsid w:val="00927B37"/>
    <w:rsid w:val="00930116"/>
    <w:rsid w:val="00930625"/>
    <w:rsid w:val="00933A1A"/>
    <w:rsid w:val="00937A1E"/>
    <w:rsid w:val="00941082"/>
    <w:rsid w:val="0094212C"/>
    <w:rsid w:val="00944853"/>
    <w:rsid w:val="0094609D"/>
    <w:rsid w:val="0095378C"/>
    <w:rsid w:val="00954689"/>
    <w:rsid w:val="0095472A"/>
    <w:rsid w:val="00955BFB"/>
    <w:rsid w:val="00956120"/>
    <w:rsid w:val="0096085A"/>
    <w:rsid w:val="009617C9"/>
    <w:rsid w:val="00961C93"/>
    <w:rsid w:val="009625BF"/>
    <w:rsid w:val="00962B4E"/>
    <w:rsid w:val="00965324"/>
    <w:rsid w:val="00967F90"/>
    <w:rsid w:val="0097091E"/>
    <w:rsid w:val="009760D3"/>
    <w:rsid w:val="00977132"/>
    <w:rsid w:val="00981A4B"/>
    <w:rsid w:val="00982250"/>
    <w:rsid w:val="00982501"/>
    <w:rsid w:val="009837EE"/>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D0E"/>
    <w:rsid w:val="009C39C2"/>
    <w:rsid w:val="009C3DAC"/>
    <w:rsid w:val="009C42E0"/>
    <w:rsid w:val="009C74E8"/>
    <w:rsid w:val="009D3230"/>
    <w:rsid w:val="009D5362"/>
    <w:rsid w:val="009E1415"/>
    <w:rsid w:val="009E6116"/>
    <w:rsid w:val="009E7E25"/>
    <w:rsid w:val="009F1810"/>
    <w:rsid w:val="009F546C"/>
    <w:rsid w:val="009F5492"/>
    <w:rsid w:val="00A02E43"/>
    <w:rsid w:val="00A05308"/>
    <w:rsid w:val="00A05368"/>
    <w:rsid w:val="00A06514"/>
    <w:rsid w:val="00A065F9"/>
    <w:rsid w:val="00A07011"/>
    <w:rsid w:val="00A07F34"/>
    <w:rsid w:val="00A07F8A"/>
    <w:rsid w:val="00A12A77"/>
    <w:rsid w:val="00A22154"/>
    <w:rsid w:val="00A24058"/>
    <w:rsid w:val="00A25C38"/>
    <w:rsid w:val="00A35824"/>
    <w:rsid w:val="00A36A60"/>
    <w:rsid w:val="00A36BBE"/>
    <w:rsid w:val="00A37C20"/>
    <w:rsid w:val="00A40D9E"/>
    <w:rsid w:val="00A41DF7"/>
    <w:rsid w:val="00A420B1"/>
    <w:rsid w:val="00A42ECA"/>
    <w:rsid w:val="00A4307A"/>
    <w:rsid w:val="00A46DEF"/>
    <w:rsid w:val="00A47EBB"/>
    <w:rsid w:val="00A51CDD"/>
    <w:rsid w:val="00A563F8"/>
    <w:rsid w:val="00A56BBA"/>
    <w:rsid w:val="00A653A7"/>
    <w:rsid w:val="00A6730D"/>
    <w:rsid w:val="00A71625"/>
    <w:rsid w:val="00A71B9B"/>
    <w:rsid w:val="00A751C7"/>
    <w:rsid w:val="00A80008"/>
    <w:rsid w:val="00A84CE5"/>
    <w:rsid w:val="00A8558D"/>
    <w:rsid w:val="00A87844"/>
    <w:rsid w:val="00A9227B"/>
    <w:rsid w:val="00A97A55"/>
    <w:rsid w:val="00AA038C"/>
    <w:rsid w:val="00AA0A31"/>
    <w:rsid w:val="00AA0BF7"/>
    <w:rsid w:val="00AA3471"/>
    <w:rsid w:val="00AA7A09"/>
    <w:rsid w:val="00AB3B50"/>
    <w:rsid w:val="00AB3D62"/>
    <w:rsid w:val="00AC05B1"/>
    <w:rsid w:val="00AC450C"/>
    <w:rsid w:val="00AC7966"/>
    <w:rsid w:val="00AD340B"/>
    <w:rsid w:val="00AD356C"/>
    <w:rsid w:val="00AE2914"/>
    <w:rsid w:val="00AE6D15"/>
    <w:rsid w:val="00AE7023"/>
    <w:rsid w:val="00AE7105"/>
    <w:rsid w:val="00AE78AA"/>
    <w:rsid w:val="00AF0EF3"/>
    <w:rsid w:val="00AF1F49"/>
    <w:rsid w:val="00AF2D81"/>
    <w:rsid w:val="00B02463"/>
    <w:rsid w:val="00B04182"/>
    <w:rsid w:val="00B05ECF"/>
    <w:rsid w:val="00B07AE3"/>
    <w:rsid w:val="00B11430"/>
    <w:rsid w:val="00B12A5D"/>
    <w:rsid w:val="00B16A48"/>
    <w:rsid w:val="00B242F4"/>
    <w:rsid w:val="00B2477A"/>
    <w:rsid w:val="00B24D1C"/>
    <w:rsid w:val="00B30072"/>
    <w:rsid w:val="00B30481"/>
    <w:rsid w:val="00B3312F"/>
    <w:rsid w:val="00B34A0E"/>
    <w:rsid w:val="00B353EB"/>
    <w:rsid w:val="00B4016F"/>
    <w:rsid w:val="00B407AC"/>
    <w:rsid w:val="00B42BED"/>
    <w:rsid w:val="00B43374"/>
    <w:rsid w:val="00B439C4"/>
    <w:rsid w:val="00B43ACB"/>
    <w:rsid w:val="00B4535E"/>
    <w:rsid w:val="00B52A8C"/>
    <w:rsid w:val="00B54707"/>
    <w:rsid w:val="00B56155"/>
    <w:rsid w:val="00B62F11"/>
    <w:rsid w:val="00B63042"/>
    <w:rsid w:val="00B636A8"/>
    <w:rsid w:val="00B665C6"/>
    <w:rsid w:val="00B70FA2"/>
    <w:rsid w:val="00B72AD8"/>
    <w:rsid w:val="00B74441"/>
    <w:rsid w:val="00B758A5"/>
    <w:rsid w:val="00B805AF"/>
    <w:rsid w:val="00B814AA"/>
    <w:rsid w:val="00B81C63"/>
    <w:rsid w:val="00B82BD5"/>
    <w:rsid w:val="00B82D46"/>
    <w:rsid w:val="00B84E13"/>
    <w:rsid w:val="00B869EC"/>
    <w:rsid w:val="00B92383"/>
    <w:rsid w:val="00B9397A"/>
    <w:rsid w:val="00B9633D"/>
    <w:rsid w:val="00B967D5"/>
    <w:rsid w:val="00BA148C"/>
    <w:rsid w:val="00BA2EBE"/>
    <w:rsid w:val="00BA5F58"/>
    <w:rsid w:val="00BB0F28"/>
    <w:rsid w:val="00BB2DFF"/>
    <w:rsid w:val="00BB458A"/>
    <w:rsid w:val="00BB568A"/>
    <w:rsid w:val="00BB693F"/>
    <w:rsid w:val="00BB6C11"/>
    <w:rsid w:val="00BC4248"/>
    <w:rsid w:val="00BC5953"/>
    <w:rsid w:val="00BD00D3"/>
    <w:rsid w:val="00BD1659"/>
    <w:rsid w:val="00BD3AA9"/>
    <w:rsid w:val="00BD4A18"/>
    <w:rsid w:val="00BD4DAC"/>
    <w:rsid w:val="00BD6DB2"/>
    <w:rsid w:val="00BD73A1"/>
    <w:rsid w:val="00BE11CF"/>
    <w:rsid w:val="00BE1F60"/>
    <w:rsid w:val="00BE21AB"/>
    <w:rsid w:val="00BE55CB"/>
    <w:rsid w:val="00BE7067"/>
    <w:rsid w:val="00BF3BB2"/>
    <w:rsid w:val="00BF617A"/>
    <w:rsid w:val="00C0379D"/>
    <w:rsid w:val="00C03931"/>
    <w:rsid w:val="00C04E28"/>
    <w:rsid w:val="00C05FE3"/>
    <w:rsid w:val="00C11DA9"/>
    <w:rsid w:val="00C13624"/>
    <w:rsid w:val="00C2136D"/>
    <w:rsid w:val="00C214EE"/>
    <w:rsid w:val="00C22957"/>
    <w:rsid w:val="00C2314B"/>
    <w:rsid w:val="00C244A0"/>
    <w:rsid w:val="00C24971"/>
    <w:rsid w:val="00C25355"/>
    <w:rsid w:val="00C26BE5"/>
    <w:rsid w:val="00C26E4D"/>
    <w:rsid w:val="00C27909"/>
    <w:rsid w:val="00C27B03"/>
    <w:rsid w:val="00C314E1"/>
    <w:rsid w:val="00C32472"/>
    <w:rsid w:val="00C3266E"/>
    <w:rsid w:val="00C34397"/>
    <w:rsid w:val="00C359B6"/>
    <w:rsid w:val="00C40503"/>
    <w:rsid w:val="00C4095D"/>
    <w:rsid w:val="00C41020"/>
    <w:rsid w:val="00C41CE6"/>
    <w:rsid w:val="00C4220D"/>
    <w:rsid w:val="00C57A9C"/>
    <w:rsid w:val="00C601D2"/>
    <w:rsid w:val="00C65BCC"/>
    <w:rsid w:val="00C65FDF"/>
    <w:rsid w:val="00C66970"/>
    <w:rsid w:val="00C71F4D"/>
    <w:rsid w:val="00C7778F"/>
    <w:rsid w:val="00C81BB3"/>
    <w:rsid w:val="00C841BA"/>
    <w:rsid w:val="00C84C10"/>
    <w:rsid w:val="00C8691C"/>
    <w:rsid w:val="00C86CB4"/>
    <w:rsid w:val="00C96295"/>
    <w:rsid w:val="00C96364"/>
    <w:rsid w:val="00C96A3D"/>
    <w:rsid w:val="00CA03DF"/>
    <w:rsid w:val="00CA168A"/>
    <w:rsid w:val="00CA2097"/>
    <w:rsid w:val="00CA357E"/>
    <w:rsid w:val="00CA44F9"/>
    <w:rsid w:val="00CA4A69"/>
    <w:rsid w:val="00CA639E"/>
    <w:rsid w:val="00CB6F0D"/>
    <w:rsid w:val="00CB722E"/>
    <w:rsid w:val="00CC1F0D"/>
    <w:rsid w:val="00CC3E0C"/>
    <w:rsid w:val="00CC58D3"/>
    <w:rsid w:val="00CC6923"/>
    <w:rsid w:val="00CC784D"/>
    <w:rsid w:val="00CD5D33"/>
    <w:rsid w:val="00CD6688"/>
    <w:rsid w:val="00CF1E15"/>
    <w:rsid w:val="00CF4AF6"/>
    <w:rsid w:val="00D00A8D"/>
    <w:rsid w:val="00D03268"/>
    <w:rsid w:val="00D0337B"/>
    <w:rsid w:val="00D07777"/>
    <w:rsid w:val="00D079B2"/>
    <w:rsid w:val="00D114E9"/>
    <w:rsid w:val="00D17CD8"/>
    <w:rsid w:val="00D17FE4"/>
    <w:rsid w:val="00D22148"/>
    <w:rsid w:val="00D226B7"/>
    <w:rsid w:val="00D2527C"/>
    <w:rsid w:val="00D25A85"/>
    <w:rsid w:val="00D26EB3"/>
    <w:rsid w:val="00D27867"/>
    <w:rsid w:val="00D313B3"/>
    <w:rsid w:val="00D3308E"/>
    <w:rsid w:val="00D355A7"/>
    <w:rsid w:val="00D35B8E"/>
    <w:rsid w:val="00D37B1E"/>
    <w:rsid w:val="00D40F07"/>
    <w:rsid w:val="00D429C6"/>
    <w:rsid w:val="00D47748"/>
    <w:rsid w:val="00D5178F"/>
    <w:rsid w:val="00D518DF"/>
    <w:rsid w:val="00D54CC3"/>
    <w:rsid w:val="00D54CDD"/>
    <w:rsid w:val="00D56ECB"/>
    <w:rsid w:val="00D6041A"/>
    <w:rsid w:val="00D60E84"/>
    <w:rsid w:val="00D61258"/>
    <w:rsid w:val="00D633EB"/>
    <w:rsid w:val="00D67AA9"/>
    <w:rsid w:val="00D7169C"/>
    <w:rsid w:val="00D736AC"/>
    <w:rsid w:val="00D747AA"/>
    <w:rsid w:val="00D75A7E"/>
    <w:rsid w:val="00D80DB7"/>
    <w:rsid w:val="00D82FF7"/>
    <w:rsid w:val="00D83E40"/>
    <w:rsid w:val="00D84271"/>
    <w:rsid w:val="00D847FE"/>
    <w:rsid w:val="00D8680E"/>
    <w:rsid w:val="00D86B9C"/>
    <w:rsid w:val="00D900CD"/>
    <w:rsid w:val="00D90A39"/>
    <w:rsid w:val="00D9123D"/>
    <w:rsid w:val="00D964EA"/>
    <w:rsid w:val="00D966D0"/>
    <w:rsid w:val="00D9784A"/>
    <w:rsid w:val="00DA0C59"/>
    <w:rsid w:val="00DA3684"/>
    <w:rsid w:val="00DA3991"/>
    <w:rsid w:val="00DA39B7"/>
    <w:rsid w:val="00DA72A1"/>
    <w:rsid w:val="00DA7F95"/>
    <w:rsid w:val="00DB01F1"/>
    <w:rsid w:val="00DB3222"/>
    <w:rsid w:val="00DB75A8"/>
    <w:rsid w:val="00DB7E6C"/>
    <w:rsid w:val="00DC375C"/>
    <w:rsid w:val="00DC4F68"/>
    <w:rsid w:val="00DC64B0"/>
    <w:rsid w:val="00DC6B1E"/>
    <w:rsid w:val="00DC6B6E"/>
    <w:rsid w:val="00DD252A"/>
    <w:rsid w:val="00DD5949"/>
    <w:rsid w:val="00DD5A29"/>
    <w:rsid w:val="00DD5D9D"/>
    <w:rsid w:val="00DE2E5C"/>
    <w:rsid w:val="00DE35CB"/>
    <w:rsid w:val="00DF0EF0"/>
    <w:rsid w:val="00DF21E9"/>
    <w:rsid w:val="00DF22C7"/>
    <w:rsid w:val="00DF53CA"/>
    <w:rsid w:val="00DF5588"/>
    <w:rsid w:val="00DF5CC9"/>
    <w:rsid w:val="00E005D3"/>
    <w:rsid w:val="00E00F14"/>
    <w:rsid w:val="00E018C9"/>
    <w:rsid w:val="00E01CB8"/>
    <w:rsid w:val="00E03130"/>
    <w:rsid w:val="00E06386"/>
    <w:rsid w:val="00E075C5"/>
    <w:rsid w:val="00E1051A"/>
    <w:rsid w:val="00E111F3"/>
    <w:rsid w:val="00E11668"/>
    <w:rsid w:val="00E118E7"/>
    <w:rsid w:val="00E121FD"/>
    <w:rsid w:val="00E122B7"/>
    <w:rsid w:val="00E13711"/>
    <w:rsid w:val="00E21B55"/>
    <w:rsid w:val="00E221D3"/>
    <w:rsid w:val="00E24EB4"/>
    <w:rsid w:val="00E26580"/>
    <w:rsid w:val="00E27F92"/>
    <w:rsid w:val="00E30635"/>
    <w:rsid w:val="00E320ED"/>
    <w:rsid w:val="00E33AFB"/>
    <w:rsid w:val="00E34218"/>
    <w:rsid w:val="00E34B17"/>
    <w:rsid w:val="00E41918"/>
    <w:rsid w:val="00E4294E"/>
    <w:rsid w:val="00E4555B"/>
    <w:rsid w:val="00E46282"/>
    <w:rsid w:val="00E5216E"/>
    <w:rsid w:val="00E5529C"/>
    <w:rsid w:val="00E657C6"/>
    <w:rsid w:val="00E6678D"/>
    <w:rsid w:val="00E75D40"/>
    <w:rsid w:val="00E77A4A"/>
    <w:rsid w:val="00E81965"/>
    <w:rsid w:val="00E81A88"/>
    <w:rsid w:val="00E82344"/>
    <w:rsid w:val="00E8341F"/>
    <w:rsid w:val="00E84C82"/>
    <w:rsid w:val="00E84D64"/>
    <w:rsid w:val="00E87408"/>
    <w:rsid w:val="00E914C4"/>
    <w:rsid w:val="00E934F5"/>
    <w:rsid w:val="00E96961"/>
    <w:rsid w:val="00EA72EC"/>
    <w:rsid w:val="00EA785D"/>
    <w:rsid w:val="00EB11CB"/>
    <w:rsid w:val="00EB1327"/>
    <w:rsid w:val="00EB1C71"/>
    <w:rsid w:val="00EB275A"/>
    <w:rsid w:val="00EB57CA"/>
    <w:rsid w:val="00EB5880"/>
    <w:rsid w:val="00EB786A"/>
    <w:rsid w:val="00EB7D05"/>
    <w:rsid w:val="00EC104C"/>
    <w:rsid w:val="00EC1578"/>
    <w:rsid w:val="00EC1BFC"/>
    <w:rsid w:val="00EC1C72"/>
    <w:rsid w:val="00EC3356"/>
    <w:rsid w:val="00EC3CC9"/>
    <w:rsid w:val="00EC5D85"/>
    <w:rsid w:val="00EC680A"/>
    <w:rsid w:val="00ED3C43"/>
    <w:rsid w:val="00ED45CB"/>
    <w:rsid w:val="00ED511C"/>
    <w:rsid w:val="00ED7229"/>
    <w:rsid w:val="00EE25CB"/>
    <w:rsid w:val="00EE2974"/>
    <w:rsid w:val="00EE2BED"/>
    <w:rsid w:val="00EE374B"/>
    <w:rsid w:val="00EE4A87"/>
    <w:rsid w:val="00EF2869"/>
    <w:rsid w:val="00F05442"/>
    <w:rsid w:val="00F05D60"/>
    <w:rsid w:val="00F060ED"/>
    <w:rsid w:val="00F07224"/>
    <w:rsid w:val="00F07FD3"/>
    <w:rsid w:val="00F11BB5"/>
    <w:rsid w:val="00F1296C"/>
    <w:rsid w:val="00F1316D"/>
    <w:rsid w:val="00F1417B"/>
    <w:rsid w:val="00F1712D"/>
    <w:rsid w:val="00F17A17"/>
    <w:rsid w:val="00F208A0"/>
    <w:rsid w:val="00F2115E"/>
    <w:rsid w:val="00F27B3D"/>
    <w:rsid w:val="00F30ABD"/>
    <w:rsid w:val="00F34243"/>
    <w:rsid w:val="00F34B99"/>
    <w:rsid w:val="00F40B02"/>
    <w:rsid w:val="00F40C40"/>
    <w:rsid w:val="00F41E81"/>
    <w:rsid w:val="00F42861"/>
    <w:rsid w:val="00F47FDE"/>
    <w:rsid w:val="00F51720"/>
    <w:rsid w:val="00F51CF2"/>
    <w:rsid w:val="00F52DAB"/>
    <w:rsid w:val="00F543F0"/>
    <w:rsid w:val="00F55E3E"/>
    <w:rsid w:val="00F57601"/>
    <w:rsid w:val="00F73F99"/>
    <w:rsid w:val="00F75F80"/>
    <w:rsid w:val="00F81D29"/>
    <w:rsid w:val="00F863EE"/>
    <w:rsid w:val="00F877F6"/>
    <w:rsid w:val="00F90BE5"/>
    <w:rsid w:val="00F91C4D"/>
    <w:rsid w:val="00F92FD9"/>
    <w:rsid w:val="00F95A39"/>
    <w:rsid w:val="00F97210"/>
    <w:rsid w:val="00FA0231"/>
    <w:rsid w:val="00FA37B1"/>
    <w:rsid w:val="00FA3E0B"/>
    <w:rsid w:val="00FA5EF7"/>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7E56"/>
    <w:rsid w:val="00FF1801"/>
    <w:rsid w:val="00FF64E5"/>
    <w:rsid w:val="00FF6842"/>
    <w:rsid w:val="00FF6883"/>
    <w:rsid w:val="010626F3"/>
    <w:rsid w:val="017C196D"/>
    <w:rsid w:val="020531A4"/>
    <w:rsid w:val="021F6D86"/>
    <w:rsid w:val="03872DBF"/>
    <w:rsid w:val="052160AC"/>
    <w:rsid w:val="05285FEF"/>
    <w:rsid w:val="0539619A"/>
    <w:rsid w:val="0904777A"/>
    <w:rsid w:val="09C94946"/>
    <w:rsid w:val="0BD3755E"/>
    <w:rsid w:val="0BDA37C7"/>
    <w:rsid w:val="0DAB4DDC"/>
    <w:rsid w:val="0DB3584C"/>
    <w:rsid w:val="0E163DF4"/>
    <w:rsid w:val="0E85229C"/>
    <w:rsid w:val="0EBE42C2"/>
    <w:rsid w:val="0EDB4E37"/>
    <w:rsid w:val="0F1E241C"/>
    <w:rsid w:val="10115FEC"/>
    <w:rsid w:val="10EC1F8D"/>
    <w:rsid w:val="13BA03CD"/>
    <w:rsid w:val="13CB2A49"/>
    <w:rsid w:val="14B71810"/>
    <w:rsid w:val="156652A6"/>
    <w:rsid w:val="15BD4C9F"/>
    <w:rsid w:val="18954FBF"/>
    <w:rsid w:val="1A2D0068"/>
    <w:rsid w:val="1AA05C35"/>
    <w:rsid w:val="1BBF01BF"/>
    <w:rsid w:val="1C032631"/>
    <w:rsid w:val="1E4476CB"/>
    <w:rsid w:val="200A0312"/>
    <w:rsid w:val="2042364D"/>
    <w:rsid w:val="20B742D1"/>
    <w:rsid w:val="20E46089"/>
    <w:rsid w:val="235472F3"/>
    <w:rsid w:val="235932F1"/>
    <w:rsid w:val="25C03667"/>
    <w:rsid w:val="263D33C5"/>
    <w:rsid w:val="270345EF"/>
    <w:rsid w:val="299A08E9"/>
    <w:rsid w:val="2BB7496D"/>
    <w:rsid w:val="2D637717"/>
    <w:rsid w:val="330379FB"/>
    <w:rsid w:val="33D22554"/>
    <w:rsid w:val="366A09FC"/>
    <w:rsid w:val="3700570C"/>
    <w:rsid w:val="37FA52E4"/>
    <w:rsid w:val="382602FC"/>
    <w:rsid w:val="3AF77A6B"/>
    <w:rsid w:val="3E4B16BA"/>
    <w:rsid w:val="41E01F77"/>
    <w:rsid w:val="45425C2D"/>
    <w:rsid w:val="48490323"/>
    <w:rsid w:val="48601E59"/>
    <w:rsid w:val="486A7235"/>
    <w:rsid w:val="49712B1E"/>
    <w:rsid w:val="4B7E4033"/>
    <w:rsid w:val="4E8D0DB9"/>
    <w:rsid w:val="4EA31B8D"/>
    <w:rsid w:val="4F100FD1"/>
    <w:rsid w:val="4F9C3315"/>
    <w:rsid w:val="512B12FE"/>
    <w:rsid w:val="5165605F"/>
    <w:rsid w:val="519623EB"/>
    <w:rsid w:val="52C80D51"/>
    <w:rsid w:val="537B60F0"/>
    <w:rsid w:val="546C0184"/>
    <w:rsid w:val="567621FC"/>
    <w:rsid w:val="57140074"/>
    <w:rsid w:val="57B245FD"/>
    <w:rsid w:val="588C4D06"/>
    <w:rsid w:val="58B31002"/>
    <w:rsid w:val="5A27111D"/>
    <w:rsid w:val="5BE62DD4"/>
    <w:rsid w:val="5BFF597D"/>
    <w:rsid w:val="5E311A21"/>
    <w:rsid w:val="5E640BEB"/>
    <w:rsid w:val="5FD42BF4"/>
    <w:rsid w:val="60E21F13"/>
    <w:rsid w:val="61381332"/>
    <w:rsid w:val="614822A7"/>
    <w:rsid w:val="61C947C9"/>
    <w:rsid w:val="62E84D64"/>
    <w:rsid w:val="639E18DA"/>
    <w:rsid w:val="64A81B03"/>
    <w:rsid w:val="654B7431"/>
    <w:rsid w:val="68542E5E"/>
    <w:rsid w:val="68C06A08"/>
    <w:rsid w:val="6AD35D3B"/>
    <w:rsid w:val="6CCE7942"/>
    <w:rsid w:val="6D8D5D5C"/>
    <w:rsid w:val="739E0C4B"/>
    <w:rsid w:val="744918F6"/>
    <w:rsid w:val="74936ECA"/>
    <w:rsid w:val="74C531F6"/>
    <w:rsid w:val="75EF56F2"/>
    <w:rsid w:val="76126709"/>
    <w:rsid w:val="78D67AA0"/>
    <w:rsid w:val="7B4A7005"/>
    <w:rsid w:val="7BDE7397"/>
    <w:rsid w:val="7BF102DB"/>
    <w:rsid w:val="7C5B4B65"/>
    <w:rsid w:val="7D932569"/>
    <w:rsid w:val="7EB96A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8"/>
    <w:qFormat/>
    <w:uiPriority w:val="0"/>
    <w:pPr>
      <w:keepNext/>
      <w:keepLines/>
      <w:spacing w:before="340" w:after="330" w:line="578" w:lineRule="auto"/>
      <w:outlineLvl w:val="0"/>
    </w:pPr>
    <w:rPr>
      <w:b/>
      <w:bCs/>
      <w:kern w:val="44"/>
      <w:sz w:val="44"/>
      <w:szCs w:val="44"/>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155"/>
    <w:semiHidden/>
    <w:unhideWhenUsed/>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qFormat/>
    <w:uiPriority w:val="39"/>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42"/>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ind w:left="420" w:leftChars="200"/>
    </w:pPr>
    <w:rPr>
      <w:rFonts w:ascii="宋体" w:hAnsi="宋体" w:eastAsia="宋体"/>
      <w:szCs w:val="21"/>
    </w:rPr>
  </w:style>
  <w:style w:type="paragraph" w:styleId="29">
    <w:name w:val="toc 9"/>
    <w:basedOn w:val="1"/>
    <w:next w:val="1"/>
    <w:semiHidden/>
    <w:qFormat/>
    <w:uiPriority w:val="0"/>
    <w:pPr>
      <w:ind w:left="1470"/>
      <w:jc w:val="left"/>
    </w:pPr>
    <w:rPr>
      <w:sz w:val="20"/>
      <w:szCs w:val="20"/>
    </w:rPr>
  </w:style>
  <w:style w:type="paragraph" w:styleId="30">
    <w:name w:val="Normal (Web)"/>
    <w:basedOn w:val="1"/>
    <w:semiHidden/>
    <w:unhideWhenUsed/>
    <w:qFormat/>
    <w:uiPriority w:val="99"/>
    <w:pPr>
      <w:spacing w:beforeAutospacing="1" w:afterAutospacing="1"/>
      <w:jc w:val="left"/>
    </w:pPr>
    <w:rPr>
      <w:kern w:val="0"/>
      <w:sz w:val="24"/>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8"/>
    <w:next w:val="8"/>
    <w:link w:val="156"/>
    <w:semiHidden/>
    <w:unhideWhenUsed/>
    <w:qFormat/>
    <w:uiPriority w:val="0"/>
    <w:rPr>
      <w:b/>
      <w:bCs/>
    </w:rPr>
  </w:style>
  <w:style w:type="table" w:styleId="34">
    <w:name w:val="Table Grid"/>
    <w:basedOn w:val="33"/>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annotation reference"/>
    <w:basedOn w:val="35"/>
    <w:semiHidden/>
    <w:unhideWhenUsed/>
    <w:qFormat/>
    <w:uiPriority w:val="0"/>
    <w:rPr>
      <w:sz w:val="21"/>
      <w:szCs w:val="21"/>
    </w:rPr>
  </w:style>
  <w:style w:type="character" w:styleId="41">
    <w:name w:val="footnote reference"/>
    <w:semiHidden/>
    <w:qFormat/>
    <w:uiPriority w:val="0"/>
    <w:rPr>
      <w:vertAlign w:val="superscript"/>
    </w:rPr>
  </w:style>
  <w:style w:type="character" w:customStyle="1" w:styleId="42">
    <w:name w:val="段 Char"/>
    <w:link w:val="23"/>
    <w:qFormat/>
    <w:uiPriority w:val="0"/>
    <w:rPr>
      <w:rFonts w:ascii="宋体"/>
      <w:sz w:val="21"/>
      <w:lang w:val="en-US" w:eastAsia="zh-CN" w:bidi="ar-SA"/>
    </w:rPr>
  </w:style>
  <w:style w:type="paragraph" w:customStyle="1" w:styleId="43">
    <w:name w:val="一级条标题"/>
    <w:next w:val="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1"/>
    <w:qFormat/>
    <w:uiPriority w:val="0"/>
    <w:pPr>
      <w:numPr>
        <w:ilvl w:val="0"/>
        <w:numId w:val="0"/>
      </w:numPr>
      <w:spacing w:before="50" w:after="50"/>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3"/>
    <w:link w:val="14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1"/>
    <w:qFormat/>
    <w:uiPriority w:val="0"/>
    <w:pPr>
      <w:numPr>
        <w:ilvl w:val="3"/>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1"/>
    <w:qFormat/>
    <w:uiPriority w:val="0"/>
    <w:pPr>
      <w:numPr>
        <w:ilvl w:val="4"/>
      </w:numPr>
      <w:outlineLvl w:val="5"/>
    </w:pPr>
  </w:style>
  <w:style w:type="paragraph" w:customStyle="1" w:styleId="57">
    <w:name w:val="五级条标题"/>
    <w:basedOn w:val="56"/>
    <w:next w:val="23"/>
    <w:qFormat/>
    <w:uiPriority w:val="0"/>
    <w:pPr>
      <w:numPr>
        <w:ilvl w:val="5"/>
      </w:numPr>
      <w:outlineLvl w:val="6"/>
    </w:pPr>
  </w:style>
  <w:style w:type="paragraph" w:customStyle="1" w:styleId="58">
    <w:name w:val="注："/>
    <w:next w:val="23"/>
    <w:link w:val="150"/>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0">
    <w:name w:val="字母编号列项（一级）"/>
    <w:link w:val="151"/>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Lines="0" w:afterLines="0"/>
      <w:outlineLvl w:val="9"/>
    </w:pPr>
    <w:rPr>
      <w:rFonts w:ascii="宋体" w:eastAsia="宋体"/>
      <w:sz w:val="18"/>
      <w:szCs w:val="18"/>
    </w:rPr>
  </w:style>
  <w:style w:type="paragraph" w:customStyle="1" w:styleId="64">
    <w:name w:val="二级无"/>
    <w:basedOn w:val="47"/>
    <w:qFormat/>
    <w:uiPriority w:val="0"/>
    <w:pPr>
      <w:spacing w:beforeLines="0" w:afterLines="0"/>
    </w:pPr>
    <w:rPr>
      <w:rFonts w:ascii="宋体" w:eastAsia="宋体"/>
    </w:rPr>
  </w:style>
  <w:style w:type="paragraph" w:customStyle="1" w:styleId="65">
    <w:name w:val="注：（正文）"/>
    <w:basedOn w:val="58"/>
    <w:next w:val="23"/>
    <w:qFormat/>
    <w:uiPriority w:val="0"/>
    <w:pPr>
      <w:numPr>
        <w:numId w:val="9"/>
      </w:numPr>
      <w:ind w:left="726" w:hanging="363"/>
    </w:pPr>
  </w:style>
  <w:style w:type="paragraph" w:customStyle="1" w:styleId="66">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wrap="around"/>
      <w:spacing w:before="370" w:line="400" w:lineRule="exact"/>
    </w:pPr>
    <w:rPr>
      <w:rFonts w:ascii="Times New Roman"/>
      <w:sz w:val="28"/>
      <w:szCs w:val="28"/>
    </w:rPr>
  </w:style>
  <w:style w:type="paragraph" w:customStyle="1" w:styleId="81">
    <w:name w:val="封面一致性程度标识"/>
    <w:basedOn w:val="80"/>
    <w:qFormat/>
    <w:uiPriority w:val="0"/>
    <w:pPr>
      <w:framePr w:wrap="around"/>
      <w:spacing w:before="440"/>
    </w:pPr>
    <w:rPr>
      <w:rFonts w:ascii="宋体" w:eastAsia="宋体"/>
    </w:rPr>
  </w:style>
  <w:style w:type="paragraph" w:customStyle="1" w:styleId="82">
    <w:name w:val="封面标准文稿类别"/>
    <w:basedOn w:val="81"/>
    <w:qFormat/>
    <w:uiPriority w:val="0"/>
    <w:pPr>
      <w:framePr w:wrap="around"/>
      <w:spacing w:after="160" w:line="240" w:lineRule="auto"/>
    </w:pPr>
    <w:rPr>
      <w:sz w:val="24"/>
    </w:rPr>
  </w:style>
  <w:style w:type="paragraph" w:customStyle="1" w:styleId="83">
    <w:name w:val="封面标准文稿编辑信息"/>
    <w:basedOn w:val="82"/>
    <w:qFormat/>
    <w:uiPriority w:val="0"/>
    <w:pPr>
      <w:framePr w:wrap="around"/>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3"/>
    <w:link w:val="147"/>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3"/>
    <w:next w:val="23"/>
    <w:link w:val="146"/>
    <w:qFormat/>
    <w:uiPriority w:val="0"/>
    <w:pPr>
      <w:ind w:firstLine="0" w:firstLineChars="0"/>
      <w:jc w:val="center"/>
    </w:pPr>
    <w:rPr>
      <w:rFonts w:ascii="黑体" w:eastAsia="黑体"/>
    </w:rPr>
  </w:style>
  <w:style w:type="paragraph" w:customStyle="1" w:styleId="87">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3"/>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9">
    <w:name w:val="附录二级条标题"/>
    <w:basedOn w:val="1"/>
    <w:next w:val="23"/>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Lines="0" w:afterLines="0"/>
    </w:pPr>
    <w:rPr>
      <w:rFonts w:ascii="宋体" w:eastAsia="宋体"/>
      <w:szCs w:val="21"/>
    </w:rPr>
  </w:style>
  <w:style w:type="paragraph" w:customStyle="1" w:styleId="91">
    <w:name w:val="附录公式"/>
    <w:basedOn w:val="23"/>
    <w:next w:val="23"/>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3"/>
    <w:qFormat/>
    <w:uiPriority w:val="0"/>
    <w:pPr>
      <w:numPr>
        <w:ilvl w:val="4"/>
      </w:numPr>
      <w:outlineLvl w:val="4"/>
    </w:pPr>
  </w:style>
  <w:style w:type="paragraph" w:customStyle="1" w:styleId="95">
    <w:name w:val="附录三级无"/>
    <w:basedOn w:val="94"/>
    <w:qFormat/>
    <w:uiPriority w:val="0"/>
    <w:pPr>
      <w:tabs>
        <w:tab w:val="clear" w:pos="360"/>
      </w:tabs>
      <w:spacing w:beforeLines="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3"/>
    <w:qFormat/>
    <w:uiPriority w:val="0"/>
    <w:pPr>
      <w:numPr>
        <w:ilvl w:val="5"/>
      </w:numPr>
      <w:outlineLvl w:val="5"/>
    </w:pPr>
  </w:style>
  <w:style w:type="paragraph" w:customStyle="1" w:styleId="98">
    <w:name w:val="附录四级无"/>
    <w:basedOn w:val="97"/>
    <w:qFormat/>
    <w:uiPriority w:val="0"/>
    <w:pPr>
      <w:tabs>
        <w:tab w:val="clear" w:pos="360"/>
      </w:tabs>
      <w:spacing w:beforeLines="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1">
    <w:name w:val="附录五级条标题"/>
    <w:basedOn w:val="97"/>
    <w:next w:val="23"/>
    <w:qFormat/>
    <w:uiPriority w:val="0"/>
    <w:pPr>
      <w:numPr>
        <w:ilvl w:val="6"/>
      </w:numPr>
      <w:outlineLvl w:val="6"/>
    </w:pPr>
  </w:style>
  <w:style w:type="paragraph" w:customStyle="1" w:styleId="102">
    <w:name w:val="附录五级无"/>
    <w:basedOn w:val="101"/>
    <w:qFormat/>
    <w:uiPriority w:val="0"/>
    <w:pPr>
      <w:tabs>
        <w:tab w:val="clear" w:pos="360"/>
      </w:tabs>
      <w:spacing w:beforeLines="0" w:afterLines="0"/>
    </w:pPr>
    <w:rPr>
      <w:rFonts w:ascii="宋体" w:eastAsia="宋体"/>
      <w:szCs w:val="21"/>
    </w:rPr>
  </w:style>
  <w:style w:type="paragraph" w:customStyle="1" w:styleId="103">
    <w:name w:val="附录章标题"/>
    <w:next w:val="23"/>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3"/>
    <w:link w:val="145"/>
    <w:qFormat/>
    <w:uiPriority w:val="0"/>
    <w:pPr>
      <w:numPr>
        <w:ilvl w:val="2"/>
      </w:numPr>
      <w:autoSpaceDN w:val="0"/>
      <w:spacing w:beforeLines="50" w:afterLines="50"/>
      <w:outlineLvl w:val="2"/>
    </w:pPr>
  </w:style>
  <w:style w:type="paragraph" w:customStyle="1" w:styleId="105">
    <w:name w:val="附录一级无"/>
    <w:basedOn w:val="104"/>
    <w:qFormat/>
    <w:uiPriority w:val="0"/>
    <w:pPr>
      <w:tabs>
        <w:tab w:val="clear" w:pos="360"/>
      </w:tabs>
      <w:spacing w:beforeLines="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Lines="0" w:afterLines="0"/>
    </w:pPr>
    <w:rPr>
      <w:rFonts w:ascii="宋体" w:eastAsia="宋体"/>
    </w:rPr>
  </w:style>
  <w:style w:type="paragraph" w:customStyle="1" w:styleId="115">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6">
    <w:name w:val="示例后文字"/>
    <w:basedOn w:val="23"/>
    <w:next w:val="23"/>
    <w:qFormat/>
    <w:uiPriority w:val="0"/>
    <w:pPr>
      <w:ind w:firstLine="360"/>
    </w:pPr>
    <w:rPr>
      <w:sz w:val="18"/>
    </w:rPr>
  </w:style>
  <w:style w:type="paragraph" w:customStyle="1" w:styleId="117">
    <w:name w:val="首示例"/>
    <w:next w:val="23"/>
    <w:link w:val="118"/>
    <w:qFormat/>
    <w:uiPriority w:val="0"/>
    <w:pPr>
      <w:tabs>
        <w:tab w:val="left" w:pos="360"/>
      </w:tabs>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Lines="0" w:afterLines="0"/>
    </w:pPr>
    <w:rPr>
      <w:rFonts w:ascii="宋体" w:eastAsia="宋体"/>
    </w:rPr>
  </w:style>
  <w:style w:type="paragraph" w:customStyle="1" w:styleId="120">
    <w:name w:val="条文脚注"/>
    <w:basedOn w:val="24"/>
    <w:qFormat/>
    <w:uiPriority w:val="0"/>
    <w:pPr>
      <w:numPr>
        <w:numId w:val="0"/>
      </w:numPr>
      <w:jc w:val="both"/>
    </w:pPr>
  </w:style>
  <w:style w:type="paragraph" w:customStyle="1" w:styleId="121">
    <w:name w:val="图标脚注说明"/>
    <w:basedOn w:val="23"/>
    <w:qFormat/>
    <w:uiPriority w:val="0"/>
    <w:pPr>
      <w:ind w:left="840" w:hanging="420" w:firstLineChars="0"/>
    </w:pPr>
    <w:rPr>
      <w:sz w:val="18"/>
      <w:szCs w:val="18"/>
    </w:rPr>
  </w:style>
  <w:style w:type="paragraph" w:customStyle="1" w:styleId="122">
    <w:name w:val="图表脚注说明"/>
    <w:basedOn w:val="1"/>
    <w:qFormat/>
    <w:uiPriority w:val="0"/>
    <w:pPr>
      <w:numPr>
        <w:ilvl w:val="0"/>
        <w:numId w:val="15"/>
      </w:numPr>
    </w:pPr>
    <w:rPr>
      <w:rFonts w:ascii="宋体"/>
      <w:sz w:val="18"/>
      <w:szCs w:val="18"/>
    </w:rPr>
  </w:style>
  <w:style w:type="paragraph" w:customStyle="1" w:styleId="123">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Lines="0" w:afterLines="0"/>
    </w:pPr>
    <w:rPr>
      <w:rFonts w:ascii="宋体" w:eastAsia="宋体"/>
    </w:rPr>
  </w:style>
  <w:style w:type="paragraph" w:customStyle="1" w:styleId="126">
    <w:name w:val="一级无"/>
    <w:basedOn w:val="43"/>
    <w:qFormat/>
    <w:uiPriority w:val="0"/>
    <w:pPr>
      <w:spacing w:beforeLines="0" w:afterLines="0"/>
    </w:pPr>
    <w:rPr>
      <w:rFonts w:ascii="宋体" w:eastAsia="宋体"/>
    </w:rPr>
  </w:style>
  <w:style w:type="paragraph" w:customStyle="1" w:styleId="127">
    <w:name w:val="正文表标题"/>
    <w:next w:val="23"/>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3"/>
    <w:next w:val="23"/>
    <w:qFormat/>
    <w:uiPriority w:val="0"/>
    <w:pPr>
      <w:ind w:firstLine="0" w:firstLineChars="0"/>
    </w:pPr>
  </w:style>
  <w:style w:type="paragraph" w:customStyle="1" w:styleId="129">
    <w:name w:val="正文图标题"/>
    <w:next w:val="2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2">
    <w:name w:val="其他实施日期"/>
    <w:basedOn w:val="115"/>
    <w:qFormat/>
    <w:uiPriority w:val="0"/>
    <w:pPr>
      <w:framePr w:wrap="around"/>
    </w:pPr>
  </w:style>
  <w:style w:type="paragraph" w:customStyle="1" w:styleId="133">
    <w:name w:val="封面标准名称2"/>
    <w:basedOn w:val="79"/>
    <w:qFormat/>
    <w:uiPriority w:val="0"/>
    <w:pPr>
      <w:framePr w:wrap="around" w:y="4469"/>
      <w:spacing w:beforeLines="630"/>
    </w:pPr>
  </w:style>
  <w:style w:type="paragraph" w:customStyle="1" w:styleId="134">
    <w:name w:val="封面标准英文名称2"/>
    <w:basedOn w:val="80"/>
    <w:qFormat/>
    <w:uiPriority w:val="0"/>
    <w:pPr>
      <w:framePr w:wrap="around" w:y="4469"/>
    </w:pPr>
  </w:style>
  <w:style w:type="paragraph" w:customStyle="1" w:styleId="135">
    <w:name w:val="封面一致性程度标识2"/>
    <w:basedOn w:val="81"/>
    <w:qFormat/>
    <w:uiPriority w:val="0"/>
    <w:pPr>
      <w:framePr w:wrap="around" w:y="4469"/>
    </w:pPr>
  </w:style>
  <w:style w:type="paragraph" w:customStyle="1" w:styleId="136">
    <w:name w:val="封面标准文稿类别2"/>
    <w:basedOn w:val="82"/>
    <w:qFormat/>
    <w:uiPriority w:val="0"/>
    <w:pPr>
      <w:framePr w:wrap="around" w:y="4469"/>
    </w:pPr>
  </w:style>
  <w:style w:type="paragraph" w:customStyle="1" w:styleId="137">
    <w:name w:val="封面标准文稿编辑信息2"/>
    <w:basedOn w:val="83"/>
    <w:qFormat/>
    <w:uiPriority w:val="0"/>
    <w:pPr>
      <w:framePr w:wrap="around" w:y="4469"/>
    </w:pPr>
  </w:style>
  <w:style w:type="paragraph" w:customStyle="1" w:styleId="138">
    <w:name w:val="标准名称"/>
    <w:basedOn w:val="51"/>
    <w:link w:val="141"/>
    <w:qFormat/>
    <w:uiPriority w:val="0"/>
  </w:style>
  <w:style w:type="character" w:styleId="139">
    <w:name w:val="Placeholder Text"/>
    <w:basedOn w:val="35"/>
    <w:semiHidden/>
    <w:qFormat/>
    <w:uiPriority w:val="99"/>
    <w:rPr>
      <w:color w:val="808080"/>
    </w:rPr>
  </w:style>
  <w:style w:type="character" w:customStyle="1" w:styleId="140">
    <w:name w:val="目次、标准名称标题 Char"/>
    <w:basedOn w:val="35"/>
    <w:link w:val="51"/>
    <w:qFormat/>
    <w:uiPriority w:val="0"/>
    <w:rPr>
      <w:rFonts w:ascii="黑体" w:eastAsia="黑体"/>
      <w:sz w:val="32"/>
      <w:shd w:val="clear" w:color="FFFFFF" w:fill="FFFFFF"/>
    </w:rPr>
  </w:style>
  <w:style w:type="character" w:customStyle="1" w:styleId="141">
    <w:name w:val="标准名称 Char"/>
    <w:basedOn w:val="140"/>
    <w:link w:val="138"/>
    <w:qFormat/>
    <w:uiPriority w:val="0"/>
    <w:rPr>
      <w:rFonts w:ascii="黑体" w:eastAsia="黑体"/>
      <w:sz w:val="32"/>
      <w:shd w:val="clear" w:color="FFFFFF" w:fill="FFFFFF"/>
    </w:rPr>
  </w:style>
  <w:style w:type="character" w:customStyle="1" w:styleId="142">
    <w:name w:val="批注框文本 字符"/>
    <w:basedOn w:val="35"/>
    <w:link w:val="16"/>
    <w:qFormat/>
    <w:uiPriority w:val="0"/>
    <w:rPr>
      <w:kern w:val="2"/>
      <w:sz w:val="18"/>
      <w:szCs w:val="18"/>
    </w:rPr>
  </w:style>
  <w:style w:type="character" w:customStyle="1" w:styleId="143">
    <w:name w:val="未处理的提及1"/>
    <w:basedOn w:val="35"/>
    <w:semiHidden/>
    <w:unhideWhenUsed/>
    <w:qFormat/>
    <w:uiPriority w:val="99"/>
    <w:rPr>
      <w:color w:val="605E5C"/>
      <w:shd w:val="clear" w:color="auto" w:fill="E1DFDD"/>
    </w:rPr>
  </w:style>
  <w:style w:type="table" w:customStyle="1" w:styleId="144">
    <w:name w:val="网格型11"/>
    <w:basedOn w:val="33"/>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附录一级条标题 Char"/>
    <w:link w:val="104"/>
    <w:qFormat/>
    <w:uiPriority w:val="0"/>
    <w:rPr>
      <w:rFonts w:ascii="黑体" w:eastAsia="黑体"/>
      <w:kern w:val="21"/>
      <w:sz w:val="21"/>
    </w:rPr>
  </w:style>
  <w:style w:type="character" w:customStyle="1" w:styleId="146">
    <w:name w:val="附录标题 Char"/>
    <w:link w:val="86"/>
    <w:qFormat/>
    <w:uiPriority w:val="0"/>
    <w:rPr>
      <w:rFonts w:ascii="黑体" w:eastAsia="黑体"/>
    </w:rPr>
  </w:style>
  <w:style w:type="character" w:customStyle="1" w:styleId="147">
    <w:name w:val="附录标识 Char"/>
    <w:link w:val="85"/>
    <w:qFormat/>
    <w:uiPriority w:val="0"/>
    <w:rPr>
      <w:rFonts w:ascii="黑体" w:eastAsia="黑体"/>
      <w:sz w:val="21"/>
      <w:shd w:val="clear" w:color="FFFFFF" w:fill="FFFFFF"/>
    </w:rPr>
  </w:style>
  <w:style w:type="paragraph" w:styleId="148">
    <w:name w:val="List Paragraph"/>
    <w:basedOn w:val="1"/>
    <w:qFormat/>
    <w:uiPriority w:val="34"/>
    <w:pPr>
      <w:ind w:firstLine="420" w:firstLineChars="200"/>
    </w:pPr>
    <w:rPr>
      <w:rFonts w:ascii="Calibri" w:hAnsi="Calibri"/>
      <w:szCs w:val="22"/>
    </w:rPr>
  </w:style>
  <w:style w:type="paragraph" w:customStyle="1" w:styleId="149">
    <w:name w:val="Body text|1"/>
    <w:basedOn w:val="1"/>
    <w:qFormat/>
    <w:uiPriority w:val="0"/>
    <w:pPr>
      <w:spacing w:line="329" w:lineRule="auto"/>
      <w:ind w:firstLine="400"/>
      <w:jc w:val="left"/>
    </w:pPr>
    <w:rPr>
      <w:rFonts w:ascii="宋体" w:hAnsi="宋体" w:cs="宋体"/>
      <w:sz w:val="20"/>
      <w:szCs w:val="20"/>
      <w:lang w:val="zh-TW" w:eastAsia="zh-TW" w:bidi="zh-TW"/>
    </w:rPr>
  </w:style>
  <w:style w:type="character" w:customStyle="1" w:styleId="150">
    <w:name w:val="注： Char"/>
    <w:link w:val="58"/>
    <w:qFormat/>
    <w:uiPriority w:val="0"/>
    <w:rPr>
      <w:rFonts w:ascii="宋体"/>
      <w:sz w:val="18"/>
      <w:szCs w:val="18"/>
    </w:rPr>
  </w:style>
  <w:style w:type="character" w:customStyle="1" w:styleId="151">
    <w:name w:val="字母编号列项（一级） Char"/>
    <w:link w:val="60"/>
    <w:qFormat/>
    <w:uiPriority w:val="0"/>
    <w:rPr>
      <w:rFonts w:ascii="宋体"/>
      <w:sz w:val="21"/>
    </w:rPr>
  </w:style>
  <w:style w:type="character" w:customStyle="1" w:styleId="152">
    <w:name w:val="fontstyle01"/>
    <w:basedOn w:val="35"/>
    <w:qFormat/>
    <w:uiPriority w:val="0"/>
    <w:rPr>
      <w:rFonts w:hint="eastAsia" w:ascii="宋体" w:hAnsi="宋体" w:eastAsia="宋体"/>
      <w:color w:val="000000"/>
      <w:sz w:val="24"/>
      <w:szCs w:val="24"/>
    </w:rPr>
  </w:style>
  <w:style w:type="paragraph" w:customStyle="1" w:styleId="153">
    <w:name w:val="WPSOffice手动目录 1"/>
    <w:qFormat/>
    <w:uiPriority w:val="0"/>
    <w:rPr>
      <w:rFonts w:ascii="Times New Roman" w:hAnsi="Times New Roman" w:eastAsia="宋体" w:cs="Times New Roman"/>
      <w:lang w:val="en-US" w:eastAsia="zh-CN" w:bidi="ar-SA"/>
    </w:rPr>
  </w:style>
  <w:style w:type="paragraph" w:customStyle="1" w:styleId="15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55">
    <w:name w:val="批注文字 字符"/>
    <w:basedOn w:val="35"/>
    <w:link w:val="8"/>
    <w:semiHidden/>
    <w:qFormat/>
    <w:uiPriority w:val="0"/>
    <w:rPr>
      <w:kern w:val="2"/>
      <w:sz w:val="21"/>
      <w:szCs w:val="24"/>
    </w:rPr>
  </w:style>
  <w:style w:type="character" w:customStyle="1" w:styleId="156">
    <w:name w:val="批注主题 字符"/>
    <w:basedOn w:val="155"/>
    <w:link w:val="32"/>
    <w:semiHidden/>
    <w:qFormat/>
    <w:uiPriority w:val="0"/>
    <w:rPr>
      <w:b/>
      <w:bCs/>
      <w:kern w:val="2"/>
      <w:sz w:val="21"/>
      <w:szCs w:val="24"/>
    </w:rPr>
  </w:style>
  <w:style w:type="paragraph" w:customStyle="1" w:styleId="15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8">
    <w:name w:val="标题 1 字符"/>
    <w:basedOn w:val="35"/>
    <w:link w:val="2"/>
    <w:qFormat/>
    <w:uiPriority w:val="0"/>
    <w:rPr>
      <w:b/>
      <w:bCs/>
      <w:kern w:val="44"/>
      <w:sz w:val="44"/>
      <w:szCs w:val="44"/>
    </w:rPr>
  </w:style>
  <w:style w:type="paragraph" w:customStyle="1" w:styleId="159">
    <w:name w:val="TOC Heading"/>
    <w:basedOn w:val="2"/>
    <w:next w:val="1"/>
    <w:semiHidden/>
    <w:unhideWhenUsed/>
    <w:qFormat/>
    <w:uiPriority w:val="39"/>
    <w:pPr>
      <w:outlineLvl w:val="9"/>
    </w:pPr>
  </w:style>
  <w:style w:type="paragraph" w:customStyle="1" w:styleId="160">
    <w:name w:val="标准文件_段"/>
    <w:link w:val="16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1">
    <w:name w:val="标准文件_二级条标题"/>
    <w:next w:val="160"/>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162">
    <w:name w:val="标准文件_三级条标题"/>
    <w:basedOn w:val="161"/>
    <w:next w:val="160"/>
    <w:qFormat/>
    <w:uiPriority w:val="0"/>
    <w:pPr>
      <w:widowControl/>
      <w:outlineLvl w:val="3"/>
    </w:pPr>
  </w:style>
  <w:style w:type="paragraph" w:customStyle="1" w:styleId="163">
    <w:name w:val="标准文件_四级条标题"/>
    <w:next w:val="160"/>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164">
    <w:name w:val="标准文件_五级条标题"/>
    <w:next w:val="160"/>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165">
    <w:name w:val="标准文件_章标题"/>
    <w:next w:val="160"/>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166">
    <w:name w:val="标准文件_一级条标题"/>
    <w:basedOn w:val="165"/>
    <w:next w:val="160"/>
    <w:qFormat/>
    <w:uiPriority w:val="0"/>
    <w:pPr>
      <w:spacing w:beforeLines="50" w:afterLines="50"/>
      <w:outlineLvl w:val="1"/>
    </w:pPr>
  </w:style>
  <w:style w:type="paragraph" w:customStyle="1" w:styleId="167">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168">
    <w:name w:val="标准文件_段 Char"/>
    <w:link w:val="160"/>
    <w:qFormat/>
    <w:uiPriority w:val="0"/>
    <w:rPr>
      <w:rFonts w:ascii="宋体"/>
      <w:sz w:val="21"/>
    </w:rPr>
  </w:style>
  <w:style w:type="paragraph" w:customStyle="1" w:styleId="169">
    <w:name w:val="标准文件_术语条一"/>
    <w:basedOn w:val="1"/>
    <w:next w:val="160"/>
    <w:qFormat/>
    <w:uiPriority w:val="0"/>
    <w:pPr>
      <w:widowControl/>
      <w:numPr>
        <w:ilvl w:val="2"/>
        <w:numId w:val="2"/>
      </w:numPr>
      <w:ind w:left="283"/>
    </w:pPr>
    <w:rPr>
      <w:rFonts w:ascii="宋体"/>
      <w:kern w:val="0"/>
      <w:szCs w:val="20"/>
    </w:rPr>
  </w:style>
  <w:style w:type="paragraph" w:customStyle="1" w:styleId="170">
    <w:name w:val="标准文件_一级无标题"/>
    <w:basedOn w:val="166"/>
    <w:qFormat/>
    <w:uiPriority w:val="0"/>
    <w:pPr>
      <w:numPr>
        <w:ilvl w:val="2"/>
        <w:numId w:val="1"/>
      </w:numPr>
      <w:spacing w:beforeLines="0" w:afterLines="0"/>
      <w:ind w:left="283"/>
      <w:outlineLvl w:val="9"/>
    </w:pPr>
    <w:rPr>
      <w:rFonts w:ascii="宋体" w:eastAsia="宋体"/>
    </w:rPr>
  </w:style>
  <w:style w:type="paragraph" w:customStyle="1" w:styleId="171">
    <w:name w:val="标准文件_二级无标题"/>
    <w:basedOn w:val="161"/>
    <w:qFormat/>
    <w:uiPriority w:val="0"/>
    <w:pPr>
      <w:spacing w:beforeLines="0" w:afterLines="0"/>
      <w:outlineLvl w:val="9"/>
    </w:pPr>
    <w:rPr>
      <w:rFonts w:ascii="宋体" w:eastAsia="宋体"/>
    </w:rPr>
  </w:style>
  <w:style w:type="paragraph" w:customStyle="1" w:styleId="172">
    <w:name w:val="标准文件_三级无标题"/>
    <w:basedOn w:val="162"/>
    <w:qFormat/>
    <w:uiPriority w:val="0"/>
    <w:pPr>
      <w:spacing w:beforeLines="0" w:afterLines="0"/>
      <w:outlineLvl w:val="9"/>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AAE45-A396-47CC-AA97-190C9EEE862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22</Pages>
  <Words>9932</Words>
  <Characters>10639</Characters>
  <Lines>8</Lines>
  <Paragraphs>2</Paragraphs>
  <TotalTime>1</TotalTime>
  <ScaleCrop>false</ScaleCrop>
  <LinksUpToDate>false</LinksUpToDate>
  <CharactersWithSpaces>11091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2023-08-03T06:31:00Z</dcterms:created>
  <dc:creator>CNIS</dc:creator>
  <cp:lastModifiedBy>elvin64</cp:lastModifiedBy>
  <cp:lastPrinted>2020-12-22T05:02:00Z</cp:lastPrinted>
  <dcterms:modified xsi:type="dcterms:W3CDTF">2024-07-31T04:16:46Z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9923811B37B5432587E7A863B61383FF_13</vt:lpwstr>
  </property>
</Properties>
</file>