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jc w:val="center"/>
        <w:rPr>
          <w:rFonts w:ascii="Times New Roman" w:hAnsi="Times New Roman" w:eastAsia="黑体"/>
          <w:sz w:val="32"/>
          <w:szCs w:val="32"/>
        </w:rPr>
      </w:pPr>
      <w:r>
        <w:rPr>
          <w:rFonts w:hint="eastAsia" w:ascii="Times New Roman" w:hAnsi="Times New Roman" w:eastAsia="黑体"/>
          <w:sz w:val="32"/>
          <w:szCs w:val="32"/>
        </w:rPr>
        <w:t>CCAA团体</w:t>
      </w:r>
      <w:r>
        <w:rPr>
          <w:rFonts w:ascii="Times New Roman" w:hAnsi="Times New Roman" w:eastAsia="黑体"/>
          <w:sz w:val="32"/>
          <w:szCs w:val="32"/>
        </w:rPr>
        <w:t>标准草案编制说明</w:t>
      </w:r>
    </w:p>
    <w:p>
      <w:pPr>
        <w:autoSpaceDE w:val="0"/>
        <w:autoSpaceDN w:val="0"/>
        <w:adjustRightInd w:val="0"/>
        <w:jc w:val="center"/>
        <w:rPr>
          <w:rFonts w:ascii="Times New Roman" w:hAnsi="Times New Roman"/>
          <w:color w:val="000000"/>
          <w:szCs w:val="21"/>
        </w:rPr>
      </w:pPr>
    </w:p>
    <w:tbl>
      <w:tblPr>
        <w:tblStyle w:val="9"/>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170"/>
        <w:gridCol w:w="538"/>
        <w:gridCol w:w="3573"/>
        <w:gridCol w:w="1276"/>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tcPr>
          <w:p>
            <w:pPr>
              <w:jc w:val="center"/>
              <w:rPr>
                <w:rFonts w:ascii="Times New Roman" w:hAnsi="Times New Roman" w:eastAsia="宋体" w:cs="Times New Roman"/>
              </w:rPr>
            </w:pPr>
            <w:r>
              <w:rPr>
                <w:rFonts w:ascii="Times New Roman" w:hAnsi="Times New Roman" w:eastAsia="宋体" w:cs="Times New Roman"/>
                <w:b/>
                <w:color w:val="000000"/>
                <w:sz w:val="28"/>
                <w:szCs w:val="28"/>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Merge w:val="restart"/>
          </w:tcPr>
          <w:p>
            <w:pPr>
              <w:rPr>
                <w:rFonts w:ascii="Times New Roman" w:hAnsi="Times New Roman" w:eastAsia="宋体" w:cs="Times New Roman"/>
              </w:rPr>
            </w:pPr>
            <w:r>
              <w:rPr>
                <w:rFonts w:ascii="Times New Roman" w:hAnsi="Times New Roman" w:eastAsia="宋体" w:cs="Times New Roman"/>
                <w:color w:val="000000"/>
                <w:szCs w:val="21"/>
              </w:rPr>
              <w:t>标准草案名称</w:t>
            </w:r>
          </w:p>
        </w:tc>
        <w:tc>
          <w:tcPr>
            <w:tcW w:w="708" w:type="dxa"/>
            <w:gridSpan w:val="2"/>
            <w:vAlign w:val="center"/>
          </w:tcPr>
          <w:p>
            <w:pPr>
              <w:jc w:val="center"/>
              <w:rPr>
                <w:rFonts w:ascii="Times New Roman" w:hAnsi="Times New Roman" w:eastAsia="宋体" w:cs="Times New Roman"/>
              </w:rPr>
            </w:pPr>
            <w:r>
              <w:rPr>
                <w:rFonts w:ascii="Times New Roman" w:hAnsi="Times New Roman" w:eastAsia="宋体" w:cs="Times New Roman"/>
                <w:color w:val="000000"/>
                <w:szCs w:val="21"/>
              </w:rPr>
              <w:t>中文</w:t>
            </w:r>
          </w:p>
        </w:tc>
        <w:tc>
          <w:tcPr>
            <w:tcW w:w="6975" w:type="dxa"/>
            <w:gridSpan w:val="3"/>
            <w:vAlign w:val="center"/>
          </w:tcPr>
          <w:p>
            <w:pPr>
              <w:rPr>
                <w:rFonts w:hint="eastAsia" w:ascii="Times New Roman" w:hAnsi="Times New Roman" w:eastAsia="宋体" w:cs="Times New Roman"/>
                <w:lang w:val="en-US" w:eastAsia="zh-CN"/>
              </w:rPr>
            </w:pPr>
            <w:r>
              <w:rPr>
                <w:rFonts w:hint="eastAsia" w:ascii="Times New Roman" w:hAnsi="Times New Roman" w:eastAsia="宋体" w:cs="Times New Roman"/>
              </w:rPr>
              <w:t>企业碳信息</w:t>
            </w:r>
            <w:r>
              <w:rPr>
                <w:rFonts w:hint="eastAsia" w:ascii="Times New Roman" w:hAnsi="Times New Roman" w:eastAsia="宋体" w:cs="Times New Roman"/>
                <w:lang w:val="en-US" w:eastAsia="zh-CN"/>
              </w:rPr>
              <w:t>合规</w:t>
            </w:r>
            <w:r>
              <w:rPr>
                <w:rFonts w:hint="eastAsia" w:ascii="Times New Roman" w:hAnsi="Times New Roman" w:eastAsia="宋体" w:cs="Times New Roman"/>
              </w:rPr>
              <w:t>披露与评价</w:t>
            </w:r>
            <w:r>
              <w:rPr>
                <w:rFonts w:hint="eastAsia" w:ascii="Times New Roman" w:hAnsi="Times New Roman" w:eastAsia="宋体" w:cs="Times New Roman"/>
                <w:lang w:val="en-US" w:eastAsia="zh-CN"/>
              </w:rPr>
              <w:t>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Merge w:val="continue"/>
          </w:tcPr>
          <w:p>
            <w:pPr>
              <w:rPr>
                <w:rFonts w:ascii="Times New Roman" w:hAnsi="Times New Roman" w:eastAsia="宋体" w:cs="Times New Roman"/>
              </w:rPr>
            </w:pPr>
          </w:p>
        </w:tc>
        <w:tc>
          <w:tcPr>
            <w:tcW w:w="708" w:type="dxa"/>
            <w:gridSpan w:val="2"/>
            <w:vAlign w:val="center"/>
          </w:tcPr>
          <w:p>
            <w:pPr>
              <w:jc w:val="center"/>
              <w:rPr>
                <w:rFonts w:ascii="Times New Roman" w:hAnsi="Times New Roman" w:eastAsia="宋体" w:cs="Times New Roman"/>
              </w:rPr>
            </w:pPr>
            <w:r>
              <w:rPr>
                <w:rFonts w:ascii="Times New Roman" w:hAnsi="Times New Roman" w:eastAsia="宋体" w:cs="Times New Roman"/>
                <w:color w:val="000000"/>
                <w:szCs w:val="21"/>
              </w:rPr>
              <w:t>英文</w:t>
            </w:r>
          </w:p>
        </w:tc>
        <w:tc>
          <w:tcPr>
            <w:tcW w:w="6975" w:type="dxa"/>
            <w:gridSpan w:val="3"/>
            <w:vAlign w:val="center"/>
          </w:tcPr>
          <w:p>
            <w:pPr>
              <w:rPr>
                <w:rFonts w:ascii="Times New Roman" w:hAnsi="Times New Roman" w:eastAsia="宋体" w:cs="Times New Roman"/>
              </w:rPr>
            </w:pPr>
            <w:r>
              <w:rPr>
                <w:rFonts w:hint="eastAsia" w:ascii="Times New Roman" w:hAnsi="Times New Roman" w:eastAsia="宋体" w:cs="Times New Roman"/>
                <w:lang w:eastAsia="zh-CN"/>
              </w:rPr>
              <w:t>Guidelines</w:t>
            </w:r>
            <w:r>
              <w:rPr>
                <w:rFonts w:ascii="Times New Roman" w:hAnsi="Times New Roman" w:eastAsia="宋体" w:cs="Times New Roman"/>
                <w:lang w:eastAsia="zh-CN"/>
              </w:rPr>
              <w:t xml:space="preserve"> for corporate carbon information disclosure’s </w:t>
            </w:r>
            <w:r>
              <w:rPr>
                <w:rFonts w:hint="eastAsia" w:ascii="Times New Roman" w:hAnsi="Times New Roman" w:eastAsia="宋体" w:cs="Times New Roman"/>
                <w:lang w:eastAsia="zh-CN"/>
              </w:rPr>
              <w:t>compliance</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and</w:t>
            </w:r>
            <w:r>
              <w:rPr>
                <w:rFonts w:ascii="Times New Roman" w:hAnsi="Times New Roman" w:eastAsia="宋体" w:cs="Times New Roman"/>
                <w:lang w:eastAsia="zh-CN"/>
              </w:rPr>
              <w:t xml:space="preserve">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rPr>
            </w:pPr>
            <w:r>
              <w:rPr>
                <w:rFonts w:ascii="Times New Roman" w:hAnsi="Times New Roman" w:eastAsia="宋体" w:cs="Times New Roman"/>
                <w:color w:val="000000"/>
                <w:szCs w:val="21"/>
              </w:rPr>
              <w:t>项目类型</w:t>
            </w:r>
          </w:p>
        </w:tc>
        <w:tc>
          <w:tcPr>
            <w:tcW w:w="4281" w:type="dxa"/>
            <w:gridSpan w:val="3"/>
            <w:vAlign w:val="center"/>
          </w:tcPr>
          <w:p>
            <w:pPr>
              <w:rPr>
                <w:rFonts w:ascii="Times New Roman" w:hAnsi="Times New Roman" w:eastAsia="宋体" w:cs="Times New Roman"/>
                <w:snapToGrid w:val="0"/>
                <w:color w:val="000000"/>
                <w:kern w:val="0"/>
                <w:szCs w:val="21"/>
              </w:rPr>
            </w:pPr>
            <w:r>
              <w:rPr>
                <w:rFonts w:ascii="Times New Roman" w:hAnsi="Times New Roman" w:eastAsia="宋体" w:cs="Times New Roman"/>
                <w:snapToGrid w:val="0"/>
                <w:color w:val="000000"/>
                <w:kern w:val="0"/>
                <w:szCs w:val="21"/>
              </w:rPr>
              <w:sym w:font="Wingdings 2" w:char="F052"/>
            </w:r>
            <w:r>
              <w:rPr>
                <w:rFonts w:ascii="Times New Roman" w:hAnsi="Times New Roman" w:eastAsia="宋体" w:cs="Times New Roman"/>
                <w:snapToGrid w:val="0"/>
                <w:color w:val="000000"/>
                <w:kern w:val="0"/>
                <w:szCs w:val="21"/>
              </w:rPr>
              <w:t>制定</w:t>
            </w:r>
            <w:r>
              <w:rPr>
                <w:rFonts w:hint="eastAsia" w:ascii="Times New Roman" w:hAnsi="Times New Roman" w:eastAsia="宋体" w:cs="Times New Roman"/>
                <w:snapToGrid w:val="0"/>
                <w:color w:val="000000"/>
                <w:kern w:val="0"/>
                <w:szCs w:val="21"/>
              </w:rPr>
              <w:t xml:space="preserve">   </w:t>
            </w:r>
            <w:r>
              <w:rPr>
                <w:rFonts w:ascii="Times New Roman" w:hAnsi="Times New Roman" w:eastAsia="宋体" w:cs="Times New Roman"/>
                <w:snapToGrid w:val="0"/>
                <w:color w:val="000000"/>
                <w:kern w:val="0"/>
                <w:szCs w:val="21"/>
              </w:rPr>
              <w:t>□修订</w:t>
            </w:r>
          </w:p>
          <w:p>
            <w:pPr>
              <w:jc w:val="center"/>
              <w:rPr>
                <w:rFonts w:ascii="Times New Roman" w:hAnsi="Times New Roman" w:eastAsia="宋体" w:cs="Times New Roman"/>
              </w:rPr>
            </w:pPr>
            <w:r>
              <w:rPr>
                <w:rFonts w:ascii="Times New Roman" w:hAnsi="Times New Roman" w:eastAsia="宋体" w:cs="Times New Roman"/>
                <w:szCs w:val="21"/>
              </w:rPr>
              <w:t>（被修订标准名称及编号：）</w:t>
            </w:r>
          </w:p>
        </w:tc>
        <w:tc>
          <w:tcPr>
            <w:tcW w:w="1276" w:type="dxa"/>
          </w:tcPr>
          <w:p>
            <w:pPr>
              <w:jc w:val="center"/>
              <w:rPr>
                <w:rFonts w:ascii="Times New Roman" w:hAnsi="Times New Roman" w:eastAsia="宋体" w:cs="Times New Roman"/>
                <w:highlight w:val="none"/>
              </w:rPr>
            </w:pPr>
            <w:r>
              <w:rPr>
                <w:rFonts w:ascii="Times New Roman" w:hAnsi="Times New Roman" w:eastAsia="宋体" w:cs="Times New Roman"/>
                <w:color w:val="000000"/>
                <w:szCs w:val="21"/>
                <w:highlight w:val="none"/>
              </w:rPr>
              <w:t>计划编号</w:t>
            </w:r>
          </w:p>
        </w:tc>
        <w:tc>
          <w:tcPr>
            <w:tcW w:w="2126" w:type="dxa"/>
          </w:tcPr>
          <w:p>
            <w:pPr>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 xml:space="preserve"> </w:t>
            </w:r>
            <w:r>
              <w:rPr>
                <w:rFonts w:hint="eastAsia" w:ascii="Times New Roman" w:hAnsi="Times New Roman" w:eastAsia="宋体" w:cs="Times New Roman"/>
                <w:szCs w:val="21"/>
                <w:highlight w:val="none"/>
                <w:lang w:val="en-US" w:eastAsia="zh-CN"/>
              </w:rPr>
              <w:t xml:space="preserve">2023TB028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起止时间</w:t>
            </w:r>
          </w:p>
        </w:tc>
        <w:tc>
          <w:tcPr>
            <w:tcW w:w="7683" w:type="dxa"/>
            <w:gridSpan w:val="5"/>
            <w:vAlign w:val="center"/>
          </w:tcPr>
          <w:p>
            <w:pPr>
              <w:jc w:val="center"/>
              <w:rPr>
                <w:rFonts w:ascii="Times New Roman" w:hAnsi="Times New Roman" w:eastAsia="宋体" w:cs="Times New Roman"/>
                <w:szCs w:val="21"/>
              </w:rPr>
            </w:pPr>
            <w:r>
              <w:rPr>
                <w:rFonts w:ascii="Times New Roman" w:hAnsi="Times New Roman" w:eastAsia="宋体" w:cs="Times New Roman"/>
                <w:color w:val="000000"/>
                <w:szCs w:val="21"/>
              </w:rPr>
              <w:t>2023年</w:t>
            </w:r>
            <w:r>
              <w:rPr>
                <w:rFonts w:hint="eastAsia" w:ascii="Times New Roman" w:hAnsi="Times New Roman" w:eastAsia="宋体" w:cs="Times New Roman"/>
                <w:color w:val="000000"/>
                <w:szCs w:val="21"/>
                <w:lang w:val="en-US" w:eastAsia="zh-CN"/>
              </w:rPr>
              <w:t>9</w:t>
            </w:r>
            <w:r>
              <w:rPr>
                <w:rFonts w:ascii="Times New Roman" w:hAnsi="Times New Roman" w:eastAsia="宋体" w:cs="Times New Roman"/>
                <w:color w:val="000000"/>
                <w:szCs w:val="21"/>
              </w:rPr>
              <w:t>月---2024年</w:t>
            </w:r>
            <w:r>
              <w:rPr>
                <w:rFonts w:hint="eastAsia" w:ascii="Times New Roman" w:hAnsi="Times New Roman" w:eastAsia="宋体" w:cs="Times New Roman"/>
                <w:color w:val="000000"/>
                <w:szCs w:val="21"/>
                <w:lang w:val="en-US" w:eastAsia="zh-CN"/>
              </w:rPr>
              <w:t>7</w:t>
            </w:r>
            <w:r>
              <w:rPr>
                <w:rFonts w:ascii="Times New Roman" w:hAnsi="Times New Roman" w:eastAsia="宋体" w:cs="Times New Roman"/>
                <w:color w:val="000000"/>
                <w:szCs w:val="21"/>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标准起草单位</w:t>
            </w:r>
          </w:p>
        </w:tc>
        <w:tc>
          <w:tcPr>
            <w:tcW w:w="7683" w:type="dxa"/>
            <w:gridSpan w:val="5"/>
            <w:vAlign w:val="center"/>
          </w:tcPr>
          <w:p>
            <w:pPr>
              <w:jc w:val="left"/>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中国电子技术标准化研究院、中国石油天然气股份有限公司规划总院、国网湖北省电力有限公司电力科学研究院、山东大地盐化集团有限公司、市场监督管理总局发展研究中心、上海市质量协会、中国建筑技术集团、丝芙兰（上海）化妆品销售有限公司、国家电投集团智慧能源投资有限公司、中国质量认证中心、盈科律师事务所、金发拉比妇婴童用品股份有限公司、中清能源（杭州）有限公司、北京绿色交易所、中国国检测试控股集团股份有限公司、内蒙古蒙牛乳业（集团）股份有限公司、北京大成律师事务所、天达共和律师事务所、君合律师事务所、广东省南华节能和低碳发展研究院、合肥绿易软件有限公司、三水能源集团、浙江德凡律师事务所、江苏数智碳链科技有限公司、中碳环能(苏州)数字科技有限公司、江苏碳迈环保技术有限公司、中认认证有限</w:t>
            </w:r>
            <w:bookmarkStart w:id="0" w:name="_GoBack"/>
            <w:bookmarkEnd w:id="0"/>
            <w:r>
              <w:rPr>
                <w:rFonts w:hint="eastAsia" w:ascii="Times New Roman" w:hAnsi="Times New Roman" w:eastAsia="宋体" w:cs="Times New Roman"/>
                <w:szCs w:val="21"/>
                <w:lang w:val="en-US" w:eastAsia="zh-CN"/>
              </w:rPr>
              <w:t>公司、上海泉素实业有限公司、上海莱巍爵供应链管理有限公司 、香港浸会大学、江苏智伦数字技术研究有限公司、北京之合网络科技有限公司、</w:t>
            </w:r>
            <w:r>
              <w:rPr>
                <w:rFonts w:hint="eastAsia" w:ascii="Times New Roman" w:hAnsi="Times New Roman" w:eastAsia="宋体" w:cs="Times New Roman"/>
                <w:szCs w:val="21"/>
                <w:lang w:val="en-US" w:eastAsia="zh-CN"/>
              </w:rPr>
              <w:fldChar w:fldCharType="begin"/>
            </w:r>
            <w:r>
              <w:rPr>
                <w:rFonts w:hint="eastAsia" w:ascii="Times New Roman" w:hAnsi="Times New Roman" w:eastAsia="宋体" w:cs="Times New Roman"/>
                <w:szCs w:val="21"/>
                <w:lang w:val="en-US" w:eastAsia="zh-CN"/>
              </w:rPr>
              <w:instrText xml:space="preserve"> HYPERLINK "https://aiqicha.baidu.com/detail/compinfo?pid=26188152653218&amp;rq=es&amp;pd=ee&amp;from=ps&amp;query=%E5%95%86%E9%81%93%E7%BA%B5%E6%A8%AA" \t "https://www.baidu.com/_blank" </w:instrText>
            </w:r>
            <w:r>
              <w:rPr>
                <w:rFonts w:hint="eastAsia" w:ascii="Times New Roman" w:hAnsi="Times New Roman" w:eastAsia="宋体" w:cs="Times New Roman"/>
                <w:szCs w:val="21"/>
                <w:lang w:val="en-US" w:eastAsia="zh-CN"/>
              </w:rPr>
              <w:fldChar w:fldCharType="separate"/>
            </w:r>
            <w:r>
              <w:rPr>
                <w:rFonts w:hint="eastAsia" w:ascii="Times New Roman" w:hAnsi="Times New Roman" w:eastAsia="宋体" w:cs="Times New Roman"/>
                <w:szCs w:val="21"/>
                <w:lang w:val="en-US" w:eastAsia="zh-CN"/>
              </w:rPr>
              <w:t>北京商道纵横信息科技有限责任公司</w:t>
            </w:r>
            <w:r>
              <w:rPr>
                <w:rFonts w:hint="eastAsia" w:ascii="Times New Roman" w:hAnsi="Times New Roman" w:eastAsia="宋体" w:cs="Times New Roman"/>
                <w:szCs w:val="21"/>
                <w:lang w:val="en-US" w:eastAsia="zh-CN"/>
              </w:rPr>
              <w:fldChar w:fldCharType="end"/>
            </w:r>
            <w:r>
              <w:rPr>
                <w:rFonts w:hint="eastAsia" w:ascii="Times New Roman" w:hAnsi="Times New Roman" w:eastAsia="宋体" w:cs="Times New Roman"/>
                <w:szCs w:val="21"/>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起草组成员</w:t>
            </w:r>
          </w:p>
        </w:tc>
        <w:tc>
          <w:tcPr>
            <w:tcW w:w="7683" w:type="dxa"/>
            <w:gridSpan w:val="5"/>
            <w:vAlign w:val="center"/>
          </w:tcPr>
          <w:p>
            <w:pPr>
              <w:pStyle w:val="18"/>
              <w:rPr>
                <w:rFonts w:hint="default" w:ascii="Times New Roman" w:eastAsia="宋体" w:cs="Times New Roman"/>
                <w:szCs w:val="21"/>
                <w:lang w:val="en-US" w:eastAsia="zh-CN"/>
              </w:rPr>
            </w:pPr>
            <w:r>
              <w:rPr>
                <w:rFonts w:hint="eastAsia" w:ascii="Times New Roman" w:eastAsia="宋体" w:cs="Times New Roman"/>
                <w:szCs w:val="21"/>
                <w:lang w:val="en-US" w:eastAsia="zh-CN"/>
              </w:rPr>
              <w:t>马爱民、阳平坚、曹原、林戈、张圆捷等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项目调整情况</w:t>
            </w:r>
          </w:p>
        </w:tc>
        <w:tc>
          <w:tcPr>
            <w:tcW w:w="7683" w:type="dxa"/>
            <w:gridSpan w:val="5"/>
            <w:vAlign w:val="center"/>
          </w:tcPr>
          <w:p>
            <w:pPr>
              <w:jc w:val="left"/>
              <w:rPr>
                <w:rFonts w:ascii="Times New Roman" w:hAnsi="Times New Roman" w:eastAsia="宋体" w:cs="Times New Roman"/>
                <w:szCs w:val="21"/>
              </w:rPr>
            </w:pPr>
            <w:r>
              <w:rPr>
                <w:rFonts w:hint="eastAsia" w:ascii="Times New Roman" w:hAnsi="Times New Roman" w:eastAsia="宋体" w:cs="Times New Roman"/>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背景、目的和意义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背景</w:t>
            </w:r>
          </w:p>
        </w:tc>
        <w:tc>
          <w:tcPr>
            <w:tcW w:w="7683" w:type="dxa"/>
            <w:gridSpan w:val="5"/>
            <w:vAlign w:val="center"/>
          </w:tcPr>
          <w:p>
            <w:pPr>
              <w:ind w:firstLine="420" w:firstLineChars="200"/>
              <w:rPr>
                <w:rFonts w:ascii="Times New Roman" w:hAnsi="Times New Roman" w:eastAsia="宋体" w:cs="Times New Roman"/>
              </w:rPr>
            </w:pPr>
            <w:r>
              <w:rPr>
                <w:rFonts w:hint="eastAsia" w:ascii="Times New Roman" w:hAnsi="Times New Roman" w:eastAsia="宋体" w:cs="Times New Roman"/>
              </w:rPr>
              <w:t>企业在应对气候变化和实现可持续发展方面扮演着至关重要的角色。碳信息披露作为企业环境责任和气候行动的关键组成部分，有助于展示企业应对气候变化的努力，也是投资者、消费者和其他利益相关者评估企业可持续性的重要方式。</w:t>
            </w:r>
          </w:p>
          <w:p>
            <w:pPr>
              <w:ind w:firstLine="420" w:firstLineChars="200"/>
              <w:rPr>
                <w:rFonts w:ascii="Times New Roman" w:hAnsi="Times New Roman" w:eastAsia="宋体" w:cs="Times New Roman"/>
              </w:rPr>
            </w:pPr>
            <w:r>
              <w:rPr>
                <w:rFonts w:hint="eastAsia" w:ascii="Times New Roman" w:hAnsi="Times New Roman" w:eastAsia="宋体" w:cs="Times New Roman"/>
              </w:rPr>
              <w:t>随着企业碳信息披露实践群体扩大、信息披露方式与媒介日趋多样，社会各相关方也关注到企业碳信息披露存在不规范问题，例如声明含糊或信息片面，信息不实或不准确，所主张特性缺乏科学依据或存在夸大等，引起监管部门与其他利益相关方对企业碳信息披露“漂绿”的担忧，包括误导公众、引发不公平竞争、削弱企业开展具有实质性的减缓气候变化行动的积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目的</w:t>
            </w:r>
          </w:p>
        </w:tc>
        <w:tc>
          <w:tcPr>
            <w:tcW w:w="7683" w:type="dxa"/>
            <w:gridSpan w:val="5"/>
            <w:vAlign w:val="center"/>
          </w:tcPr>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rPr>
              <w:t>本标准旨在对齐国际标准，为企业碳信息内容准备提供标准指引，帮助企业清晰明确披露要求和提升披露质量；针对典型披露情形，为多种情景下企业碳信息合格披露提供指引；制定第三方评价和公众监督在内的合规性验证机制，提供企业合规性自主声明和第三方评价的指引，提升企业碳信息披露合规能力，推动全社会碳信息披露数量与质量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意义</w:t>
            </w:r>
          </w:p>
        </w:tc>
        <w:tc>
          <w:tcPr>
            <w:tcW w:w="7683" w:type="dxa"/>
            <w:gridSpan w:val="5"/>
            <w:vAlign w:val="center"/>
          </w:tcPr>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通过标准的应用，希望带动基于舆论监督、企业自律的“自下而上”高质量碳信息披露与脱碳行动，对齐</w:t>
            </w:r>
            <w:r>
              <w:rPr>
                <w:rFonts w:ascii="Times New Roman" w:hAnsi="Times New Roman" w:eastAsia="宋体" w:cs="Times New Roman"/>
                <w:color w:val="000000"/>
                <w:szCs w:val="21"/>
              </w:rPr>
              <w:t>1.5°C路径，助力企业为实现国家双碳目标、全球2050净零排放目标开展创新的、有效的行动。</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 衔接国际标准，呼应企业需求、能有效管理信披合规风险；</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 指引企业内部管理提升、提升信披质量与行动效果、满足各方对企业行动的期待，实现降碳举措的商业价值；</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 通过合规评价简化企业合规成本、培育公众和商业伙伴对企业的信任感，形成市场舆论监督导向，激励企业关注行动对企业和相关方的实质效用。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工作简况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标准主要起草人任务分工</w:t>
            </w:r>
          </w:p>
        </w:tc>
        <w:tc>
          <w:tcPr>
            <w:tcW w:w="7513" w:type="dxa"/>
            <w:gridSpan w:val="4"/>
            <w:vAlign w:val="center"/>
          </w:tcPr>
          <w:p>
            <w:pPr>
              <w:spacing w:before="156" w:beforeLines="50" w:after="156" w:afterLines="50"/>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__</w:t>
            </w:r>
            <w:r>
              <w:rPr>
                <w:rFonts w:hint="eastAsia" w:ascii="Times New Roman" w:hAnsi="Times New Roman" w:eastAsia="宋体" w:cs="Times New Roman"/>
                <w:color w:val="000000"/>
                <w:szCs w:val="21"/>
                <w:lang w:val="en-US" w:eastAsia="zh-CN"/>
              </w:rPr>
              <w:t>曹原</w:t>
            </w:r>
            <w:r>
              <w:rPr>
                <w:rFonts w:ascii="Times New Roman" w:hAnsi="Times New Roman" w:eastAsia="宋体" w:cs="Times New Roman"/>
                <w:color w:val="000000"/>
                <w:szCs w:val="21"/>
              </w:rPr>
              <w:t>___等负责标准文本方向和内容的把控；___</w:t>
            </w:r>
            <w:r>
              <w:rPr>
                <w:rFonts w:hint="eastAsia" w:ascii="Times New Roman" w:hAnsi="Times New Roman" w:eastAsia="宋体" w:cs="Times New Roman"/>
                <w:color w:val="000000"/>
                <w:szCs w:val="21"/>
                <w:lang w:val="en-US" w:eastAsia="zh-CN"/>
              </w:rPr>
              <w:t>林戈</w:t>
            </w:r>
            <w:r>
              <w:rPr>
                <w:rFonts w:ascii="Times New Roman" w:hAnsi="Times New Roman" w:eastAsia="宋体" w:cs="Times New Roman"/>
                <w:color w:val="000000"/>
                <w:szCs w:val="21"/>
              </w:rPr>
              <w:t>_____等负责标准的立项、起草、修改以及全流程工作的组织和跟进；___</w:t>
            </w:r>
            <w:r>
              <w:rPr>
                <w:rFonts w:hint="eastAsia" w:ascii="Times New Roman" w:hAnsi="Times New Roman" w:eastAsia="宋体" w:cs="Times New Roman"/>
                <w:color w:val="000000"/>
                <w:szCs w:val="21"/>
                <w:lang w:val="en-US" w:eastAsia="zh-CN"/>
              </w:rPr>
              <w:t>马爱民、阳平坚</w:t>
            </w:r>
            <w:r>
              <w:rPr>
                <w:rFonts w:ascii="Times New Roman" w:hAnsi="Times New Roman" w:eastAsia="宋体" w:cs="Times New Roman"/>
                <w:color w:val="000000"/>
                <w:szCs w:val="21"/>
              </w:rPr>
              <w:t>___</w:t>
            </w:r>
            <w:r>
              <w:rPr>
                <w:rFonts w:hint="eastAsia" w:ascii="Times New Roman" w:hAnsi="Times New Roman" w:eastAsia="宋体" w:cs="Times New Roman"/>
                <w:color w:val="000000"/>
                <w:szCs w:val="21"/>
                <w:lang w:val="en-US" w:eastAsia="zh-CN"/>
              </w:rPr>
              <w:t>等</w:t>
            </w:r>
            <w:r>
              <w:rPr>
                <w:rFonts w:ascii="Times New Roman" w:hAnsi="Times New Roman" w:eastAsia="宋体" w:cs="Times New Roman"/>
                <w:color w:val="000000"/>
                <w:szCs w:val="21"/>
              </w:rPr>
              <w:t>负责对标准文本提出补充和修改意见；____</w:t>
            </w:r>
            <w:r>
              <w:rPr>
                <w:rFonts w:hint="eastAsia" w:ascii="Times New Roman" w:hAnsi="Times New Roman" w:eastAsia="宋体" w:cs="Times New Roman"/>
                <w:color w:val="000000"/>
                <w:szCs w:val="21"/>
                <w:lang w:val="en-US" w:eastAsia="zh-CN"/>
              </w:rPr>
              <w:t>张圆捷</w:t>
            </w:r>
            <w:r>
              <w:rPr>
                <w:rFonts w:ascii="Times New Roman" w:hAnsi="Times New Roman" w:eastAsia="宋体" w:cs="Times New Roman"/>
                <w:color w:val="000000"/>
                <w:szCs w:val="21"/>
              </w:rPr>
              <w:t>____等负责标准文本的应用推广。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主要工作过程</w:t>
            </w:r>
          </w:p>
        </w:tc>
        <w:tc>
          <w:tcPr>
            <w:tcW w:w="7513" w:type="dxa"/>
            <w:gridSpan w:val="4"/>
            <w:vAlign w:val="center"/>
          </w:tcPr>
          <w:p>
            <w:pPr>
              <w:ind w:firstLine="420" w:firstLineChars="200"/>
              <w:rPr>
                <w:rFonts w:ascii="Times New Roman" w:hAnsi="Times New Roman" w:eastAsia="宋体" w:cs="Times New Roman"/>
                <w:kern w:val="0"/>
                <w:szCs w:val="21"/>
                <w:lang w:bidi="zh-CN"/>
              </w:rPr>
            </w:pPr>
            <w:r>
              <w:rPr>
                <w:rFonts w:ascii="Times New Roman" w:hAnsi="Times New Roman" w:eastAsia="宋体" w:cs="Times New Roman"/>
                <w:kern w:val="0"/>
                <w:szCs w:val="21"/>
                <w:lang w:bidi="zh-CN"/>
              </w:rPr>
              <w:t>2023年5月—8月，进行资料和实际调研，选定标准方向和基本内容框架，并编制标准草稿；</w:t>
            </w:r>
          </w:p>
          <w:p>
            <w:pPr>
              <w:ind w:firstLine="420" w:firstLineChars="200"/>
              <w:rPr>
                <w:rFonts w:ascii="Times New Roman" w:hAnsi="Times New Roman" w:eastAsia="宋体" w:cs="Times New Roman"/>
                <w:kern w:val="0"/>
                <w:szCs w:val="21"/>
                <w:lang w:bidi="zh-CN"/>
              </w:rPr>
            </w:pPr>
            <w:r>
              <w:rPr>
                <w:rFonts w:ascii="Times New Roman" w:hAnsi="Times New Roman" w:eastAsia="宋体" w:cs="Times New Roman"/>
                <w:kern w:val="0"/>
                <w:szCs w:val="21"/>
                <w:lang w:bidi="zh-CN"/>
              </w:rPr>
              <w:t>2023年9月，提出立项申请；</w:t>
            </w:r>
          </w:p>
          <w:p>
            <w:pPr>
              <w:ind w:firstLine="420" w:firstLineChars="200"/>
              <w:rPr>
                <w:rFonts w:ascii="Times New Roman" w:hAnsi="Times New Roman" w:eastAsia="宋体" w:cs="Times New Roman"/>
                <w:kern w:val="0"/>
                <w:szCs w:val="21"/>
                <w:lang w:bidi="zh-CN"/>
              </w:rPr>
            </w:pPr>
            <w:r>
              <w:rPr>
                <w:rFonts w:ascii="Times New Roman" w:hAnsi="Times New Roman" w:eastAsia="宋体" w:cs="Times New Roman"/>
                <w:kern w:val="0"/>
                <w:szCs w:val="21"/>
                <w:lang w:bidi="zh-CN"/>
              </w:rPr>
              <w:t>2023年9月，本标准项目通过立项；</w:t>
            </w:r>
          </w:p>
          <w:p>
            <w:pPr>
              <w:ind w:firstLine="420" w:firstLineChars="200"/>
              <w:rPr>
                <w:rFonts w:ascii="Times New Roman" w:hAnsi="Times New Roman" w:eastAsia="宋体" w:cs="Times New Roman"/>
                <w:kern w:val="0"/>
                <w:szCs w:val="21"/>
                <w:lang w:bidi="zh-CN"/>
              </w:rPr>
            </w:pPr>
            <w:r>
              <w:rPr>
                <w:rFonts w:ascii="Times New Roman" w:hAnsi="Times New Roman" w:eastAsia="宋体" w:cs="Times New Roman"/>
                <w:kern w:val="0"/>
                <w:szCs w:val="21"/>
                <w:lang w:bidi="zh-CN"/>
              </w:rPr>
              <w:t>2023年9月</w:t>
            </w:r>
            <w:r>
              <w:rPr>
                <w:rFonts w:hint="eastAsia" w:ascii="Times New Roman" w:hAnsi="Times New Roman" w:eastAsia="宋体" w:cs="Times New Roman"/>
                <w:kern w:val="0"/>
                <w:szCs w:val="21"/>
                <w:lang w:bidi="zh-CN"/>
              </w:rPr>
              <w:t>，</w:t>
            </w:r>
            <w:r>
              <w:rPr>
                <w:rFonts w:ascii="Times New Roman" w:hAnsi="Times New Roman" w:eastAsia="宋体" w:cs="Times New Roman"/>
                <w:kern w:val="0"/>
                <w:szCs w:val="21"/>
                <w:lang w:bidi="zh-CN"/>
              </w:rPr>
              <w:t>组织编制组，并组织专家对草稿框架和内容进行完善；</w:t>
            </w:r>
          </w:p>
          <w:p>
            <w:pPr>
              <w:ind w:firstLine="420" w:firstLineChars="200"/>
              <w:rPr>
                <w:rFonts w:ascii="Times New Roman" w:hAnsi="Times New Roman" w:eastAsia="宋体" w:cs="Times New Roman"/>
                <w:kern w:val="0"/>
                <w:szCs w:val="21"/>
                <w:lang w:bidi="zh-CN"/>
              </w:rPr>
            </w:pPr>
            <w:r>
              <w:rPr>
                <w:rFonts w:ascii="Times New Roman" w:hAnsi="Times New Roman" w:eastAsia="宋体" w:cs="Times New Roman"/>
                <w:kern w:val="0"/>
                <w:szCs w:val="21"/>
                <w:lang w:bidi="zh-CN"/>
              </w:rPr>
              <w:t>2023年9月，标准编制组组织召开了标准编制启动会；</w:t>
            </w:r>
          </w:p>
          <w:p>
            <w:pPr>
              <w:ind w:firstLine="420" w:firstLineChars="200"/>
              <w:rPr>
                <w:rFonts w:ascii="Times New Roman" w:hAnsi="Times New Roman" w:eastAsia="宋体" w:cs="Times New Roman"/>
                <w:kern w:val="0"/>
                <w:szCs w:val="21"/>
                <w:lang w:bidi="zh-CN"/>
              </w:rPr>
            </w:pPr>
            <w:r>
              <w:rPr>
                <w:rFonts w:ascii="Times New Roman" w:hAnsi="Times New Roman" w:eastAsia="宋体" w:cs="Times New Roman"/>
                <w:kern w:val="0"/>
                <w:szCs w:val="21"/>
                <w:lang w:bidi="zh-CN"/>
              </w:rPr>
              <w:t>2023年9月—2024年</w:t>
            </w:r>
            <w:r>
              <w:rPr>
                <w:rFonts w:hint="eastAsia" w:ascii="Times New Roman" w:hAnsi="Times New Roman" w:eastAsia="宋体" w:cs="Times New Roman"/>
                <w:kern w:val="0"/>
                <w:szCs w:val="21"/>
                <w:lang w:val="en-US" w:bidi="zh-CN"/>
              </w:rPr>
              <w:t>5</w:t>
            </w:r>
            <w:r>
              <w:rPr>
                <w:rFonts w:ascii="Times New Roman" w:hAnsi="Times New Roman" w:eastAsia="宋体" w:cs="Times New Roman"/>
                <w:kern w:val="0"/>
                <w:szCs w:val="21"/>
                <w:lang w:bidi="zh-CN"/>
              </w:rPr>
              <w:t>月，编制组定向征求参编单位意见，并组织了多次专家讨论会，就反馈意见补充完善标准文本。</w:t>
            </w:r>
          </w:p>
          <w:p>
            <w:pPr>
              <w:ind w:firstLine="420" w:firstLineChars="200"/>
              <w:rPr>
                <w:rFonts w:ascii="Times New Roman" w:hAnsi="Times New Roman" w:eastAsia="宋体" w:cs="Times New Roman"/>
                <w:kern w:val="0"/>
                <w:szCs w:val="21"/>
                <w:lang w:bidi="zh-CN"/>
              </w:rPr>
            </w:pPr>
            <w:r>
              <w:rPr>
                <w:rFonts w:ascii="Times New Roman" w:hAnsi="Times New Roman" w:eastAsia="宋体" w:cs="Times New Roman"/>
                <w:kern w:val="0"/>
                <w:szCs w:val="21"/>
                <w:lang w:bidi="zh-CN"/>
              </w:rPr>
              <w:t>2024年_月_日—_月_日，编制组通过中国认证认可协会官网、公众号，起草牵头单位</w:t>
            </w:r>
            <w:r>
              <w:rPr>
                <w:rFonts w:hint="eastAsia" w:ascii="Times New Roman" w:hAnsi="Times New Roman" w:eastAsia="宋体" w:cs="Times New Roman"/>
                <w:kern w:val="0"/>
                <w:szCs w:val="21"/>
                <w:lang w:val="en-US" w:bidi="zh-CN"/>
              </w:rPr>
              <w:t>北京之合网络科技有限公司</w:t>
            </w:r>
            <w:r>
              <w:rPr>
                <w:rFonts w:ascii="Times New Roman" w:hAnsi="Times New Roman" w:eastAsia="宋体" w:cs="Times New Roman"/>
                <w:kern w:val="0"/>
                <w:szCs w:val="21"/>
                <w:lang w:bidi="zh-CN"/>
              </w:rPr>
              <w:t>官网、公众号</w:t>
            </w:r>
            <w:r>
              <w:rPr>
                <w:rFonts w:hint="eastAsia" w:ascii="Times New Roman" w:hAnsi="Times New Roman" w:eastAsia="宋体" w:cs="Times New Roman"/>
                <w:kern w:val="0"/>
                <w:szCs w:val="21"/>
                <w:lang w:bidi="zh-CN"/>
              </w:rPr>
              <w:t>、</w:t>
            </w:r>
            <w:r>
              <w:rPr>
                <w:rFonts w:hint="eastAsia" w:ascii="Times New Roman" w:hAnsi="Times New Roman" w:eastAsia="宋体" w:cs="Times New Roman"/>
                <w:kern w:val="0"/>
                <w:szCs w:val="21"/>
                <w:lang w:val="en-US" w:bidi="zh-CN"/>
              </w:rPr>
              <w:t>相关会议</w:t>
            </w:r>
            <w:r>
              <w:rPr>
                <w:rFonts w:ascii="Times New Roman" w:hAnsi="Times New Roman" w:eastAsia="宋体" w:cs="Times New Roman"/>
                <w:kern w:val="0"/>
                <w:szCs w:val="21"/>
                <w:lang w:bidi="zh-CN"/>
              </w:rPr>
              <w:t>向社会广泛征求意见。征求反馈意见__条，其中采纳意见__条，部分采纳__条，未采纳__条。</w:t>
            </w:r>
          </w:p>
          <w:p>
            <w:pPr>
              <w:ind w:firstLine="420" w:firstLineChars="200"/>
              <w:rPr>
                <w:rFonts w:ascii="Times New Roman" w:hAnsi="Times New Roman" w:eastAsia="宋体" w:cs="Times New Roman"/>
                <w:color w:val="000000"/>
                <w:szCs w:val="21"/>
              </w:rPr>
            </w:pPr>
            <w:r>
              <w:rPr>
                <w:rFonts w:ascii="Times New Roman" w:hAnsi="Times New Roman" w:eastAsia="宋体" w:cs="Times New Roman"/>
                <w:kern w:val="0"/>
                <w:szCs w:val="21"/>
                <w:lang w:bidi="zh-CN"/>
              </w:rPr>
              <w:t>2024年_月底，在经过编制组充分讨论的基础上，形成标准送审稿。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标准编制原则和确定标准主要内容的论据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标准编制原则</w:t>
            </w:r>
          </w:p>
        </w:tc>
        <w:tc>
          <w:tcPr>
            <w:tcW w:w="7513" w:type="dxa"/>
            <w:gridSpan w:val="4"/>
            <w:vAlign w:val="center"/>
          </w:tcPr>
          <w:p>
            <w:pPr>
              <w:pStyle w:val="16"/>
              <w:numPr>
                <w:ilvl w:val="0"/>
                <w:numId w:val="2"/>
              </w:numPr>
              <w:spacing w:before="156" w:beforeLines="50" w:after="156" w:afterLines="50"/>
              <w:ind w:firstLineChars="0"/>
              <w:rPr>
                <w:rFonts w:ascii="Times New Roman" w:hAnsi="Times New Roman" w:eastAsia="宋体" w:cs="Times New Roman"/>
                <w:szCs w:val="21"/>
              </w:rPr>
            </w:pPr>
            <w:r>
              <w:rPr>
                <w:rFonts w:hint="eastAsia" w:ascii="Times New Roman" w:hAnsi="Times New Roman" w:eastAsia="宋体" w:cs="Times New Roman"/>
                <w:szCs w:val="21"/>
              </w:rPr>
              <w:t>与政策衔接</w:t>
            </w:r>
          </w:p>
          <w:p>
            <w:pPr>
              <w:pStyle w:val="16"/>
              <w:spacing w:before="156" w:beforeLines="50" w:after="156" w:afterLines="50"/>
              <w:ind w:left="360" w:firstLine="0" w:firstLineChars="0"/>
              <w:rPr>
                <w:rFonts w:ascii="Times New Roman" w:hAnsi="Times New Roman" w:eastAsia="宋体" w:cs="Times New Roman"/>
                <w:szCs w:val="21"/>
              </w:rPr>
            </w:pPr>
            <w:r>
              <w:rPr>
                <w:rFonts w:hint="eastAsia" w:ascii="Times New Roman" w:hAnsi="Times New Roman" w:eastAsia="宋体" w:cs="Times New Roman"/>
                <w:szCs w:val="21"/>
              </w:rPr>
              <w:t>参考了已经获得中国政府支持或参与的国际多边机构或非政府组织发布的最新标准与指引，提炼其中关于企业信息披露、企业应对气候变化碳排放核算、计量与认证相关规定。</w:t>
            </w:r>
          </w:p>
          <w:p>
            <w:pPr>
              <w:pStyle w:val="16"/>
              <w:spacing w:before="156" w:beforeLines="50" w:after="156" w:afterLines="50"/>
              <w:ind w:left="360" w:firstLine="0" w:firstLineChars="0"/>
              <w:rPr>
                <w:rFonts w:ascii="Times New Roman" w:hAnsi="Times New Roman" w:eastAsia="宋体" w:cs="Times New Roman"/>
                <w:szCs w:val="21"/>
              </w:rPr>
            </w:pPr>
            <w:r>
              <w:rPr>
                <w:rFonts w:hint="eastAsia" w:ascii="Times New Roman" w:hAnsi="Times New Roman" w:eastAsia="宋体" w:cs="Times New Roman"/>
                <w:szCs w:val="21"/>
              </w:rPr>
              <w:t>本标准参考了</w:t>
            </w:r>
            <w:r>
              <w:rPr>
                <w:rFonts w:ascii="Times New Roman" w:hAnsi="Times New Roman" w:eastAsia="宋体" w:cs="Times New Roman"/>
                <w:szCs w:val="21"/>
              </w:rPr>
              <w:t>ISO/IEC 17029 合格评定 审定与核查机构通用原则和要求、ISO 37301 合规管理体系 要求及使用指南等标准旨在提升企业碳信息管理和披露合规性。</w:t>
            </w:r>
          </w:p>
          <w:p>
            <w:pPr>
              <w:pStyle w:val="16"/>
              <w:spacing w:before="156" w:beforeLines="50" w:after="156" w:afterLines="50"/>
              <w:ind w:left="360" w:firstLine="0" w:firstLineChars="0"/>
              <w:rPr>
                <w:rFonts w:ascii="Times New Roman" w:hAnsi="Times New Roman" w:eastAsia="宋体" w:cs="Times New Roman"/>
                <w:szCs w:val="21"/>
              </w:rPr>
            </w:pPr>
            <w:r>
              <w:rPr>
                <w:rFonts w:hint="eastAsia" w:ascii="Times New Roman" w:hAnsi="Times New Roman" w:eastAsia="宋体" w:cs="Times New Roman"/>
                <w:szCs w:val="21"/>
              </w:rPr>
              <w:t>本标准通过参考世界自然资源研究所（</w:t>
            </w:r>
            <w:r>
              <w:rPr>
                <w:rFonts w:ascii="Times New Roman" w:hAnsi="Times New Roman" w:eastAsia="宋体" w:cs="Times New Roman"/>
                <w:szCs w:val="21"/>
              </w:rPr>
              <w:t>WRI）与世界企业永续发展委员会（WBSCD）温室气体核算体系的系列标准，旨在对齐企业碳核算通用方法。</w:t>
            </w:r>
          </w:p>
          <w:p>
            <w:pPr>
              <w:pStyle w:val="16"/>
              <w:spacing w:before="156" w:beforeLines="50" w:after="156" w:afterLines="50"/>
              <w:ind w:left="360" w:firstLine="0" w:firstLineChars="0"/>
              <w:rPr>
                <w:rFonts w:ascii="Times New Roman" w:hAnsi="Times New Roman" w:eastAsia="宋体" w:cs="Times New Roman"/>
                <w:szCs w:val="21"/>
              </w:rPr>
            </w:pPr>
            <w:r>
              <w:rPr>
                <w:rFonts w:hint="eastAsia" w:ascii="Times New Roman" w:hAnsi="Times New Roman" w:eastAsia="宋体" w:cs="Times New Roman"/>
                <w:szCs w:val="21"/>
              </w:rPr>
              <w:t>本标准通过参考</w:t>
            </w:r>
            <w:r>
              <w:rPr>
                <w:rFonts w:ascii="Times New Roman" w:hAnsi="Times New Roman" w:eastAsia="宋体" w:cs="Times New Roman"/>
                <w:szCs w:val="21"/>
              </w:rPr>
              <w:t>ISSB国际财务报告可持续披露准则，参考企业非财务信息披露一般性规则企业温室气体排放与应对气候变化信息披露规则，旨在对齐企业信息披露通用指引。</w:t>
            </w:r>
          </w:p>
          <w:p>
            <w:pPr>
              <w:pStyle w:val="16"/>
              <w:spacing w:before="156" w:beforeLines="50" w:after="156" w:afterLines="50"/>
              <w:ind w:left="360" w:firstLine="0" w:firstLineChars="0"/>
              <w:rPr>
                <w:rFonts w:ascii="Times New Roman" w:hAnsi="Times New Roman" w:eastAsia="宋体" w:cs="Times New Roman"/>
                <w:szCs w:val="21"/>
              </w:rPr>
            </w:pPr>
            <w:r>
              <w:rPr>
                <w:rFonts w:hint="eastAsia" w:ascii="Times New Roman" w:hAnsi="Times New Roman" w:eastAsia="宋体" w:cs="Times New Roman"/>
                <w:szCs w:val="21"/>
              </w:rPr>
              <w:t>本标准通过参考欧盟委员会提交的“赋予消费者绿色转型权”指令提案、英国竞争和市场管理局</w:t>
            </w:r>
            <w:r>
              <w:rPr>
                <w:rFonts w:ascii="Times New Roman" w:hAnsi="Times New Roman" w:eastAsia="宋体" w:cs="Times New Roman"/>
                <w:szCs w:val="21"/>
              </w:rPr>
              <w:t>-绿色声明准则等他国/地区关于碳信息合规相关要求，旨在制定适用于我国企业产品出口可以参考的通用标准，规避合规风险并降低合规成本。</w:t>
            </w:r>
          </w:p>
          <w:p>
            <w:pPr>
              <w:pStyle w:val="16"/>
              <w:spacing w:before="156" w:beforeLines="50" w:after="156" w:afterLines="50"/>
              <w:ind w:left="360" w:firstLine="0" w:firstLineChars="0"/>
              <w:rPr>
                <w:rFonts w:ascii="Times New Roman" w:hAnsi="Times New Roman" w:eastAsia="宋体" w:cs="Times New Roman"/>
                <w:szCs w:val="21"/>
              </w:rPr>
            </w:pPr>
            <w:r>
              <w:rPr>
                <w:rFonts w:hint="eastAsia" w:ascii="Times New Roman" w:hAnsi="Times New Roman" w:eastAsia="宋体" w:cs="Times New Roman"/>
                <w:szCs w:val="21"/>
              </w:rPr>
              <w:t>本标准也参考了</w:t>
            </w:r>
            <w:r>
              <w:rPr>
                <w:rFonts w:ascii="Times New Roman" w:hAnsi="Times New Roman" w:eastAsia="宋体" w:cs="Times New Roman"/>
                <w:szCs w:val="21"/>
              </w:rPr>
              <w:t>VTT碳手印指南、ICVCM 核心碳原则、评估框架和评估程序等特定内容披露的相关标准和指引，旨在为企业各类别碳信息披露制定通用性合规规定。</w:t>
            </w:r>
          </w:p>
          <w:p>
            <w:pPr>
              <w:pStyle w:val="16"/>
              <w:spacing w:before="156" w:beforeLines="50" w:after="156" w:afterLines="50"/>
              <w:ind w:left="360" w:firstLine="0" w:firstLineChars="0"/>
              <w:rPr>
                <w:rFonts w:ascii="Times New Roman" w:hAnsi="Times New Roman" w:eastAsia="宋体" w:cs="Times New Roman"/>
                <w:szCs w:val="21"/>
              </w:rPr>
            </w:pPr>
            <w:r>
              <w:rPr>
                <w:rFonts w:hint="eastAsia" w:ascii="Times New Roman" w:hAnsi="Times New Roman" w:eastAsia="宋体" w:cs="Times New Roman"/>
                <w:szCs w:val="21"/>
              </w:rPr>
              <w:t>本标准与现行相关法律、法规及标准具有很好的协调一致性，可操作性强。本标准制定前，标准编制组对现行法律法规、标准、导则进行了系统的梳理和整合，在此基础上制定了本标准。</w:t>
            </w:r>
          </w:p>
          <w:p>
            <w:pPr>
              <w:pStyle w:val="16"/>
              <w:numPr>
                <w:ilvl w:val="0"/>
                <w:numId w:val="2"/>
              </w:numPr>
              <w:spacing w:before="156" w:beforeLines="50" w:after="156" w:afterLines="50"/>
              <w:ind w:firstLineChars="0"/>
              <w:rPr>
                <w:rFonts w:ascii="Times New Roman" w:hAnsi="Times New Roman" w:eastAsia="宋体" w:cs="Times New Roman"/>
                <w:szCs w:val="21"/>
              </w:rPr>
            </w:pPr>
            <w:r>
              <w:rPr>
                <w:rFonts w:hint="eastAsia" w:ascii="Times New Roman" w:hAnsi="Times New Roman" w:eastAsia="宋体" w:cs="Times New Roman"/>
                <w:szCs w:val="21"/>
              </w:rPr>
              <w:t>结构合理</w:t>
            </w:r>
          </w:p>
          <w:p>
            <w:pPr>
              <w:pStyle w:val="16"/>
              <w:spacing w:before="156" w:beforeLines="50" w:after="156" w:afterLines="50"/>
              <w:ind w:left="360" w:firstLine="0" w:firstLineChars="0"/>
              <w:rPr>
                <w:rFonts w:ascii="Times New Roman" w:hAnsi="Times New Roman" w:eastAsia="宋体" w:cs="Times New Roman"/>
                <w:szCs w:val="21"/>
              </w:rPr>
            </w:pPr>
            <w:r>
              <w:rPr>
                <w:rFonts w:hint="eastAsia" w:ascii="Times New Roman" w:hAnsi="Times New Roman" w:eastAsia="宋体" w:cs="Times New Roman"/>
                <w:szCs w:val="21"/>
              </w:rPr>
              <w:t>本文件严格按照</w:t>
            </w:r>
            <w:r>
              <w:rPr>
                <w:rFonts w:ascii="Times New Roman" w:hAnsi="Times New Roman" w:eastAsia="宋体" w:cs="Times New Roman"/>
                <w:szCs w:val="21"/>
              </w:rPr>
              <w:t>GB/T1.1—2020《标准化工作导则 第1部分：标准化文件的结构和起草规则》的规定进行编写和表述，确保标准“统一性、协调性、适用性、一致性、规范性”。</w:t>
            </w:r>
          </w:p>
          <w:p>
            <w:pPr>
              <w:pStyle w:val="16"/>
              <w:numPr>
                <w:ilvl w:val="0"/>
                <w:numId w:val="2"/>
              </w:numPr>
              <w:spacing w:before="156" w:beforeLines="50" w:after="156" w:afterLines="50"/>
              <w:ind w:firstLineChars="0"/>
              <w:rPr>
                <w:rFonts w:ascii="Times New Roman" w:hAnsi="Times New Roman" w:eastAsia="宋体" w:cs="Times New Roman"/>
                <w:szCs w:val="21"/>
              </w:rPr>
            </w:pPr>
            <w:r>
              <w:rPr>
                <w:rFonts w:hint="eastAsia" w:ascii="Times New Roman" w:hAnsi="Times New Roman" w:eastAsia="宋体" w:cs="Times New Roman"/>
                <w:szCs w:val="21"/>
              </w:rPr>
              <w:t>具有可操作性</w:t>
            </w:r>
          </w:p>
          <w:p>
            <w:pPr>
              <w:pStyle w:val="16"/>
              <w:spacing w:before="156" w:beforeLines="50" w:after="156" w:afterLines="50"/>
              <w:ind w:left="360" w:firstLine="0" w:firstLineChars="0"/>
              <w:rPr>
                <w:rFonts w:hint="eastAsia" w:ascii="Times New Roman" w:hAnsi="Times New Roman" w:eastAsia="宋体" w:cs="Times New Roman"/>
                <w:szCs w:val="21"/>
              </w:rPr>
            </w:pPr>
            <w:r>
              <w:rPr>
                <w:rFonts w:hint="eastAsia" w:ascii="Times New Roman" w:hAnsi="Times New Roman" w:eastAsia="宋体" w:cs="Times New Roman"/>
                <w:szCs w:val="21"/>
              </w:rPr>
              <w:t>本标准在广泛研究国内外合规管理和碳信息披露标准基础上，结合国内为典型的“漂绿”案例进行分析，制定碳信息披露主要原则、碳信息披露合规要求、碳信息披露验证等内容，并在附件给出了关于“碳中和”和“净零”概念的详细说明、企业如何建立碳信息合规管理体系、中小型企业如何开展碳信息合规披露、企业碳信息披露建议参考的相关规范。在标准编制过程中，起草单位坚持充分考虑我国企业开展碳信息披露的典型内容和典型情形，结合合规性评价需求，制定具有行业适用性、符合我国国情的标准，内容详实，可操作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确定标准主要内容的论据</w:t>
            </w:r>
          </w:p>
        </w:tc>
        <w:tc>
          <w:tcPr>
            <w:tcW w:w="7513" w:type="dxa"/>
            <w:gridSpan w:val="4"/>
            <w:vAlign w:val="center"/>
          </w:tcPr>
          <w:p>
            <w:pPr>
              <w:rPr>
                <w:rFonts w:ascii="Times New Roman" w:hAnsi="Times New Roman" w:eastAsia="宋体" w:cs="Times New Roman"/>
              </w:rPr>
            </w:pPr>
            <w:r>
              <w:rPr>
                <w:rFonts w:ascii="Times New Roman" w:hAnsi="Times New Roman" w:eastAsia="宋体" w:cs="Times New Roman"/>
              </w:rPr>
              <w:t>1. 范围</w:t>
            </w:r>
          </w:p>
          <w:p>
            <w:pPr>
              <w:rPr>
                <w:rFonts w:ascii="Times New Roman" w:hAnsi="Times New Roman" w:eastAsia="宋体" w:cs="Times New Roman"/>
              </w:rPr>
            </w:pPr>
            <w:r>
              <w:rPr>
                <w:rFonts w:hint="eastAsia" w:ascii="Times New Roman" w:hAnsi="Times New Roman" w:eastAsia="宋体" w:cs="Times New Roman"/>
              </w:rPr>
              <w:t>本文件规定了企业碳信息合规披露的原则，典型情形的披露要求、合规性验证与评价方法。</w:t>
            </w:r>
          </w:p>
          <w:p>
            <w:pPr>
              <w:rPr>
                <w:rFonts w:ascii="Times New Roman" w:hAnsi="Times New Roman" w:eastAsia="宋体" w:cs="Times New Roman"/>
              </w:rPr>
            </w:pPr>
            <w:r>
              <w:rPr>
                <w:rFonts w:hint="eastAsia" w:ascii="Times New Roman" w:hAnsi="Times New Roman" w:eastAsia="宋体" w:cs="Times New Roman"/>
              </w:rPr>
              <w:t>本文件适用于除政策法规要求的披露情形以外，企业向公众或特定对象描述企业经营活动相关的温室气体排放情况、减缓气候变化的行动与成效，并对所披露信息做出合规性声明，和</w:t>
            </w:r>
            <w:r>
              <w:rPr>
                <w:rFonts w:ascii="Times New Roman" w:hAnsi="Times New Roman" w:eastAsia="宋体" w:cs="Times New Roman"/>
              </w:rPr>
              <w:t>/或开展合规性评价。</w:t>
            </w:r>
          </w:p>
          <w:p>
            <w:pPr>
              <w:rPr>
                <w:rFonts w:ascii="Times New Roman" w:hAnsi="Times New Roman" w:eastAsia="宋体" w:cs="Times New Roman"/>
              </w:rPr>
            </w:pPr>
            <w:r>
              <w:rPr>
                <w:rFonts w:hint="eastAsia" w:ascii="Times New Roman" w:hAnsi="Times New Roman" w:eastAsia="宋体" w:cs="Times New Roman"/>
              </w:rPr>
              <w:t>根据本文件做出的合规性验证和</w:t>
            </w:r>
            <w:r>
              <w:rPr>
                <w:rFonts w:ascii="Times New Roman" w:hAnsi="Times New Roman" w:eastAsia="宋体" w:cs="Times New Roman"/>
              </w:rPr>
              <w:t>/或评价，可作为企业碳信息披露的补充内容，表明所披露内容已经遵循的标准和规范。</w:t>
            </w:r>
          </w:p>
          <w:p>
            <w:pPr>
              <w:rPr>
                <w:rFonts w:ascii="Times New Roman" w:hAnsi="Times New Roman" w:eastAsia="宋体" w:cs="Times New Roman"/>
              </w:rPr>
            </w:pPr>
            <w:r>
              <w:rPr>
                <w:rFonts w:ascii="Times New Roman" w:hAnsi="Times New Roman" w:eastAsia="宋体" w:cs="Times New Roman"/>
              </w:rPr>
              <w:t>2. 规范性引用文件</w:t>
            </w:r>
          </w:p>
          <w:p>
            <w:pPr>
              <w:rPr>
                <w:rFonts w:ascii="Times New Roman" w:hAnsi="Times New Roman" w:eastAsia="宋体" w:cs="Times New Roman"/>
              </w:rPr>
            </w:pPr>
            <w:r>
              <w:rPr>
                <w:rFonts w:hint="eastAsia" w:ascii="Times New Roman" w:hAnsi="Times New Roman" w:eastAsia="宋体" w:cs="Times New Roman"/>
              </w:rPr>
              <w:t>引用文件涉及合规、碳信息披露等类别的国内外标准和指引，例如</w:t>
            </w:r>
          </w:p>
          <w:p>
            <w:pPr>
              <w:rPr>
                <w:rFonts w:ascii="Times New Roman" w:hAnsi="Times New Roman" w:eastAsia="宋体" w:cs="Times New Roman"/>
              </w:rPr>
            </w:pPr>
            <w:r>
              <w:rPr>
                <w:rFonts w:ascii="Times New Roman" w:hAnsi="Times New Roman" w:eastAsia="宋体" w:cs="Times New Roman"/>
              </w:rPr>
              <w:t>GB/T 32150 工业企业温室气体排放核算和报告通则</w:t>
            </w:r>
          </w:p>
          <w:p>
            <w:pPr>
              <w:rPr>
                <w:rFonts w:ascii="Times New Roman" w:hAnsi="Times New Roman" w:eastAsia="宋体" w:cs="Times New Roman"/>
              </w:rPr>
            </w:pPr>
            <w:r>
              <w:rPr>
                <w:rFonts w:ascii="Times New Roman" w:hAnsi="Times New Roman" w:eastAsia="宋体" w:cs="Times New Roman"/>
              </w:rPr>
              <w:t>ISO/IEC 17029 合格评定 审定与核查机构通用原则和要求(Conformity assessment — General principles and requirements for validation and verification bodies)</w:t>
            </w:r>
          </w:p>
          <w:p>
            <w:pPr>
              <w:rPr>
                <w:rFonts w:ascii="Times New Roman" w:hAnsi="Times New Roman" w:eastAsia="宋体" w:cs="Times New Roman"/>
              </w:rPr>
            </w:pPr>
            <w:r>
              <w:rPr>
                <w:rFonts w:ascii="Times New Roman" w:hAnsi="Times New Roman" w:eastAsia="宋体" w:cs="Times New Roman"/>
              </w:rPr>
              <w:t>ISO 37301 合规管理体系 要求及使用指南 (Compliance management systems — Requirements with guidance for use)</w:t>
            </w:r>
          </w:p>
          <w:p>
            <w:pPr>
              <w:rPr>
                <w:rFonts w:ascii="Times New Roman" w:hAnsi="Times New Roman" w:eastAsia="宋体" w:cs="Times New Roman"/>
              </w:rPr>
            </w:pPr>
            <w:r>
              <w:rPr>
                <w:rFonts w:hint="eastAsia" w:ascii="Times New Roman" w:hAnsi="Times New Roman" w:eastAsia="宋体" w:cs="Times New Roman"/>
              </w:rPr>
              <w:t>世界自然资源研究所（</w:t>
            </w:r>
            <w:r>
              <w:rPr>
                <w:rFonts w:ascii="Times New Roman" w:hAnsi="Times New Roman" w:eastAsia="宋体" w:cs="Times New Roman"/>
              </w:rPr>
              <w:t>WRI）与世界企业永续发展委员会（WBSCD）温室气体核算体系 企业核算与报告标准(The Greenhouse Gas Protocol-A Corporate Accounting and Reporting Standard Revised Edition)</w:t>
            </w:r>
          </w:p>
          <w:p>
            <w:pPr>
              <w:rPr>
                <w:rFonts w:ascii="Times New Roman" w:hAnsi="Times New Roman" w:eastAsia="宋体" w:cs="Times New Roman"/>
              </w:rPr>
            </w:pPr>
            <w:r>
              <w:rPr>
                <w:rFonts w:ascii="Times New Roman" w:hAnsi="Times New Roman" w:eastAsia="宋体" w:cs="Times New Roman"/>
              </w:rPr>
              <w:t>3. 术语和定义</w:t>
            </w:r>
          </w:p>
          <w:p>
            <w:pPr>
              <w:rPr>
                <w:rFonts w:ascii="Times New Roman" w:hAnsi="Times New Roman" w:eastAsia="宋体" w:cs="Times New Roman"/>
              </w:rPr>
            </w:pPr>
            <w:r>
              <w:rPr>
                <w:rFonts w:hint="eastAsia" w:ascii="Times New Roman" w:hAnsi="Times New Roman" w:eastAsia="宋体" w:cs="Times New Roman"/>
              </w:rPr>
              <w:t>为方便理解，本章列出了合规、验证、审定、温室气体排放、碳减排、碳清除、碳抵消等定义。</w:t>
            </w:r>
          </w:p>
          <w:p>
            <w:pPr>
              <w:rPr>
                <w:rFonts w:ascii="Times New Roman" w:hAnsi="Times New Roman" w:eastAsia="宋体" w:cs="Times New Roman"/>
              </w:rPr>
            </w:pPr>
            <w:r>
              <w:rPr>
                <w:rFonts w:hint="eastAsia" w:ascii="Times New Roman" w:hAnsi="Times New Roman" w:eastAsia="宋体" w:cs="Times New Roman"/>
              </w:rPr>
              <w:t>本章通过清晰定义企业开展碳信息合规披露时常见常用的词汇，旨在帮助使用者避免因对专业术语在理解和使用中出现错误而导致的不合规风险。</w:t>
            </w:r>
          </w:p>
          <w:p>
            <w:pPr>
              <w:rPr>
                <w:rFonts w:ascii="Times New Roman" w:hAnsi="Times New Roman" w:eastAsia="宋体" w:cs="Times New Roman"/>
              </w:rPr>
            </w:pPr>
            <w:r>
              <w:rPr>
                <w:rFonts w:ascii="Times New Roman" w:hAnsi="Times New Roman" w:eastAsia="宋体" w:cs="Times New Roman"/>
              </w:rPr>
              <w:t>4. 碳信息披露原则</w:t>
            </w:r>
          </w:p>
          <w:p>
            <w:pPr>
              <w:rPr>
                <w:rFonts w:ascii="Times New Roman" w:hAnsi="Times New Roman" w:eastAsia="宋体" w:cs="Times New Roman"/>
              </w:rPr>
            </w:pPr>
            <w:r>
              <w:rPr>
                <w:rFonts w:hint="eastAsia" w:ascii="Times New Roman" w:hAnsi="Times New Roman" w:eastAsia="宋体" w:cs="Times New Roman"/>
              </w:rPr>
              <w:t>为了规范披露，本章制定了满足合规披露应该遵循的主要原则，包含真实性、明确性、准确性、完整性、合理性、实质性、可验证性，在第六章中碳信息披露合规要求，将结合披露内容匹配应该重点遵循的披露原则。</w:t>
            </w:r>
          </w:p>
          <w:p>
            <w:pPr>
              <w:rPr>
                <w:rFonts w:ascii="Times New Roman" w:hAnsi="Times New Roman" w:eastAsia="宋体" w:cs="Times New Roman"/>
              </w:rPr>
            </w:pPr>
            <w:r>
              <w:rPr>
                <w:rFonts w:hint="eastAsia" w:ascii="Times New Roman" w:hAnsi="Times New Roman" w:eastAsia="宋体" w:cs="Times New Roman"/>
              </w:rPr>
              <w:t>本章节原则确定通过结合国内外披露标准、分析典型“漂绿”情景，归纳出</w:t>
            </w:r>
            <w:r>
              <w:rPr>
                <w:rFonts w:ascii="Times New Roman" w:hAnsi="Times New Roman" w:eastAsia="宋体" w:cs="Times New Roman"/>
              </w:rPr>
              <w:t>7项可以提升披露合规性的原则，企业可以应以此7项标准开展碳信息收集、编制、检查和披露。</w:t>
            </w:r>
          </w:p>
          <w:p>
            <w:pPr>
              <w:rPr>
                <w:rFonts w:ascii="Times New Roman" w:hAnsi="Times New Roman" w:eastAsia="宋体" w:cs="Times New Roman"/>
              </w:rPr>
            </w:pPr>
            <w:r>
              <w:rPr>
                <w:rFonts w:ascii="Times New Roman" w:hAnsi="Times New Roman" w:eastAsia="宋体" w:cs="Times New Roman"/>
              </w:rPr>
              <w:t>5. 碳信息披露内容</w:t>
            </w:r>
          </w:p>
          <w:p>
            <w:pPr>
              <w:rPr>
                <w:rFonts w:ascii="Times New Roman" w:hAnsi="Times New Roman" w:eastAsia="宋体" w:cs="Times New Roman"/>
              </w:rPr>
            </w:pPr>
            <w:r>
              <w:rPr>
                <w:rFonts w:hint="eastAsia" w:ascii="Times New Roman" w:hAnsi="Times New Roman" w:eastAsia="宋体" w:cs="Times New Roman"/>
              </w:rPr>
              <w:t>本章节介绍了企业在开展碳信息披露时涉及的典型内容类别，基于披露描述对象、信息内容内涵和披露情形进行分析。</w:t>
            </w:r>
          </w:p>
          <w:p>
            <w:pPr>
              <w:rPr>
                <w:rFonts w:ascii="Times New Roman" w:hAnsi="Times New Roman" w:eastAsia="宋体" w:cs="Times New Roman"/>
              </w:rPr>
            </w:pPr>
            <w:r>
              <w:rPr>
                <w:rFonts w:ascii="Times New Roman" w:hAnsi="Times New Roman" w:eastAsia="宋体" w:cs="Times New Roman"/>
              </w:rPr>
              <w:t>- 企业披露主要描述对象定义为企业及价值链层面、设施或资产层面、产品或活动或事件层面。</w:t>
            </w:r>
          </w:p>
          <w:p>
            <w:pPr>
              <w:rPr>
                <w:rFonts w:ascii="Times New Roman" w:hAnsi="Times New Roman" w:eastAsia="宋体" w:cs="Times New Roman"/>
              </w:rPr>
            </w:pPr>
            <w:r>
              <w:rPr>
                <w:rFonts w:ascii="Times New Roman" w:hAnsi="Times New Roman" w:eastAsia="宋体" w:cs="Times New Roman"/>
              </w:rPr>
              <w:t>- 基于企业碳信息内涵，分为目标类、举措类、绩效类、特性类。</w:t>
            </w:r>
          </w:p>
          <w:p>
            <w:pPr>
              <w:rPr>
                <w:rFonts w:ascii="Times New Roman" w:hAnsi="Times New Roman" w:eastAsia="宋体" w:cs="Times New Roman"/>
              </w:rPr>
            </w:pPr>
            <w:r>
              <w:rPr>
                <w:rFonts w:ascii="Times New Roman" w:hAnsi="Times New Roman" w:eastAsia="宋体" w:cs="Times New Roman"/>
              </w:rPr>
              <w:t>- 基于企业开展碳信息时序，分为回顾过去类和面向将来类。其中，对于披露内涵和披露时序通常以两两组合的形式出现。</w:t>
            </w:r>
          </w:p>
          <w:p>
            <w:pPr>
              <w:rPr>
                <w:rFonts w:ascii="Times New Roman" w:hAnsi="Times New Roman" w:eastAsia="宋体" w:cs="Times New Roman"/>
              </w:rPr>
            </w:pPr>
            <w:r>
              <w:rPr>
                <w:rFonts w:ascii="Times New Roman" w:hAnsi="Times New Roman" w:eastAsia="宋体" w:cs="Times New Roman"/>
              </w:rPr>
              <w:t>- 基于企业开展碳信息披露所面对的受众和渠道，典型的披露和声明情形分为面向消费市场或一般大众的公开披露、面向资本市场或特定利益相关方的公开披露和面向商业活动特定对象的正式非公开披露三类。</w:t>
            </w:r>
          </w:p>
          <w:p>
            <w:pPr>
              <w:rPr>
                <w:rFonts w:ascii="Times New Roman" w:hAnsi="Times New Roman" w:eastAsia="宋体" w:cs="Times New Roman"/>
              </w:rPr>
            </w:pPr>
            <w:r>
              <w:rPr>
                <w:rFonts w:hint="eastAsia" w:ascii="Times New Roman" w:hAnsi="Times New Roman" w:eastAsia="宋体" w:cs="Times New Roman"/>
              </w:rPr>
              <w:t>本章节通过明确定义企业开展碳信息披露在“描述对象</w:t>
            </w:r>
            <w:r>
              <w:rPr>
                <w:rFonts w:ascii="Times New Roman" w:hAnsi="Times New Roman" w:eastAsia="宋体" w:cs="Times New Roman"/>
              </w:rPr>
              <w:t>-内涵-时序-情形”等不同类别和不同组合方法，旨在分析典型披露内容和情形的特点、进而提供特定的合规保障方案。企业在开展碳信息披露时，可以参考本章节，明确披露内容、情形，进而选择和遵循适用的合规披露指引。</w:t>
            </w:r>
          </w:p>
          <w:p>
            <w:pPr>
              <w:rPr>
                <w:rFonts w:ascii="Times New Roman" w:hAnsi="Times New Roman" w:eastAsia="宋体" w:cs="Times New Roman"/>
              </w:rPr>
            </w:pPr>
            <w:r>
              <w:rPr>
                <w:rFonts w:ascii="Times New Roman" w:hAnsi="Times New Roman" w:eastAsia="宋体" w:cs="Times New Roman"/>
              </w:rPr>
              <w:t>6. 碳信息披露合规要求</w:t>
            </w:r>
          </w:p>
          <w:p>
            <w:pPr>
              <w:rPr>
                <w:rFonts w:ascii="Times New Roman" w:hAnsi="Times New Roman" w:eastAsia="宋体" w:cs="Times New Roman"/>
              </w:rPr>
            </w:pPr>
            <w:r>
              <w:rPr>
                <w:rFonts w:hint="eastAsia" w:ascii="Times New Roman" w:hAnsi="Times New Roman" w:eastAsia="宋体" w:cs="Times New Roman"/>
              </w:rPr>
              <w:t>本章节首先制定了披露主体（企业）应该遵循的相关要求，例如管理层声明，并给出了企业建立保障合规披露的内部管理体系的相关建议。本标准随后规定了披露描述对象层面在披露各类信息时应该遵循的原则。本标准在披露内容层面，基于各类披露内容和时序（目标类、举措类、绩效类、特性类、面向将来的信息、面向过去的信息）分别提出了在披露特定内容时应该或建议包含的内容，以及应该遵守的合规披露原则。</w:t>
            </w:r>
          </w:p>
          <w:p>
            <w:pPr>
              <w:rPr>
                <w:rFonts w:ascii="Times New Roman" w:hAnsi="Times New Roman" w:eastAsia="宋体" w:cs="Times New Roman"/>
              </w:rPr>
            </w:pPr>
            <w:r>
              <w:rPr>
                <w:rFonts w:hint="eastAsia" w:ascii="Times New Roman" w:hAnsi="Times New Roman" w:eastAsia="宋体" w:cs="Times New Roman"/>
              </w:rPr>
              <w:t>企业在开展碳信息合规披露时，应在确定好披露类型后，基于本章节的相关要求，准备、检查披露信息是否满足相关披露原则，提升披露内容的合规性。</w:t>
            </w:r>
          </w:p>
          <w:p>
            <w:pPr>
              <w:rPr>
                <w:rFonts w:ascii="Times New Roman" w:hAnsi="Times New Roman" w:eastAsia="宋体" w:cs="Times New Roman"/>
              </w:rPr>
            </w:pPr>
            <w:r>
              <w:rPr>
                <w:rFonts w:ascii="Times New Roman" w:hAnsi="Times New Roman" w:eastAsia="宋体" w:cs="Times New Roman"/>
              </w:rPr>
              <w:t>7. 披露与声明情形要求</w:t>
            </w:r>
          </w:p>
          <w:p>
            <w:pPr>
              <w:rPr>
                <w:rFonts w:ascii="Times New Roman" w:hAnsi="Times New Roman" w:eastAsia="宋体" w:cs="Times New Roman"/>
              </w:rPr>
            </w:pPr>
            <w:r>
              <w:rPr>
                <w:rFonts w:hint="eastAsia" w:ascii="Times New Roman" w:hAnsi="Times New Roman" w:eastAsia="宋体" w:cs="Times New Roman"/>
              </w:rPr>
              <w:t>本章节详细阐述了企业在不同情境下进行碳信息披露时应遵循的具体要求，企业需要根据受众的特点和需求调整披露内容和形式，确保信息的相关性和适当性。例如在面向消费市场或一般大众的公开披露，企业应主要遵循目标受众地区法规与标准要求，避免虚假宣传、夸大或选择性披露，并确保使用公众可理解的术语，同时提供易于访问的详细信息。</w:t>
            </w:r>
          </w:p>
          <w:p>
            <w:pPr>
              <w:rPr>
                <w:rFonts w:ascii="Times New Roman" w:hAnsi="Times New Roman" w:eastAsia="宋体" w:cs="Times New Roman"/>
              </w:rPr>
            </w:pPr>
            <w:r>
              <w:rPr>
                <w:rFonts w:hint="eastAsia" w:ascii="Times New Roman" w:hAnsi="Times New Roman" w:eastAsia="宋体" w:cs="Times New Roman"/>
              </w:rPr>
              <w:t>企业在开展碳信息披露时，应确定披露情形，然后基于特定情形下的合规性要求和建议，备、检查披露信息是否满足相关披露原则，提升披露内容的合规性。</w:t>
            </w:r>
          </w:p>
          <w:p>
            <w:pPr>
              <w:rPr>
                <w:rFonts w:ascii="Times New Roman" w:hAnsi="Times New Roman" w:eastAsia="宋体" w:cs="Times New Roman"/>
              </w:rPr>
            </w:pPr>
            <w:r>
              <w:rPr>
                <w:rFonts w:ascii="Times New Roman" w:hAnsi="Times New Roman" w:eastAsia="宋体" w:cs="Times New Roman"/>
              </w:rPr>
              <w:t>8. 合规性验证</w:t>
            </w:r>
          </w:p>
          <w:p>
            <w:pPr>
              <w:rPr>
                <w:rFonts w:ascii="Times New Roman" w:hAnsi="Times New Roman" w:eastAsia="宋体" w:cs="Times New Roman"/>
              </w:rPr>
            </w:pPr>
            <w:r>
              <w:rPr>
                <w:rFonts w:hint="eastAsia" w:ascii="Times New Roman" w:hAnsi="Times New Roman" w:eastAsia="宋体" w:cs="Times New Roman"/>
              </w:rPr>
              <w:t>本章节详细规定了企业如何验证其碳信息披露的合规性。它包括两个主要部分：自我验证和独立第三方验证。给出了企业内部开展碳信息合规披露的验证要求、验证步骤和验证声明。通过合规性，确保企业披露的碳信息不仅准确、透明，而且经过了适当的验证程序，增强信息的可信度和权威性。</w:t>
            </w:r>
          </w:p>
          <w:p>
            <w:pPr>
              <w:rPr>
                <w:rFonts w:ascii="Times New Roman" w:hAnsi="Times New Roman" w:eastAsia="宋体" w:cs="Times New Roman"/>
              </w:rPr>
            </w:pPr>
            <w:r>
              <w:rPr>
                <w:rFonts w:ascii="Times New Roman" w:hAnsi="Times New Roman" w:eastAsia="宋体" w:cs="Times New Roman"/>
              </w:rPr>
              <w:t>9. 合规性评价</w:t>
            </w:r>
          </w:p>
          <w:p>
            <w:pPr>
              <w:rPr>
                <w:rFonts w:ascii="Times New Roman" w:hAnsi="Times New Roman" w:eastAsia="宋体" w:cs="Times New Roman"/>
              </w:rPr>
            </w:pPr>
            <w:r>
              <w:rPr>
                <w:rFonts w:hint="eastAsia" w:ascii="Times New Roman" w:hAnsi="Times New Roman" w:eastAsia="宋体" w:cs="Times New Roman"/>
              </w:rPr>
              <w:t>本章节主要涉及对企业碳信息披露合规性的评估过程和方法。制定了开展碳信息合规披露的评价要求、评价方法、评价等级，旨在提供一个评价企业碳信息披露合规水平的参考框架。通过这种评价机制，鼓励企业提升碳信息披露质量。</w:t>
            </w:r>
          </w:p>
          <w:p>
            <w:pPr>
              <w:rPr>
                <w:rFonts w:ascii="Times New Roman" w:hAnsi="Times New Roman" w:eastAsia="宋体" w:cs="Times New Roman"/>
              </w:rPr>
            </w:pPr>
            <w:r>
              <w:rPr>
                <w:rFonts w:ascii="Times New Roman" w:hAnsi="Times New Roman" w:eastAsia="宋体" w:cs="Times New Roman"/>
              </w:rPr>
              <w:t>10. 社会监督</w:t>
            </w:r>
          </w:p>
          <w:p>
            <w:pPr>
              <w:rPr>
                <w:rFonts w:ascii="Times New Roman" w:hAnsi="Times New Roman" w:eastAsia="宋体" w:cs="Times New Roman"/>
              </w:rPr>
            </w:pPr>
            <w:r>
              <w:rPr>
                <w:rFonts w:hint="eastAsia" w:ascii="Times New Roman" w:hAnsi="Times New Roman" w:eastAsia="宋体" w:cs="Times New Roman"/>
              </w:rPr>
              <w:t>本章节建议企业应提供社会监督的联系方式，以便利益相关方能够提出对所披露信息的关注或建议。这包括但不限于投资者、消费者、环境保护组织和其他社会团体。为利益相关方提供一个反馈渠道，以便于他们能够对企业的碳信息披露提出问题或建议，促进企业持续改进其碳信息管理和披露实践，响应利益相关方的期望和需求。</w:t>
            </w:r>
          </w:p>
          <w:p>
            <w:pPr>
              <w:rPr>
                <w:rFonts w:ascii="Times New Roman" w:hAnsi="Times New Roman" w:eastAsia="宋体" w:cs="Times New Roman"/>
              </w:rPr>
            </w:pPr>
            <w:r>
              <w:rPr>
                <w:rFonts w:ascii="Times New Roman" w:hAnsi="Times New Roman" w:eastAsia="宋体" w:cs="Times New Roman"/>
              </w:rPr>
              <w:t>11. 附录A—达成净零排放（3.2.1）和/或碳中和（3.2.2）要求和行动优先级（资料性）</w:t>
            </w:r>
          </w:p>
          <w:p>
            <w:pPr>
              <w:rPr>
                <w:rFonts w:ascii="Times New Roman" w:hAnsi="Times New Roman" w:eastAsia="宋体" w:cs="Times New Roman"/>
              </w:rPr>
            </w:pPr>
            <w:r>
              <w:rPr>
                <w:rFonts w:hint="eastAsia" w:ascii="Times New Roman" w:hAnsi="Times New Roman" w:eastAsia="宋体" w:cs="Times New Roman"/>
              </w:rPr>
              <w:t>附录</w:t>
            </w:r>
            <w:r>
              <w:rPr>
                <w:rFonts w:ascii="Times New Roman" w:hAnsi="Times New Roman" w:eastAsia="宋体" w:cs="Times New Roman"/>
              </w:rPr>
              <w:t>A提供了关于企业如何达成净零排放和/或碳中和要求的指导和行动优先级建议。通过相关图示，帮助企业理解实现碳中和或净零排放的行动流程和不同要素之间的关系，包括碳减排、碳清除、碳抵消、避免排放等关键概念和行动与碳中和和净零的相关性，以及企业在价值链内外开展特定行动与碳中和和净零的相关性等内容。</w:t>
            </w:r>
          </w:p>
          <w:p>
            <w:pPr>
              <w:rPr>
                <w:rFonts w:ascii="Times New Roman" w:hAnsi="Times New Roman" w:eastAsia="宋体" w:cs="Times New Roman"/>
              </w:rPr>
            </w:pPr>
            <w:r>
              <w:rPr>
                <w:rFonts w:ascii="Times New Roman" w:hAnsi="Times New Roman" w:eastAsia="宋体" w:cs="Times New Roman"/>
              </w:rPr>
              <w:t>12. 附 录B—不同披露情形下对应的披露内容（资料性）</w:t>
            </w:r>
          </w:p>
          <w:p>
            <w:pPr>
              <w:rPr>
                <w:rFonts w:ascii="Times New Roman" w:hAnsi="Times New Roman" w:eastAsia="宋体" w:cs="Times New Roman"/>
              </w:rPr>
            </w:pPr>
            <w:r>
              <w:rPr>
                <w:rFonts w:hint="eastAsia" w:ascii="Times New Roman" w:hAnsi="Times New Roman" w:eastAsia="宋体" w:cs="Times New Roman"/>
              </w:rPr>
              <w:t>附录</w:t>
            </w:r>
            <w:r>
              <w:rPr>
                <w:rFonts w:ascii="Times New Roman" w:hAnsi="Times New Roman" w:eastAsia="宋体" w:cs="Times New Roman"/>
              </w:rPr>
              <w:t>B提供了不同披露情形下对应的披露内容的详细指引，旨在帮助企业根据不同的受众和目的确定应当/宜披露的信息类型。本附录还给出了小微企业可以自主选择披露的信息类型，旨在鼓励小微企业积极开展碳信息披露。</w:t>
            </w:r>
          </w:p>
          <w:p>
            <w:pPr>
              <w:rPr>
                <w:rFonts w:ascii="Times New Roman" w:hAnsi="Times New Roman" w:eastAsia="宋体" w:cs="Times New Roman"/>
              </w:rPr>
            </w:pPr>
            <w:r>
              <w:rPr>
                <w:rFonts w:ascii="Times New Roman" w:hAnsi="Times New Roman" w:eastAsia="宋体" w:cs="Times New Roman"/>
              </w:rPr>
              <w:t>13. 附 录C—披露指引与参考标准（资料性）</w:t>
            </w:r>
          </w:p>
          <w:p>
            <w:pPr>
              <w:rPr>
                <w:rFonts w:ascii="Times New Roman" w:hAnsi="Times New Roman" w:eastAsia="宋体" w:cs="Times New Roman"/>
              </w:rPr>
            </w:pPr>
            <w:r>
              <w:rPr>
                <w:rFonts w:hint="eastAsia" w:ascii="Times New Roman" w:hAnsi="Times New Roman" w:eastAsia="宋体" w:cs="Times New Roman"/>
              </w:rPr>
              <w:t>附录</w:t>
            </w:r>
            <w:r>
              <w:rPr>
                <w:rFonts w:ascii="Times New Roman" w:hAnsi="Times New Roman" w:eastAsia="宋体" w:cs="Times New Roman"/>
              </w:rPr>
              <w:t>C提供了特定内容披露的参考标准指引，旨在帮助企业在进行碳信息披露时选择适当的标准和规范。</w:t>
            </w:r>
          </w:p>
          <w:p>
            <w:pPr>
              <w:rPr>
                <w:rFonts w:ascii="Times New Roman" w:hAnsi="Times New Roman" w:eastAsia="宋体" w:cs="Times New Roman"/>
              </w:rPr>
            </w:pPr>
            <w:r>
              <w:rPr>
                <w:rFonts w:ascii="Times New Roman" w:hAnsi="Times New Roman" w:eastAsia="宋体" w:cs="Times New Roman"/>
              </w:rPr>
              <w:t>14. 附 录D—披露材料编制规范性（规范性）</w:t>
            </w:r>
          </w:p>
          <w:p>
            <w:pPr>
              <w:rPr>
                <w:rFonts w:ascii="Times New Roman" w:hAnsi="Times New Roman" w:eastAsia="宋体" w:cs="Times New Roman"/>
              </w:rPr>
            </w:pPr>
            <w:r>
              <w:rPr>
                <w:rFonts w:hint="eastAsia" w:ascii="Times New Roman" w:hAnsi="Times New Roman" w:eastAsia="宋体" w:cs="Times New Roman"/>
              </w:rPr>
              <w:t>附录</w:t>
            </w:r>
            <w:r>
              <w:rPr>
                <w:rFonts w:ascii="Times New Roman" w:hAnsi="Times New Roman" w:eastAsia="宋体" w:cs="Times New Roman"/>
              </w:rPr>
              <w:t>D涉及的是披露材料编制的规范性要求，旨在确保企业在编制碳信息文本信息时合规，这包含在理解专业性、表述准确性、专业术语使用、数据单位统一性和确保安全性方面的要求。</w:t>
            </w:r>
          </w:p>
          <w:p>
            <w:pPr>
              <w:rPr>
                <w:rFonts w:ascii="Times New Roman" w:hAnsi="Times New Roman" w:eastAsia="宋体" w:cs="Times New Roman"/>
              </w:rPr>
            </w:pPr>
            <w:r>
              <w:rPr>
                <w:rFonts w:ascii="Times New Roman" w:hAnsi="Times New Roman" w:eastAsia="宋体" w:cs="Times New Roman"/>
              </w:rPr>
              <w:t>15. 附 录E—保障合规披露的内部管理体系（资料性）</w:t>
            </w:r>
          </w:p>
          <w:p>
            <w:pPr>
              <w:rPr>
                <w:rFonts w:ascii="Times New Roman" w:hAnsi="Times New Roman" w:eastAsia="宋体" w:cs="Times New Roman"/>
              </w:rPr>
            </w:pPr>
            <w:r>
              <w:rPr>
                <w:rFonts w:hint="eastAsia" w:ascii="Times New Roman" w:hAnsi="Times New Roman" w:eastAsia="宋体" w:cs="Times New Roman"/>
              </w:rPr>
              <w:t>附录</w:t>
            </w:r>
            <w:r>
              <w:rPr>
                <w:rFonts w:ascii="Times New Roman" w:hAnsi="Times New Roman" w:eastAsia="宋体" w:cs="Times New Roman"/>
              </w:rPr>
              <w:t>E提供了关于如何建立保障合规披露的内部管理体系的指导，包含碳管理组织架构、温室气体排放清单管理、内部审核体系、碳信息披露监测、跟踪与更新机制等内容，通过指导企业建立起一套完整的碳信息管理和披露体系，不仅提高了信息披露的可信度，也有助于企业更好地管理其环境影响和提升可持续发展能力。</w:t>
            </w:r>
          </w:p>
          <w:p>
            <w:pPr>
              <w:rPr>
                <w:rFonts w:ascii="Times New Roman" w:hAnsi="Times New Roman" w:eastAsia="宋体" w:cs="Times New Roman"/>
              </w:rPr>
            </w:pPr>
            <w:r>
              <w:rPr>
                <w:rFonts w:ascii="Times New Roman" w:hAnsi="Times New Roman" w:eastAsia="宋体" w:cs="Times New Roman"/>
              </w:rPr>
              <w:t>16. 附 录F—针对资本市场的可持续披露准则（资料性）</w:t>
            </w:r>
          </w:p>
          <w:p>
            <w:pPr>
              <w:rPr>
                <w:rFonts w:ascii="Times New Roman" w:hAnsi="Times New Roman" w:eastAsia="宋体" w:cs="Times New Roman"/>
              </w:rPr>
            </w:pPr>
            <w:r>
              <w:rPr>
                <w:rFonts w:hint="eastAsia" w:ascii="Times New Roman" w:hAnsi="Times New Roman" w:eastAsia="宋体" w:cs="Times New Roman"/>
              </w:rPr>
              <w:t>附录</w:t>
            </w:r>
            <w:r>
              <w:rPr>
                <w:rFonts w:ascii="Times New Roman" w:hAnsi="Times New Roman" w:eastAsia="宋体" w:cs="Times New Roman"/>
              </w:rPr>
              <w:t>F提供了针对资本市场的可持续披露准则，列出了企业在面向资本市场或特定利益相关方进行碳信息披露时应遵循或参考的准则。</w:t>
            </w:r>
          </w:p>
          <w:p>
            <w:pPr>
              <w:rPr>
                <w:rFonts w:ascii="Times New Roman" w:hAnsi="Times New Roman" w:eastAsia="宋体" w:cs="Times New Roman"/>
              </w:rPr>
            </w:pPr>
            <w:r>
              <w:rPr>
                <w:rFonts w:ascii="Times New Roman" w:hAnsi="Times New Roman" w:eastAsia="宋体" w:cs="Times New Roman"/>
              </w:rPr>
              <w:t>17. 附 录G—企业碳信息合规披露评分（资料性）</w:t>
            </w:r>
          </w:p>
          <w:p>
            <w:pPr>
              <w:rPr>
                <w:rFonts w:hint="eastAsia" w:ascii="Times New Roman" w:hAnsi="Times New Roman" w:eastAsia="宋体" w:cs="Times New Roman"/>
              </w:rPr>
            </w:pPr>
            <w:r>
              <w:rPr>
                <w:rFonts w:hint="eastAsia" w:ascii="Times New Roman" w:hAnsi="Times New Roman" w:eastAsia="宋体" w:cs="Times New Roman"/>
              </w:rPr>
              <w:t>附录</w:t>
            </w:r>
            <w:r>
              <w:rPr>
                <w:rFonts w:ascii="Times New Roman" w:hAnsi="Times New Roman" w:eastAsia="宋体" w:cs="Times New Roman"/>
              </w:rPr>
              <w:t>G提供了企业碳信息合规披露的评分体系，用于评估企业在披露碳信息时的合规性和透明度。企业可以根据这个评分表自我评估其碳信息披露的合规性，或者由第三方进行评估。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与现行法律法规、强制性标准和其他有关标准的关系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4" w:hRule="atLeast"/>
        </w:trPr>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法律法规和强制性标准的关系</w:t>
            </w:r>
          </w:p>
        </w:tc>
        <w:tc>
          <w:tcPr>
            <w:tcW w:w="7513" w:type="dxa"/>
            <w:gridSpan w:val="4"/>
            <w:vAlign w:val="center"/>
          </w:tcPr>
          <w:p>
            <w:pPr>
              <w:pStyle w:val="29"/>
              <w:ind w:firstLine="420"/>
              <w:rPr>
                <w:rFonts w:ascii="Times New Roman"/>
              </w:rPr>
            </w:pPr>
            <w:r>
              <w:rPr>
                <w:rFonts w:hint="eastAsia" w:ascii="Times New Roman"/>
              </w:rPr>
              <w:t>本标准按照</w:t>
            </w:r>
            <w:r>
              <w:rPr>
                <w:rFonts w:ascii="Times New Roman"/>
              </w:rPr>
              <w:t xml:space="preserve"> GB/T 1.1-2020《标准化工作导则规则》起草。</w:t>
            </w:r>
          </w:p>
          <w:p>
            <w:pPr>
              <w:pStyle w:val="29"/>
              <w:ind w:firstLine="420"/>
              <w:rPr>
                <w:rFonts w:ascii="Times New Roman"/>
              </w:rPr>
            </w:pPr>
            <w:r>
              <w:rPr>
                <w:rFonts w:hint="eastAsia" w:ascii="Times New Roman"/>
              </w:rPr>
              <w:t>本标准符合有关法律、法规的要求，与现行国际强制性标准协调一致。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与其他有关标准的关系</w:t>
            </w:r>
          </w:p>
        </w:tc>
        <w:tc>
          <w:tcPr>
            <w:tcW w:w="7513" w:type="dxa"/>
            <w:gridSpan w:val="4"/>
            <w:vAlign w:val="center"/>
          </w:tcPr>
          <w:p>
            <w:pPr>
              <w:spacing w:before="156" w:beforeLines="50" w:after="156" w:afterLines="50"/>
              <w:ind w:firstLine="420" w:firstLineChars="200"/>
              <w:rPr>
                <w:rFonts w:ascii="Times New Roman" w:hAnsi="Times New Roman" w:eastAsia="宋体" w:cs="Times New Roman"/>
              </w:rPr>
            </w:pPr>
            <w:r>
              <w:rPr>
                <w:rFonts w:hint="eastAsia" w:ascii="Times New Roman" w:hAnsi="Times New Roman" w:eastAsia="宋体" w:cs="Times New Roma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重大分歧意见的处理经过和依据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贯彻该标准的要求和措施建议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ind w:firstLine="430" w:firstLineChars="205"/>
              <w:rPr>
                <w:rFonts w:ascii="Times New Roman" w:hAnsi="Times New Roman" w:eastAsia="宋体" w:cs="Times New Roman"/>
                <w:color w:val="000000"/>
                <w:szCs w:val="21"/>
              </w:rPr>
            </w:pPr>
            <w:r>
              <w:rPr>
                <w:rFonts w:ascii="Times New Roman" w:hAnsi="Times New Roman" w:eastAsia="宋体" w:cs="Times New Roman"/>
                <w:color w:val="000000"/>
                <w:szCs w:val="21"/>
              </w:rPr>
              <w:t>建议标准发布后3个月开始实施。</w:t>
            </w:r>
          </w:p>
          <w:p>
            <w:pP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可通过培训集中组织开展对该标准的宣贯，通过多媒体渠道对标准内容进行宣传和释义，鼓励并指导企业根据本标准开展碳信息披露。</w:t>
            </w:r>
          </w:p>
          <w:p>
            <w:pPr>
              <w:rPr>
                <w:rFonts w:ascii="Times New Roman" w:hAnsi="Times New Roman" w:eastAsia="宋体" w:cs="Times New Roman"/>
                <w:color w:val="000000"/>
                <w:szCs w:val="21"/>
              </w:rPr>
            </w:pPr>
          </w:p>
          <w:p>
            <w:pPr>
              <w:rPr>
                <w:rFonts w:ascii="Times New Roman" w:hAnsi="Times New Roman" w:eastAsia="宋体" w:cs="Times New Roman"/>
                <w:color w:val="000000"/>
                <w:szCs w:val="21"/>
              </w:rPr>
            </w:pPr>
          </w:p>
        </w:tc>
      </w:tr>
    </w:tbl>
    <w:p>
      <w:pPr>
        <w:rPr>
          <w:rFonts w:ascii="Times New Roman" w:hAnsi="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3"/>
      <w:suff w:val="nothing"/>
      <w:lvlText w:val="%1　"/>
      <w:lvlJc w:val="left"/>
      <w:pPr>
        <w:ind w:left="330" w:firstLine="0"/>
      </w:pPr>
      <w:rPr>
        <w:rFonts w:hint="eastAsia" w:ascii="黑体" w:hAnsi="Times New Roman" w:eastAsia="黑体"/>
        <w:b w:val="0"/>
        <w:i w:val="0"/>
        <w:sz w:val="21"/>
        <w:szCs w:val="21"/>
      </w:rPr>
    </w:lvl>
    <w:lvl w:ilvl="1" w:tentative="0">
      <w:start w:val="1"/>
      <w:numFmt w:val="decimal"/>
      <w:pStyle w:val="21"/>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2"/>
      <w:suff w:val="nothing"/>
      <w:lvlText w:val="%1.%2.%3　"/>
      <w:lvlJc w:val="left"/>
      <w:pPr>
        <w:ind w:left="3119" w:firstLine="0"/>
      </w:pPr>
      <w:rPr>
        <w:rFonts w:hint="eastAsia" w:ascii="黑体" w:hAnsi="Times New Roman" w:eastAsia="黑体"/>
        <w:b w:val="0"/>
        <w:i w:val="0"/>
        <w:sz w:val="21"/>
      </w:rPr>
    </w:lvl>
    <w:lvl w:ilvl="3" w:tentative="0">
      <w:start w:val="1"/>
      <w:numFmt w:val="decimal"/>
      <w:pStyle w:val="24"/>
      <w:suff w:val="nothing"/>
      <w:lvlText w:val="%1.%2.%3.%4　"/>
      <w:lvlJc w:val="left"/>
      <w:pPr>
        <w:ind w:left="0" w:firstLine="0"/>
      </w:pPr>
      <w:rPr>
        <w:rFonts w:hint="eastAsia" w:ascii="黑体" w:hAnsi="Times New Roman" w:eastAsia="黑体"/>
        <w:b w:val="0"/>
        <w:i w:val="0"/>
        <w:sz w:val="21"/>
        <w:lang w:eastAsia="zh-CN"/>
      </w:rPr>
    </w:lvl>
    <w:lvl w:ilvl="4" w:tentative="0">
      <w:start w:val="1"/>
      <w:numFmt w:val="decimal"/>
      <w:pStyle w:val="26"/>
      <w:suff w:val="nothing"/>
      <w:lvlText w:val="%1.%2.%3.%4.%5　"/>
      <w:lvlJc w:val="left"/>
      <w:pPr>
        <w:ind w:left="0" w:firstLine="0"/>
      </w:pPr>
      <w:rPr>
        <w:rFonts w:hint="eastAsia" w:ascii="黑体" w:hAnsi="Times New Roman" w:eastAsia="黑体"/>
        <w:b w:val="0"/>
        <w:i w:val="0"/>
        <w:sz w:val="21"/>
      </w:rPr>
    </w:lvl>
    <w:lvl w:ilvl="5" w:tentative="0">
      <w:start w:val="1"/>
      <w:numFmt w:val="decimal"/>
      <w:pStyle w:val="2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F1C6940"/>
    <w:multiLevelType w:val="multilevel"/>
    <w:tmpl w:val="3F1C694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2YWZmYjAxZGI5OWE1YmY0NjU5NGRjMDk1MTYzZjcifQ=="/>
  </w:docVars>
  <w:rsids>
    <w:rsidRoot w:val="0036535E"/>
    <w:rsid w:val="00006324"/>
    <w:rsid w:val="0004485B"/>
    <w:rsid w:val="00080BFB"/>
    <w:rsid w:val="0009621A"/>
    <w:rsid w:val="000D28F1"/>
    <w:rsid w:val="000D6F9E"/>
    <w:rsid w:val="000E77D3"/>
    <w:rsid w:val="000F180B"/>
    <w:rsid w:val="000F2391"/>
    <w:rsid w:val="001011C8"/>
    <w:rsid w:val="0010649D"/>
    <w:rsid w:val="00112838"/>
    <w:rsid w:val="00144E53"/>
    <w:rsid w:val="00170446"/>
    <w:rsid w:val="00181EFD"/>
    <w:rsid w:val="00190EC4"/>
    <w:rsid w:val="00196B41"/>
    <w:rsid w:val="001A5535"/>
    <w:rsid w:val="001A7DD7"/>
    <w:rsid w:val="001B6082"/>
    <w:rsid w:val="001C6779"/>
    <w:rsid w:val="001D780A"/>
    <w:rsid w:val="001D7863"/>
    <w:rsid w:val="001F4C13"/>
    <w:rsid w:val="00212E4B"/>
    <w:rsid w:val="0021519E"/>
    <w:rsid w:val="00243E98"/>
    <w:rsid w:val="00245B55"/>
    <w:rsid w:val="0025069A"/>
    <w:rsid w:val="00256B3D"/>
    <w:rsid w:val="0026025F"/>
    <w:rsid w:val="00262EB7"/>
    <w:rsid w:val="002843C0"/>
    <w:rsid w:val="002D234E"/>
    <w:rsid w:val="002F0894"/>
    <w:rsid w:val="003109F9"/>
    <w:rsid w:val="003125DD"/>
    <w:rsid w:val="00323DCD"/>
    <w:rsid w:val="00331754"/>
    <w:rsid w:val="00354A70"/>
    <w:rsid w:val="0036535E"/>
    <w:rsid w:val="00372569"/>
    <w:rsid w:val="00385FE3"/>
    <w:rsid w:val="003B3BA8"/>
    <w:rsid w:val="003B771F"/>
    <w:rsid w:val="003C04D3"/>
    <w:rsid w:val="003C4A04"/>
    <w:rsid w:val="003C5866"/>
    <w:rsid w:val="003E5A8E"/>
    <w:rsid w:val="003F43F6"/>
    <w:rsid w:val="003F4492"/>
    <w:rsid w:val="00401525"/>
    <w:rsid w:val="00411968"/>
    <w:rsid w:val="004236F8"/>
    <w:rsid w:val="00426F6D"/>
    <w:rsid w:val="00442B3B"/>
    <w:rsid w:val="00475C10"/>
    <w:rsid w:val="00486285"/>
    <w:rsid w:val="00487DB6"/>
    <w:rsid w:val="004B6F83"/>
    <w:rsid w:val="004C3C34"/>
    <w:rsid w:val="004F0445"/>
    <w:rsid w:val="005156A7"/>
    <w:rsid w:val="0053446C"/>
    <w:rsid w:val="005805AC"/>
    <w:rsid w:val="005A5317"/>
    <w:rsid w:val="005B22FF"/>
    <w:rsid w:val="005F034F"/>
    <w:rsid w:val="005F6EAF"/>
    <w:rsid w:val="006056B5"/>
    <w:rsid w:val="00620DD0"/>
    <w:rsid w:val="00626F8F"/>
    <w:rsid w:val="00635CA4"/>
    <w:rsid w:val="00635DCB"/>
    <w:rsid w:val="00645DB7"/>
    <w:rsid w:val="00650B63"/>
    <w:rsid w:val="006557F2"/>
    <w:rsid w:val="006704E8"/>
    <w:rsid w:val="006826C9"/>
    <w:rsid w:val="00686DFD"/>
    <w:rsid w:val="00694963"/>
    <w:rsid w:val="006B5FFF"/>
    <w:rsid w:val="006C4A03"/>
    <w:rsid w:val="006D058B"/>
    <w:rsid w:val="006D2BBA"/>
    <w:rsid w:val="006D464D"/>
    <w:rsid w:val="006F6894"/>
    <w:rsid w:val="00707114"/>
    <w:rsid w:val="00724D81"/>
    <w:rsid w:val="00726FEC"/>
    <w:rsid w:val="00747ADA"/>
    <w:rsid w:val="007737DE"/>
    <w:rsid w:val="00784FB2"/>
    <w:rsid w:val="00790C1C"/>
    <w:rsid w:val="007926EA"/>
    <w:rsid w:val="00797CD1"/>
    <w:rsid w:val="007B432B"/>
    <w:rsid w:val="007D0D45"/>
    <w:rsid w:val="0080192B"/>
    <w:rsid w:val="008119A4"/>
    <w:rsid w:val="008179BA"/>
    <w:rsid w:val="008471C3"/>
    <w:rsid w:val="00855850"/>
    <w:rsid w:val="008725BB"/>
    <w:rsid w:val="008766DA"/>
    <w:rsid w:val="00877013"/>
    <w:rsid w:val="00884291"/>
    <w:rsid w:val="008D7768"/>
    <w:rsid w:val="008E6FCA"/>
    <w:rsid w:val="008F29A1"/>
    <w:rsid w:val="00905598"/>
    <w:rsid w:val="009419DA"/>
    <w:rsid w:val="00946122"/>
    <w:rsid w:val="009565FB"/>
    <w:rsid w:val="009647D5"/>
    <w:rsid w:val="00964AD9"/>
    <w:rsid w:val="009A2995"/>
    <w:rsid w:val="009D64DD"/>
    <w:rsid w:val="009F14BD"/>
    <w:rsid w:val="00A13FCA"/>
    <w:rsid w:val="00A2201A"/>
    <w:rsid w:val="00A40B42"/>
    <w:rsid w:val="00A43892"/>
    <w:rsid w:val="00A853F6"/>
    <w:rsid w:val="00A9435A"/>
    <w:rsid w:val="00AA2E4D"/>
    <w:rsid w:val="00AA6942"/>
    <w:rsid w:val="00AA697E"/>
    <w:rsid w:val="00AB1FFB"/>
    <w:rsid w:val="00AB622F"/>
    <w:rsid w:val="00AC3CCE"/>
    <w:rsid w:val="00AD4E6E"/>
    <w:rsid w:val="00AD6C50"/>
    <w:rsid w:val="00AF3B9A"/>
    <w:rsid w:val="00B01BC8"/>
    <w:rsid w:val="00B02ED5"/>
    <w:rsid w:val="00B12267"/>
    <w:rsid w:val="00B31D9B"/>
    <w:rsid w:val="00B32997"/>
    <w:rsid w:val="00B478F7"/>
    <w:rsid w:val="00B7309A"/>
    <w:rsid w:val="00BA4C61"/>
    <w:rsid w:val="00BA6875"/>
    <w:rsid w:val="00BB26B8"/>
    <w:rsid w:val="00BC42E6"/>
    <w:rsid w:val="00BE1A2F"/>
    <w:rsid w:val="00BE5B85"/>
    <w:rsid w:val="00BF755C"/>
    <w:rsid w:val="00C023A4"/>
    <w:rsid w:val="00C27A27"/>
    <w:rsid w:val="00C635CF"/>
    <w:rsid w:val="00CA140C"/>
    <w:rsid w:val="00CA3F6F"/>
    <w:rsid w:val="00CB1BD0"/>
    <w:rsid w:val="00CB5C23"/>
    <w:rsid w:val="00CB5C35"/>
    <w:rsid w:val="00CC71A4"/>
    <w:rsid w:val="00CD1D3F"/>
    <w:rsid w:val="00CD37E4"/>
    <w:rsid w:val="00CD5034"/>
    <w:rsid w:val="00CD7648"/>
    <w:rsid w:val="00CE7E36"/>
    <w:rsid w:val="00D00AF9"/>
    <w:rsid w:val="00D03320"/>
    <w:rsid w:val="00D13EFF"/>
    <w:rsid w:val="00D15B15"/>
    <w:rsid w:val="00D17758"/>
    <w:rsid w:val="00D253FC"/>
    <w:rsid w:val="00D25EB8"/>
    <w:rsid w:val="00D27C40"/>
    <w:rsid w:val="00D3277E"/>
    <w:rsid w:val="00D333D7"/>
    <w:rsid w:val="00D4376B"/>
    <w:rsid w:val="00D463FE"/>
    <w:rsid w:val="00D60FC9"/>
    <w:rsid w:val="00D779D1"/>
    <w:rsid w:val="00D92406"/>
    <w:rsid w:val="00DE4531"/>
    <w:rsid w:val="00E15190"/>
    <w:rsid w:val="00E159C9"/>
    <w:rsid w:val="00E33B2D"/>
    <w:rsid w:val="00E43ED2"/>
    <w:rsid w:val="00E55AB8"/>
    <w:rsid w:val="00E57423"/>
    <w:rsid w:val="00E907DE"/>
    <w:rsid w:val="00EB2481"/>
    <w:rsid w:val="00EC44D4"/>
    <w:rsid w:val="00EF572A"/>
    <w:rsid w:val="00F015E2"/>
    <w:rsid w:val="00F01AEB"/>
    <w:rsid w:val="00F320AF"/>
    <w:rsid w:val="00F43BE2"/>
    <w:rsid w:val="00F47876"/>
    <w:rsid w:val="00F5330F"/>
    <w:rsid w:val="00F544CA"/>
    <w:rsid w:val="00F74DA2"/>
    <w:rsid w:val="00FB3CCB"/>
    <w:rsid w:val="00FC1B21"/>
    <w:rsid w:val="00FF4309"/>
    <w:rsid w:val="00FF45E1"/>
    <w:rsid w:val="03A2106F"/>
    <w:rsid w:val="0D58687D"/>
    <w:rsid w:val="12F85CAD"/>
    <w:rsid w:val="14767FFC"/>
    <w:rsid w:val="2E783E0F"/>
    <w:rsid w:val="30603D92"/>
    <w:rsid w:val="34285DA1"/>
    <w:rsid w:val="49AE1A71"/>
    <w:rsid w:val="4B5F7E5E"/>
    <w:rsid w:val="4E015FBF"/>
    <w:rsid w:val="56A30136"/>
    <w:rsid w:val="5BF05455"/>
    <w:rsid w:val="66596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3"/>
    <w:basedOn w:val="1"/>
    <w:next w:val="1"/>
    <w:link w:val="20"/>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5"/>
    <w:qFormat/>
    <w:uiPriority w:val="1"/>
    <w:pPr>
      <w:autoSpaceDE w:val="0"/>
      <w:autoSpaceDN w:val="0"/>
      <w:ind w:firstLine="200" w:firstLineChars="200"/>
      <w:jc w:val="left"/>
    </w:pPr>
    <w:rPr>
      <w:rFonts w:ascii="宋体" w:hAnsi="宋体" w:eastAsia="宋体" w:cs="宋体"/>
      <w:kern w:val="0"/>
      <w:szCs w:val="21"/>
      <w:lang w:val="zh-CN" w:bidi="zh-CN"/>
    </w:rPr>
  </w:style>
  <w:style w:type="paragraph" w:styleId="5">
    <w:name w:val="Balloon Text"/>
    <w:basedOn w:val="1"/>
    <w:link w:val="27"/>
    <w:semiHidden/>
    <w:unhideWhenUsed/>
    <w:qFormat/>
    <w:uiPriority w:val="99"/>
    <w:rPr>
      <w:rFonts w:asciiTheme="majorHAnsi" w:hAnsiTheme="majorHAnsi" w:eastAsiaTheme="majorEastAsia" w:cstheme="majorBidi"/>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qFormat/>
    <w:uiPriority w:val="20"/>
    <w:rPr>
      <w:i/>
      <w:iCs/>
    </w:rPr>
  </w:style>
  <w:style w:type="character" w:styleId="12">
    <w:name w:val="Hyperlink"/>
    <w:basedOn w:val="10"/>
    <w:semiHidden/>
    <w:unhideWhenUsed/>
    <w:qFormat/>
    <w:uiPriority w:val="99"/>
    <w:rPr>
      <w:color w:val="0000FF"/>
      <w:u w:val="single"/>
    </w:rPr>
  </w:style>
  <w:style w:type="character" w:customStyle="1" w:styleId="13">
    <w:name w:val="页眉 字符"/>
    <w:basedOn w:val="10"/>
    <w:link w:val="7"/>
    <w:qFormat/>
    <w:uiPriority w:val="99"/>
    <w:rPr>
      <w:sz w:val="18"/>
      <w:szCs w:val="18"/>
    </w:rPr>
  </w:style>
  <w:style w:type="character" w:customStyle="1" w:styleId="14">
    <w:name w:val="页脚 字符"/>
    <w:basedOn w:val="10"/>
    <w:link w:val="6"/>
    <w:qFormat/>
    <w:uiPriority w:val="99"/>
    <w:rPr>
      <w:sz w:val="18"/>
      <w:szCs w:val="18"/>
    </w:rPr>
  </w:style>
  <w:style w:type="character" w:customStyle="1" w:styleId="15">
    <w:name w:val="正文文本 字符"/>
    <w:basedOn w:val="10"/>
    <w:link w:val="4"/>
    <w:qFormat/>
    <w:uiPriority w:val="1"/>
    <w:rPr>
      <w:rFonts w:ascii="宋体" w:hAnsi="宋体" w:eastAsia="宋体" w:cs="宋体"/>
      <w:kern w:val="0"/>
      <w:szCs w:val="21"/>
      <w:lang w:val="zh-CN" w:bidi="zh-CN"/>
    </w:rPr>
  </w:style>
  <w:style w:type="paragraph" w:styleId="16">
    <w:name w:val="List Paragraph"/>
    <w:basedOn w:val="1"/>
    <w:qFormat/>
    <w:uiPriority w:val="34"/>
    <w:pPr>
      <w:ind w:firstLine="420" w:firstLineChars="200"/>
    </w:pPr>
  </w:style>
  <w:style w:type="character" w:customStyle="1" w:styleId="17">
    <w:name w:val="段 Char"/>
    <w:link w:val="18"/>
    <w:qFormat/>
    <w:uiPriority w:val="0"/>
    <w:rPr>
      <w:rFonts w:ascii="宋体" w:hAnsi="Times New Roman"/>
    </w:rPr>
  </w:style>
  <w:style w:type="paragraph" w:customStyle="1" w:styleId="18">
    <w:name w:val="段"/>
    <w:link w:val="17"/>
    <w:qFormat/>
    <w:uiPriority w:val="0"/>
    <w:pPr>
      <w:tabs>
        <w:tab w:val="center" w:pos="4201"/>
        <w:tab w:val="right" w:leader="dot" w:pos="9298"/>
      </w:tabs>
      <w:autoSpaceDE w:val="0"/>
      <w:autoSpaceDN w:val="0"/>
      <w:jc w:val="both"/>
    </w:pPr>
    <w:rPr>
      <w:rFonts w:ascii="宋体" w:hAnsi="Times New Roman" w:eastAsiaTheme="minorEastAsia" w:cstheme="minorBidi"/>
      <w:kern w:val="2"/>
      <w:sz w:val="21"/>
      <w:szCs w:val="22"/>
      <w:lang w:val="en-US" w:eastAsia="zh-CN" w:bidi="ar-SA"/>
    </w:rPr>
  </w:style>
  <w:style w:type="character" w:customStyle="1" w:styleId="19">
    <w:name w:val="标题 1 字符"/>
    <w:basedOn w:val="10"/>
    <w:link w:val="2"/>
    <w:qFormat/>
    <w:uiPriority w:val="9"/>
    <w:rPr>
      <w:rFonts w:ascii="宋体" w:hAnsi="宋体" w:eastAsia="宋体" w:cs="宋体"/>
      <w:b/>
      <w:bCs/>
      <w:kern w:val="36"/>
      <w:sz w:val="48"/>
      <w:szCs w:val="48"/>
    </w:rPr>
  </w:style>
  <w:style w:type="character" w:customStyle="1" w:styleId="20">
    <w:name w:val="标题 3 字符"/>
    <w:basedOn w:val="10"/>
    <w:link w:val="3"/>
    <w:semiHidden/>
    <w:qFormat/>
    <w:uiPriority w:val="9"/>
    <w:rPr>
      <w:b/>
      <w:bCs/>
      <w:sz w:val="32"/>
      <w:szCs w:val="32"/>
    </w:rPr>
  </w:style>
  <w:style w:type="paragraph" w:customStyle="1" w:styleId="21">
    <w:name w:val="一级条标题"/>
    <w:next w:val="18"/>
    <w:qFormat/>
    <w:uiPriority w:val="0"/>
    <w:pPr>
      <w:numPr>
        <w:ilvl w:val="1"/>
        <w:numId w:val="1"/>
      </w:numPr>
      <w:outlineLvl w:val="1"/>
    </w:pPr>
    <w:rPr>
      <w:rFonts w:ascii="黑体" w:hAnsi="Times New Roman" w:eastAsia="宋体" w:cs="Times New Roman"/>
      <w:sz w:val="21"/>
      <w:szCs w:val="21"/>
      <w:lang w:val="en-US" w:eastAsia="zh-CN" w:bidi="ar-SA"/>
    </w:rPr>
  </w:style>
  <w:style w:type="paragraph" w:customStyle="1" w:styleId="22">
    <w:name w:val="二级条标题"/>
    <w:basedOn w:val="21"/>
    <w:next w:val="18"/>
    <w:qFormat/>
    <w:uiPriority w:val="0"/>
    <w:pPr>
      <w:numPr>
        <w:ilvl w:val="2"/>
      </w:numPr>
      <w:spacing w:before="50" w:after="50"/>
      <w:ind w:left="850"/>
      <w:outlineLvl w:val="3"/>
    </w:pPr>
  </w:style>
  <w:style w:type="paragraph" w:customStyle="1" w:styleId="23">
    <w:name w:val="章标题"/>
    <w:next w:val="18"/>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4">
    <w:name w:val="三级条标题"/>
    <w:basedOn w:val="22"/>
    <w:next w:val="18"/>
    <w:qFormat/>
    <w:uiPriority w:val="0"/>
    <w:pPr>
      <w:numPr>
        <w:ilvl w:val="3"/>
      </w:numPr>
      <w:spacing w:before="0" w:after="0"/>
      <w:outlineLvl w:val="4"/>
    </w:pPr>
  </w:style>
  <w:style w:type="paragraph" w:customStyle="1" w:styleId="25">
    <w:name w:val="五级条标题"/>
    <w:basedOn w:val="26"/>
    <w:next w:val="18"/>
    <w:qFormat/>
    <w:uiPriority w:val="0"/>
    <w:pPr>
      <w:numPr>
        <w:ilvl w:val="5"/>
      </w:numPr>
      <w:outlineLvl w:val="6"/>
    </w:pPr>
  </w:style>
  <w:style w:type="paragraph" w:customStyle="1" w:styleId="26">
    <w:name w:val="四级条标题"/>
    <w:basedOn w:val="24"/>
    <w:next w:val="18"/>
    <w:qFormat/>
    <w:uiPriority w:val="0"/>
    <w:pPr>
      <w:numPr>
        <w:ilvl w:val="4"/>
      </w:numPr>
      <w:outlineLvl w:val="5"/>
    </w:pPr>
  </w:style>
  <w:style w:type="character" w:customStyle="1" w:styleId="27">
    <w:name w:val="批注框文本 字符"/>
    <w:basedOn w:val="10"/>
    <w:link w:val="5"/>
    <w:semiHidden/>
    <w:qFormat/>
    <w:uiPriority w:val="99"/>
    <w:rPr>
      <w:rFonts w:asciiTheme="majorHAnsi" w:hAnsiTheme="majorHAnsi" w:eastAsiaTheme="majorEastAsia" w:cstheme="majorBidi"/>
      <w:sz w:val="18"/>
      <w:szCs w:val="18"/>
    </w:rPr>
  </w:style>
  <w:style w:type="paragraph" w:customStyle="1" w:styleId="28">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5469</Words>
  <Characters>5933</Characters>
  <Lines>40</Lines>
  <Paragraphs>11</Paragraphs>
  <TotalTime>1</TotalTime>
  <ScaleCrop>false</ScaleCrop>
  <LinksUpToDate>false</LinksUpToDate>
  <CharactersWithSpaces>6026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2024-06-11T02:11:00Z</dcterms:created>
  <dc:creator>闫 一凡</dc:creator>
  <cp:lastModifiedBy>Sep.24</cp:lastModifiedBy>
  <dcterms:modified xsi:type="dcterms:W3CDTF">2024-06-11T08:20:38Z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32E259E2A6B343528BFA1DCC9349DF84_13</vt:lpwstr>
  </property>
</Properties>
</file>