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framePr w:wrap="around" w:vAnchor="margin" w:hAnchor="text" w:y="1"/>
        <w:widowControl w:val="0"/>
        <w:textAlignment w:val="center"/>
        <w:rPr>
          <w:rFonts w:ascii="黑体" w:hAnsi="Times New Roman" w:eastAsia="黑体" w:cs="Times New Roman"/>
          <w:sz w:val="21"/>
          <w:szCs w:val="21"/>
          <w:lang w:val="en-US" w:eastAsia="zh-CN" w:bidi="ar-SA"/>
        </w:rPr>
      </w:pPr>
      <w:r>
        <w:rPr>
          <w:rFonts w:ascii="Times New Roman" w:hAnsi="Times New Roman" w:eastAsia="黑体" w:cs="Times New Roman"/>
          <w:sz w:val="21"/>
          <w:szCs w:val="21"/>
          <w:lang w:val="en-US" w:eastAsia="zh-CN" w:bidi="ar-SA"/>
        </w:rPr>
        <w:t>ICS</w:t>
      </w:r>
      <w:r>
        <w:rPr>
          <w:rFonts w:ascii="黑体" w:hAnsi="黑体" w:eastAsia="黑体" w:cs="Times New Roman"/>
          <w:sz w:val="21"/>
          <w:szCs w:val="21"/>
          <w:lang w:val="en-US" w:eastAsia="zh-CN" w:bidi="ar-SA"/>
        </w:rPr>
        <w:t> </w:t>
      </w:r>
      <w:r>
        <w:rPr>
          <w:rFonts w:hint="eastAsia" w:ascii="黑体" w:hAnsi="黑体" w:eastAsia="黑体" w:cs="Times New Roman"/>
          <w:sz w:val="21"/>
          <w:szCs w:val="21"/>
          <w:lang w:val="en-US" w:eastAsia="zh-CN" w:bidi="ar-SA"/>
        </w:rPr>
        <w:t>03.120.20</w:t>
      </w:r>
    </w:p>
    <w:p>
      <w:pPr>
        <w:framePr w:wrap="around" w:vAnchor="margin" w:hAnchor="text" w:y="1"/>
        <w:widowControl w:val="0"/>
        <w:textAlignment w:val="center"/>
        <w:rPr>
          <w:rFonts w:ascii="Times New Roman" w:hAnsi="Times New Roman" w:eastAsia="黑体" w:cs="Times New Roman"/>
          <w:sz w:val="21"/>
          <w:szCs w:val="21"/>
          <w:lang w:val="en-US" w:eastAsia="zh-CN" w:bidi="ar-SA"/>
        </w:rPr>
      </w:pPr>
      <w:r>
        <w:rPr>
          <w:rFonts w:hint="eastAsia" w:ascii="Times New Roman" w:hAnsi="Times New Roman" w:eastAsia="黑体" w:cs="Times New Roman"/>
          <w:sz w:val="21"/>
          <w:szCs w:val="21"/>
          <w:lang w:val="en-US" w:eastAsia="zh-CN" w:bidi="ar-SA"/>
        </w:rPr>
        <w:t>CCS  A 00</w:t>
      </w:r>
    </w:p>
    <w:tbl>
      <w:tblPr>
        <w:tblStyle w:val="4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8" w:type="dxa"/>
            <w:tcBorders>
              <w:top w:val="nil"/>
              <w:left w:val="nil"/>
              <w:bottom w:val="nil"/>
              <w:right w:val="nil"/>
            </w:tcBorders>
            <w:shd w:val="clear" w:color="auto" w:fill="auto"/>
          </w:tcPr>
          <w:p>
            <w:pPr>
              <w:framePr w:wrap="around" w:vAnchor="margin" w:hAnchor="text" w:y="1"/>
              <w:widowControl w:val="0"/>
              <w:textAlignment w:val="center"/>
              <w:rPr>
                <w:rFonts w:ascii="黑体" w:hAnsi="Times New Roman" w:eastAsia="黑体" w:cs="Times New Roman"/>
                <w:sz w:val="21"/>
                <w:szCs w:val="21"/>
                <w:lang w:val="en-US" w:eastAsia="zh-CN" w:bidi="ar-SA"/>
              </w:rPr>
            </w:pPr>
          </w:p>
        </w:tc>
      </w:tr>
    </w:tbl>
    <w:p>
      <w:pPr>
        <w:pStyle w:val="164"/>
        <w:framePr w:wrap="around"/>
      </w:pPr>
    </w:p>
    <w:p>
      <w:pPr>
        <w:pStyle w:val="116"/>
        <w:framePr w:wrap="around"/>
      </w:pPr>
    </w:p>
    <w:p>
      <w:pPr>
        <w:pStyle w:val="151"/>
        <w:framePr w:wrap="around"/>
        <w:rPr>
          <w:rFonts w:hAnsi="黑体" w:cs="黑体"/>
        </w:rPr>
      </w:pPr>
      <w:r>
        <w:rPr>
          <w:rFonts w:hint="eastAsia" w:hAnsi="黑体" w:cs="黑体"/>
        </w:rPr>
        <w:t>T/CCAA XX—XXXX</w:t>
      </w:r>
    </w:p>
    <w:tbl>
      <w:tblPr>
        <w:tblStyle w:val="4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130" w:type="dxa"/>
            <w:tcBorders>
              <w:top w:val="nil"/>
              <w:left w:val="nil"/>
              <w:bottom w:val="nil"/>
              <w:right w:val="nil"/>
            </w:tcBorders>
            <w:shd w:val="clear" w:color="auto" w:fill="auto"/>
          </w:tcPr>
          <w:p>
            <w:pPr>
              <w:pStyle w:val="149"/>
              <w:framePr w:wrap="around"/>
            </w:pPr>
            <w:r>
              <mc:AlternateContent>
                <mc:Choice Requires="wps">
                  <w:drawing>
                    <wp:anchor distT="0" distB="0" distL="114300" distR="114300" simplePos="0" relativeHeight="251664384" behindDoc="1" locked="0" layoutInCell="1" allowOverlap="1">
                      <wp:simplePos x="0" y="0"/>
                      <wp:positionH relativeFrom="column">
                        <wp:posOffset>4665980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cap="flat" cmpd="sng" algn="ctr">
                                <a:noFill/>
                                <a:prstDash val="solid"/>
                              </a:ln>
                              <a:effectLst/>
                            </wps:spPr>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DT" o:spid="_x0000_s1026" o:spt="1" style="position:absolute;left:0pt;margin-left:367.4pt;margin-top:2.7pt;height:18pt;width:90pt;z-index:-251652096;v-text-anchor:middle;mso-width-relative:page;mso-height-relative:page;" fillcolor="#FFFFFF" filled="t" stroked="f" coordsize="21600,21600" o:gfxdata="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We5P/TAAAACAEA&#10;AA8AAAAAAAAAAQAgAAAAIgAAAGRycy9kb3ducmV2LnhtbFBLAQIUABQAAAAIAIdO4kCpIlCfWAIA&#10;AMcEAAAOAAAAAAAAAAEAIAAAACIBAABkcnMvZTJvRG9jLnhtbFBLBQYAAAAABgAGAFkBAADsBQAA&#10;AAA=&#10;">
                      <v:fill on="t" focussize="0,0"/>
                      <v:stroke on="f" weight="2pt"/>
                      <v:imagedata o:title=""/>
                      <o:lock v:ext="edit" aspectratio="f"/>
                      <v:textbox>
                        <w:txbxContent>
                          <w:p>
                            <w:pPr>
                              <w:jc w:val="center"/>
                            </w:pPr>
                          </w:p>
                        </w:txbxContent>
                      </v:textbox>
                    </v:rect>
                  </w:pict>
                </mc:Fallback>
              </mc:AlternateContent>
            </w:r>
          </w:p>
        </w:tc>
      </w:tr>
    </w:tbl>
    <w:p>
      <w:pPr>
        <w:pStyle w:val="151"/>
        <w:framePr w:wrap="around"/>
        <w:rPr>
          <w:rFonts w:hAnsi="黑体"/>
        </w:rPr>
      </w:pPr>
    </w:p>
    <w:p>
      <w:pPr>
        <w:pStyle w:val="151"/>
        <w:framePr w:wrap="around"/>
        <w:rPr>
          <w:rFonts w:hAnsi="黑体"/>
        </w:rPr>
      </w:pPr>
    </w:p>
    <w:p>
      <w:pPr>
        <w:pStyle w:val="151"/>
        <w:framePr w:wrap="around"/>
        <w:rPr>
          <w:rFonts w:hAnsi="黑体"/>
        </w:rPr>
      </w:pPr>
    </w:p>
    <w:tbl>
      <w:tblPr>
        <w:tblStyle w:val="4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149"/>
              <w:framePr w:wrap="around"/>
            </w:pPr>
            <w:bookmarkStart w:id="0" w:name="DT"/>
            <w:r>
              <mc:AlternateContent>
                <mc:Choice Requires="wps">
                  <w:drawing>
                    <wp:anchor distT="0" distB="0" distL="114300" distR="114300" simplePos="0" relativeHeight="251662336"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4"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txbx>
                              <w:txbxContent>
                                <w:p/>
                              </w:txbxContent>
                            </wps:txbx>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414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eYPLL1gAAAAgBAAAPAAAAAAAAAAEAIAAA&#10;ACIAAABkcnMvZG93bnJldi54bWxQSwECFAAUAAAACACHTuJAs+z3jg4CAAArBAAADgAAAAAAAAAB&#10;ACAAAAAlAQAAZHJzL2Uyb0RvYy54bWxQSwUGAAAAAAYABgBZAQAApQUAAAAA&#10;">
                      <v:fill on="t" focussize="0,0"/>
                      <v:stroke on="f"/>
                      <v:imagedata o:title=""/>
                      <o:lock v:ext="edit" aspectratio="f"/>
                      <v:textbox>
                        <w:txbxContent>
                          <w:p/>
                        </w:txbxContent>
                      </v:textbox>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0"/>
          </w:p>
        </w:tc>
      </w:tr>
    </w:tbl>
    <w:p>
      <w:pPr>
        <w:pStyle w:val="151"/>
        <w:framePr w:wrap="around"/>
        <w:rPr>
          <w:rFonts w:hAnsi="黑体"/>
        </w:rPr>
      </w:pPr>
    </w:p>
    <w:p>
      <w:pPr>
        <w:pStyle w:val="151"/>
        <w:framePr w:wrap="around"/>
        <w:rPr>
          <w:rFonts w:hAnsi="黑体"/>
        </w:rPr>
      </w:pPr>
    </w:p>
    <w:p>
      <w:pPr>
        <w:pStyle w:val="75"/>
        <w:framePr w:wrap="around"/>
        <w:rPr>
          <w:rFonts w:hint="eastAsia" w:hAnsi="黑体"/>
          <w:b/>
          <w:color w:val="000000" w:themeColor="text1"/>
          <w:szCs w:val="48"/>
          <w14:textFill>
            <w14:solidFill>
              <w14:schemeClr w14:val="tx1"/>
            </w14:solidFill>
          </w14:textFill>
        </w:rPr>
      </w:pPr>
      <w:bookmarkStart w:id="1" w:name="StdName"/>
      <w:r>
        <w:rPr>
          <w:rFonts w:hint="eastAsia" w:hAnsi="黑体"/>
          <w:b/>
          <w:color w:val="000000" w:themeColor="text1"/>
          <w:szCs w:val="48"/>
          <w14:textFill>
            <w14:solidFill>
              <w14:schemeClr w14:val="tx1"/>
            </w14:solidFill>
          </w14:textFill>
        </w:rPr>
        <w:t>企业碳信息</w:t>
      </w:r>
      <w:r>
        <w:rPr>
          <w:rFonts w:hint="eastAsia" w:hAnsi="黑体"/>
          <w:b/>
          <w:color w:val="000000" w:themeColor="text1"/>
          <w:szCs w:val="48"/>
          <w:lang w:val="en-US" w:eastAsia="zh-CN"/>
          <w14:textFill>
            <w14:solidFill>
              <w14:schemeClr w14:val="tx1"/>
            </w14:solidFill>
          </w14:textFill>
        </w:rPr>
        <w:t>合规</w:t>
      </w:r>
      <w:r>
        <w:rPr>
          <w:rFonts w:hint="eastAsia" w:hAnsi="黑体"/>
          <w:b/>
          <w:color w:val="000000" w:themeColor="text1"/>
          <w:szCs w:val="48"/>
          <w14:textFill>
            <w14:solidFill>
              <w14:schemeClr w14:val="tx1"/>
            </w14:solidFill>
          </w14:textFill>
        </w:rPr>
        <w:t>披露与评价</w:t>
      </w:r>
      <w:r>
        <w:rPr>
          <w:rFonts w:hint="eastAsia" w:hAnsi="黑体"/>
          <w:b/>
          <w:color w:val="000000" w:themeColor="text1"/>
          <w:szCs w:val="48"/>
          <w:lang w:val="en-US" w:eastAsia="zh-CN"/>
          <w14:textFill>
            <w14:solidFill>
              <w14:schemeClr w14:val="tx1"/>
            </w14:solidFill>
          </w14:textFill>
        </w:rPr>
        <w:t>指引</w:t>
      </w:r>
      <w:r>
        <w:rPr>
          <w:rFonts w:hint="eastAsia" w:hAnsi="黑体"/>
          <w:b/>
          <w:color w:val="000000" w:themeColor="text1"/>
          <w:szCs w:val="48"/>
          <w14:textFill>
            <w14:solidFill>
              <w14:schemeClr w14:val="tx1"/>
            </w14:solidFill>
          </w14:textFill>
        </w:rPr>
        <w:t xml:space="preserve"> </w:t>
      </w:r>
      <w:bookmarkEnd w:id="1"/>
    </w:p>
    <w:p>
      <w:pPr>
        <w:pStyle w:val="75"/>
        <w:framePr w:wrap="around"/>
        <w:rPr>
          <w:rFonts w:hAnsi="黑体"/>
          <w:b/>
          <w:color w:val="000000" w:themeColor="text1"/>
          <w:szCs w:val="48"/>
          <w14:textFill>
            <w14:solidFill>
              <w14:schemeClr w14:val="tx1"/>
            </w14:solidFill>
          </w14:textFill>
        </w:rPr>
      </w:pPr>
    </w:p>
    <w:p>
      <w:pPr>
        <w:framePr w:w="9639" w:h="6917" w:hRule="exact" w:wrap="around" w:vAnchor="page" w:hAnchor="page" w:xAlign="center" w:y="6408" w:anchorLock="1"/>
        <w:adjustRightInd w:val="0"/>
        <w:snapToGrid w:val="0"/>
        <w:spacing w:before="62" w:beforeLines="20" w:after="62" w:afterLines="20"/>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e</w:t>
      </w:r>
      <w:r>
        <w:rPr>
          <w:rFonts w:hint="eastAsia"/>
          <w:b/>
          <w:color w:val="000000" w:themeColor="text1"/>
          <w:lang w:eastAsia="zh-CN"/>
          <w14:textFill>
            <w14:solidFill>
              <w14:schemeClr w14:val="tx1"/>
            </w14:solidFill>
          </w14:textFill>
        </w:rPr>
        <w:t>Guidelines for corporate carbon information disclosure’s compliance and evaluation</w:t>
      </w:r>
    </w:p>
    <w:p>
      <w:pPr>
        <w:pStyle w:val="73"/>
        <w:framePr w:wrap="around"/>
      </w:pPr>
    </w:p>
    <w:tbl>
      <w:tblPr>
        <w:tblStyle w:val="41"/>
        <w:tblW w:w="101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1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2" w:hRule="atLeast"/>
        </w:trPr>
        <w:tc>
          <w:tcPr>
            <w:tcW w:w="10160" w:type="dxa"/>
            <w:tcBorders>
              <w:top w:val="nil"/>
              <w:left w:val="nil"/>
              <w:bottom w:val="nil"/>
              <w:right w:val="nil"/>
            </w:tcBorders>
            <w:shd w:val="clear" w:color="auto" w:fill="auto"/>
          </w:tcPr>
          <w:p>
            <w:pPr>
              <w:pStyle w:val="72"/>
              <w:framePr w:wrap="around"/>
            </w:pPr>
            <w:r>
              <mc:AlternateContent>
                <mc:Choice Requires="wps">
                  <w:drawing>
                    <wp:anchor distT="0" distB="0" distL="114300" distR="114300" simplePos="0" relativeHeight="251666432" behindDoc="1" locked="1" layoutInCell="1" allowOverlap="1">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25400" cap="flat" cmpd="sng" algn="ctr">
                                <a:noFill/>
                                <a:prstDash val="solid"/>
                              </a:ln>
                              <a:effectLst/>
                            </wps:spPr>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Q" o:spid="_x0000_s1026" o:spt="1" style="position:absolute;left:0pt;margin-left:167.9pt;margin-top:45.15pt;height:20pt;width:150pt;z-index:-251650048;v-text-anchor:middle;mso-width-relative:page;mso-height-relative:page;" fillcolor="#FFFFFF" filled="t" stroked="f" coordsize="21600,21600" o:gfxdata="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iiOF3TAAAACgEAAA8A&#10;AAAAAAAAAQAgAAAAIgAAAGRycy9kb3ducmV2LnhtbFBLAQIUABQAAAAIAIdO4kC90npGVQIAAMcE&#10;AAAOAAAAAAAAAAEAIAAAACIBAABkcnMvZTJvRG9jLnhtbFBLBQYAAAAABgAGAFkBAADpBQAAAAA=&#10;">
                      <v:fill on="t" focussize="0,0"/>
                      <v:stroke on="f" weight="2pt"/>
                      <v:imagedata o:title=""/>
                      <o:lock v:ext="edit" aspectratio="f"/>
                      <v:textbox>
                        <w:txbxContent>
                          <w:p>
                            <w:pPr>
                              <w:jc w:val="center"/>
                            </w:pPr>
                          </w:p>
                        </w:txbxContent>
                      </v:textbox>
                      <w10:anchorlock/>
                    </v:rect>
                  </w:pict>
                </mc:Fallback>
              </mc:AlternateContent>
            </w:r>
            <w:r>
              <mc:AlternateContent>
                <mc:Choice Requires="wps">
                  <w:drawing>
                    <wp:anchor distT="0" distB="0" distL="114300" distR="114300" simplePos="0" relativeHeight="251665408" behindDoc="1" locked="0" layoutInCell="1" allowOverlap="1">
                      <wp:simplePos x="0" y="0"/>
                      <wp:positionH relativeFrom="column">
                        <wp:posOffset>2386330</wp:posOffset>
                      </wp:positionH>
                      <wp:positionV relativeFrom="paragraph">
                        <wp:posOffset>255905</wp:posOffset>
                      </wp:positionV>
                      <wp:extent cx="1270000" cy="304800"/>
                      <wp:effectExtent l="0" t="0" r="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25400" cap="flat" cmpd="sng" algn="ctr">
                                <a:noFill/>
                                <a:prstDash val="solid"/>
                              </a:ln>
                              <a:effectLst/>
                            </wps:spPr>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LB" o:spid="_x0000_s1026" o:spt="1" style="position:absolute;left:0pt;margin-left:187.9pt;margin-top:20.15pt;height:24pt;width:100pt;z-index:-251651072;v-text-anchor:middle;mso-width-relative:page;mso-height-relative:page;" fillcolor="#FFFFFF" filled="t" stroked="f" coordsize="21600,21600" o:gfxdata="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NIEcv1AAAAAkB&#10;AAAPAAAAAAAAAAEAIAAAACIAAABkcnMvZG93bnJldi54bWxQSwECFAAUAAAACACHTuJA7GlKnlgC&#10;AADHBAAADgAAAAAAAAABACAAAAAjAQAAZHJzL2Uyb0RvYy54bWxQSwUGAAAAAAYABgBZAQAA7QUA&#10;AAAA&#10;">
                      <v:fill on="t" focussize="0,0"/>
                      <v:stroke on="f" weight="2pt"/>
                      <v:imagedata o:title=""/>
                      <o:lock v:ext="edit" aspectratio="f"/>
                      <v:textbox>
                        <w:txbxContent>
                          <w:p>
                            <w:pPr>
                              <w:jc w:val="center"/>
                            </w:pPr>
                          </w:p>
                        </w:txbxContent>
                      </v:textbox>
                    </v:rect>
                  </w:pict>
                </mc:Fallback>
              </mc:AlternateContent>
            </w:r>
            <w:r>
              <w:rPr>
                <w:rFonts w:hint="eastAsia"/>
                <w:color w:val="000000" w:themeColor="text1"/>
                <w14:textFill>
                  <w14:solidFill>
                    <w14:schemeClr w14:val="tx1"/>
                  </w14:solidFill>
                </w14:textFill>
              </w:rPr>
              <w:t>（草案）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10160" w:type="dxa"/>
            <w:tcBorders>
              <w:top w:val="nil"/>
              <w:left w:val="nil"/>
              <w:bottom w:val="nil"/>
              <w:right w:val="nil"/>
            </w:tcBorders>
            <w:shd w:val="clear" w:color="auto" w:fill="auto"/>
          </w:tcPr>
          <w:p>
            <w:pPr>
              <w:pStyle w:val="71"/>
              <w:framePr w:wrap="around"/>
            </w:pPr>
          </w:p>
        </w:tc>
      </w:tr>
    </w:tbl>
    <w:p>
      <w:pPr>
        <w:pStyle w:val="138"/>
        <w:framePr w:wrap="around" w:vAnchor="page" w:hAnchor="page" w:x="1512"/>
      </w:pPr>
      <w:r>
        <w:rPr>
          <w:rFonts w:hint="eastAsia" w:ascii="黑体"/>
        </w:rPr>
        <w:t>202X</w:t>
      </w:r>
      <w:r>
        <w:rPr>
          <w:rFonts w:ascii="黑体"/>
        </w:rPr>
        <w:t xml:space="preserve"> -</w:t>
      </w:r>
      <w:r>
        <w:rPr>
          <w:rFonts w:hint="eastAsia" w:ascii="黑体"/>
        </w:rPr>
        <w:t>XX</w:t>
      </w:r>
      <w:r>
        <w:rPr>
          <w:rFonts w:ascii="黑体"/>
        </w:rPr>
        <w:t xml:space="preserve"> -</w:t>
      </w:r>
      <w:r>
        <w:rPr>
          <w:rFonts w:hint="eastAsia" w:ascii="黑体"/>
        </w:rPr>
        <w:t>XX</w:t>
      </w:r>
      <w:r>
        <w:rPr>
          <w:rFonts w:hint="eastAsia"/>
        </w:rPr>
        <w:t>发布</w:t>
      </w:r>
      <w: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2" name="直线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m+Mv/XAQAAog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G0jp1J4cDzwp+8/nn7+&#10;EpMizhCo5piFX8VMT+39fbhD9Y2Ex0UPfqNLkw+HwJmTLGf1V0o2KHCJ9fAZW46BbcKi1L6LLkOy&#10;BmJfBnK4DETvk1D8eD1hVd7zrNTZV0F9TgyR0ieNTuRLI63xWSuoYXdHKTcC9TkkP3u8NdaWeVsv&#10;hkZ+vJpelQRCa9rszGEUN+uFjWIHeWPKV1ix53lYxK1vj0WsP5HOPPPiUb3G9rCKZzF4dKWb05rl&#10;3Xhul+w/v9b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CpvjL/1wEAAKIDAAAOAAAAAAAA&#10;AAEAIAAAACUBAABkcnMvZTJvRG9jLnhtbFBLBQYAAAAABgAGAFkBAABuBQAAAAA=&#10;">
                <v:fill on="f" focussize="0,0"/>
                <v:stroke color="#000000" joinstyle="round"/>
                <v:imagedata o:title=""/>
                <o:lock v:ext="edit" aspectratio="f"/>
                <w10:anchorlock/>
              </v:line>
            </w:pict>
          </mc:Fallback>
        </mc:AlternateContent>
      </w:r>
    </w:p>
    <w:p>
      <w:pPr>
        <w:pStyle w:val="102"/>
        <w:framePr w:wrap="around" w:vAnchor="page" w:hAnchor="page" w:x="6906" w:y="14102"/>
        <w:pBdr>
          <w:top w:val="none" w:color="auto" w:sz="0" w:space="0"/>
          <w:left w:val="none" w:color="auto" w:sz="0" w:space="0"/>
          <w:bottom w:val="none" w:color="auto" w:sz="0" w:space="0"/>
          <w:right w:val="none" w:color="auto" w:sz="0" w:space="0"/>
        </w:pBdr>
      </w:pPr>
      <w:r>
        <w:rPr>
          <w:rFonts w:hint="eastAsia" w:ascii="黑体"/>
        </w:rPr>
        <w:t>202X</w:t>
      </w:r>
      <w:r>
        <w:t xml:space="preserve"> </w:t>
      </w:r>
      <w:r>
        <w:rPr>
          <w:rFonts w:ascii="黑体"/>
        </w:rPr>
        <w:t xml:space="preserve">- </w:t>
      </w:r>
      <w:r>
        <w:rPr>
          <w:rFonts w:hint="eastAsia" w:ascii="黑体"/>
        </w:rPr>
        <w:t>XX</w:t>
      </w:r>
      <w:r>
        <w:rPr>
          <w:rFonts w:ascii="黑体"/>
        </w:rPr>
        <w:t xml:space="preserve"> - </w:t>
      </w:r>
      <w:r>
        <w:rPr>
          <w:rFonts w:hint="eastAsia" w:ascii="黑体"/>
        </w:rPr>
        <w:t>XX</w:t>
      </w:r>
      <w:r>
        <w:rPr>
          <w:rFonts w:hint="eastAsia"/>
        </w:rPr>
        <w:t>实施</w:t>
      </w:r>
    </w:p>
    <w:p>
      <w:pPr>
        <w:pStyle w:val="102"/>
        <w:framePr w:wrap="around" w:vAnchor="page" w:hAnchor="page" w:x="6906" w:y="14102"/>
      </w:pPr>
    </w:p>
    <w:p>
      <w:pPr>
        <w:pStyle w:val="154"/>
        <w:framePr w:wrap="around"/>
        <w:pBdr>
          <w:top w:val="none" w:color="auto" w:sz="0" w:space="0"/>
          <w:left w:val="none" w:color="auto" w:sz="0" w:space="0"/>
          <w:bottom w:val="none" w:color="auto" w:sz="0" w:space="0"/>
          <w:right w:val="none" w:color="auto" w:sz="0" w:space="0"/>
        </w:pBdr>
      </w:pPr>
      <w:r>
        <w:rPr>
          <w:rFonts w:hint="eastAsia"/>
        </w:rPr>
        <w:t>中国认证认可协会</w:t>
      </w:r>
      <w:r>
        <w:t xml:space="preserve"> </w:t>
      </w:r>
      <w:r>
        <w:rPr>
          <w:rStyle w:val="64"/>
        </w:rPr>
        <w:t xml:space="preserve"> </w:t>
      </w:r>
      <w:r>
        <w:rPr>
          <w:rStyle w:val="64"/>
          <w:rFonts w:hint="eastAsia"/>
        </w:rPr>
        <w:t>发布</w:t>
      </w:r>
    </w:p>
    <w:p>
      <w:pPr>
        <w:pStyle w:val="116"/>
        <w:framePr w:w="8038" w:wrap="around" w:x="2104"/>
        <w:rPr>
          <w:rFonts w:ascii="Times New Roman" w:hAnsi="Times New Roman"/>
          <w:sz w:val="72"/>
          <w:szCs w:val="72"/>
        </w:rPr>
      </w:pPr>
      <w:r>
        <w:rPr>
          <w:rFonts w:hint="eastAsia" w:ascii="Times New Roman" w:hAnsi="Times New Roman"/>
          <w:sz w:val="72"/>
          <w:szCs w:val="72"/>
        </w:rPr>
        <w:t>团体标准</w:t>
      </w:r>
    </w:p>
    <w:p>
      <w:pPr>
        <w:pStyle w:val="30"/>
      </w:pPr>
      <w: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 name="直线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1" o:spid="_x0000_s1026" o:spt="20" style="position:absolute;left:0pt;margin-left:-0.05pt;margin-top:184.25pt;height:0pt;width:481.9pt;z-index:251662336;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QkHiX9cAAAAJAQAADwAAAAAAAAABACAA&#10;AAAiAAAAZHJzL2Rvd25yZXYueG1sUEsBAhQAFAAAAAgAh07iQCziP77VAQAAogMAAA4AAAAAAAAA&#10;AQAgAAAAJgEAAGRycy9lMm9Eb2MueG1sUEsFBgAAAAAGAAYAWQEAAG0FAAAAAA==&#10;">
                <v:fill on="f" focussize="0,0"/>
                <v:stroke color="#000000" joinstyle="round"/>
                <v:imagedata o:title=""/>
                <o:lock v:ext="edit" aspectratio="f"/>
              </v:line>
            </w:pict>
          </mc:Fallback>
        </mc:AlternateContent>
      </w:r>
    </w:p>
    <w:p/>
    <w:p/>
    <w:p/>
    <w:p/>
    <w:p/>
    <w:p/>
    <w:p>
      <w:pPr>
        <w:tabs>
          <w:tab w:val="right" w:pos="9638"/>
        </w:tabs>
        <w:jc w:val="left"/>
        <w:sectPr>
          <w:headerReference r:id="rId4" w:type="first"/>
          <w:headerReference r:id="rId3" w:type="even"/>
          <w:footerReference r:id="rId5" w:type="even"/>
          <w:pgSz w:w="11906" w:h="16838"/>
          <w:pgMar w:top="567" w:right="850" w:bottom="1134" w:left="1418" w:header="0" w:footer="0" w:gutter="0"/>
          <w:pgNumType w:start="1"/>
          <w:cols w:space="720" w:num="1"/>
          <w:docGrid w:type="lines" w:linePitch="312" w:charSpace="0"/>
        </w:sectPr>
      </w:pPr>
      <w:r>
        <w:rPr>
          <w:rFonts w:hint="eastAsia"/>
        </w:rPr>
        <w:tab/>
      </w:r>
      <w:bookmarkStart w:id="72" w:name="_GoBack"/>
      <w:bookmarkEnd w:id="72"/>
    </w:p>
    <w:p>
      <w:pPr>
        <w:spacing w:before="240" w:after="240"/>
        <w:jc w:val="center"/>
        <w:rPr>
          <w:rFonts w:ascii="黑体" w:hAnsi="黑体" w:eastAsia="黑体"/>
          <w:b/>
          <w:sz w:val="32"/>
          <w:szCs w:val="32"/>
          <w:highlight w:val="none"/>
        </w:rPr>
      </w:pPr>
      <w:bookmarkStart w:id="2" w:name="_Int_I6xZ1tVo"/>
      <w:r>
        <w:rPr>
          <w:rFonts w:ascii="黑体" w:hAnsi="黑体" w:eastAsia="黑体"/>
          <w:sz w:val="32"/>
          <w:szCs w:val="32"/>
          <w:highlight w:val="none"/>
        </w:rPr>
        <w:t>目</w:t>
      </w:r>
      <w:bookmarkStart w:id="3" w:name="OLE_LINK2"/>
      <w:r>
        <w:rPr>
          <w:rFonts w:ascii="黑体" w:hAnsi="黑体" w:eastAsia="黑体"/>
          <w:sz w:val="32"/>
          <w:szCs w:val="32"/>
          <w:highlight w:val="none"/>
        </w:rPr>
        <w:t xml:space="preserve">   </w:t>
      </w:r>
      <w:bookmarkEnd w:id="3"/>
      <w:r>
        <w:rPr>
          <w:rFonts w:ascii="黑体" w:hAnsi="黑体" w:eastAsia="黑体"/>
          <w:sz w:val="32"/>
          <w:szCs w:val="32"/>
          <w:highlight w:val="none"/>
        </w:rPr>
        <w:t>次</w:t>
      </w:r>
      <w:bookmarkEnd w:id="2"/>
    </w:p>
    <w:p>
      <w:pPr>
        <w:pStyle w:val="26"/>
        <w:spacing w:before="78" w:after="78"/>
        <w:rPr>
          <w:rFonts w:ascii="宋体" w:hAnsi="宋体" w:eastAsia="宋体" w:cstheme="minorBidi"/>
          <w:szCs w:val="22"/>
          <w:highlight w:val="none"/>
          <w14:ligatures w14:val="standardContextual"/>
        </w:rPr>
      </w:pPr>
      <w:r>
        <w:rPr>
          <w:rFonts w:ascii="宋体" w:hAnsi="宋体" w:eastAsia="宋体"/>
          <w:kern w:val="0"/>
          <w:highlight w:val="none"/>
        </w:rPr>
        <w:fldChar w:fldCharType="begin"/>
      </w:r>
      <w:r>
        <w:rPr>
          <w:rFonts w:ascii="宋体" w:hAnsi="宋体" w:eastAsia="宋体"/>
          <w:highlight w:val="none"/>
        </w:rPr>
        <w:instrText xml:space="preserve"> TOC \o "1-3" \h \z \u </w:instrText>
      </w:r>
      <w:r>
        <w:rPr>
          <w:rFonts w:ascii="宋体" w:hAnsi="宋体" w:eastAsia="宋体"/>
          <w:b w:val="0"/>
          <w:bCs w:val="0"/>
          <w:kern w:val="0"/>
          <w:highlight w:val="none"/>
          <w:lang w:val="en-US"/>
        </w:rPr>
        <w:fldChar w:fldCharType="separate"/>
      </w: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"_Toc166611356"</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前  言</w:t>
      </w:r>
      <w:r>
        <w:rPr>
          <w:rFonts w:hAnsi="宋体"/>
          <w:highlight w:val="none"/>
        </w:rPr>
        <w:tab/>
      </w:r>
      <w:r>
        <w:rPr>
          <w:rFonts w:hAnsi="宋体"/>
          <w:highlight w:val="none"/>
        </w:rPr>
        <w:fldChar w:fldCharType="begin"/>
      </w:r>
      <w:r>
        <w:rPr>
          <w:rFonts w:hAnsi="宋体"/>
          <w:highlight w:val="none"/>
        </w:rPr>
        <w:instrText xml:space="preserve"> PAGEREF _Toc166611356 \h </w:instrText>
      </w:r>
      <w:r>
        <w:rPr>
          <w:rFonts w:hAnsi="宋体"/>
          <w:highlight w:val="none"/>
        </w:rPr>
        <w:fldChar w:fldCharType="separate"/>
      </w:r>
      <w:r>
        <w:rPr>
          <w:rFonts w:hAnsi="宋体"/>
          <w:highlight w:val="none"/>
        </w:rPr>
        <w:t>I</w:t>
      </w:r>
      <w:r>
        <w:rPr>
          <w:rFonts w:hAnsi="宋体"/>
          <w:highlight w:val="none"/>
        </w:rPr>
        <w:fldChar w:fldCharType="end"/>
      </w:r>
      <w:r>
        <w:rPr>
          <w:rStyle w:val="48"/>
          <w:rFonts w:hAnsi="宋体"/>
          <w:highlight w:val="none"/>
        </w:rPr>
        <w:fldChar w:fldCharType="end"/>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"_Toc166611357"</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引  言</w:t>
      </w:r>
      <w:r>
        <w:rPr>
          <w:rFonts w:hAnsi="宋体"/>
          <w:highlight w:val="none"/>
        </w:rPr>
        <w:tab/>
      </w:r>
      <w:r>
        <w:rPr>
          <w:rFonts w:hAnsi="宋体"/>
          <w:highlight w:val="none"/>
        </w:rPr>
        <w:fldChar w:fldCharType="begin"/>
      </w:r>
      <w:r>
        <w:rPr>
          <w:rFonts w:hAnsi="宋体"/>
          <w:highlight w:val="none"/>
        </w:rPr>
        <w:instrText xml:space="preserve"> PAGEREF _Toc166611357 \h </w:instrText>
      </w:r>
      <w:r>
        <w:rPr>
          <w:rFonts w:hAnsi="宋体"/>
          <w:highlight w:val="none"/>
        </w:rPr>
        <w:fldChar w:fldCharType="separate"/>
      </w:r>
      <w:r>
        <w:rPr>
          <w:rFonts w:hAnsi="宋体"/>
          <w:highlight w:val="none"/>
        </w:rPr>
        <w:t>II</w:t>
      </w:r>
      <w:r>
        <w:rPr>
          <w:rFonts w:hAnsi="宋体"/>
          <w:highlight w:val="none"/>
        </w:rPr>
        <w:fldChar w:fldCharType="end"/>
      </w:r>
      <w:r>
        <w:rPr>
          <w:rStyle w:val="48"/>
          <w:rFonts w:hAnsi="宋体"/>
          <w:highlight w:val="none"/>
        </w:rPr>
        <w:fldChar w:fldCharType="end"/>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"_Toc166611358"</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1 范围</w:t>
      </w:r>
      <w:r>
        <w:rPr>
          <w:rFonts w:hAnsi="宋体"/>
          <w:highlight w:val="none"/>
        </w:rPr>
        <w:tab/>
      </w:r>
      <w:r>
        <w:rPr>
          <w:rFonts w:hAnsi="宋体"/>
          <w:highlight w:val="none"/>
        </w:rPr>
        <w:fldChar w:fldCharType="begin"/>
      </w:r>
      <w:r>
        <w:rPr>
          <w:rFonts w:hAnsi="宋体"/>
          <w:highlight w:val="none"/>
        </w:rPr>
        <w:instrText xml:space="preserve"> PAGEREF _Toc166611358 \h </w:instrText>
      </w:r>
      <w:r>
        <w:rPr>
          <w:rFonts w:hAnsi="宋体"/>
          <w:highlight w:val="none"/>
        </w:rPr>
        <w:fldChar w:fldCharType="separate"/>
      </w:r>
      <w:r>
        <w:rPr>
          <w:rFonts w:hAnsi="宋体"/>
          <w:highlight w:val="none"/>
        </w:rPr>
        <w:t>1</w:t>
      </w:r>
      <w:r>
        <w:rPr>
          <w:rFonts w:hAnsi="宋体"/>
          <w:highlight w:val="none"/>
        </w:rPr>
        <w:fldChar w:fldCharType="end"/>
      </w:r>
      <w:r>
        <w:rPr>
          <w:rStyle w:val="48"/>
          <w:rFonts w:hAnsi="宋体"/>
          <w:highlight w:val="none"/>
        </w:rPr>
        <w:fldChar w:fldCharType="end"/>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"_Toc166611359"</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2 规范性引用文件</w:t>
      </w:r>
      <w:r>
        <w:rPr>
          <w:rFonts w:hAnsi="宋体"/>
          <w:highlight w:val="none"/>
        </w:rPr>
        <w:tab/>
      </w:r>
      <w:r>
        <w:rPr>
          <w:rFonts w:hAnsi="宋体"/>
          <w:highlight w:val="none"/>
        </w:rPr>
        <w:fldChar w:fldCharType="begin"/>
      </w:r>
      <w:r>
        <w:rPr>
          <w:rFonts w:hAnsi="宋体"/>
          <w:highlight w:val="none"/>
        </w:rPr>
        <w:instrText xml:space="preserve"> PAGEREF _Toc166611359 \h </w:instrText>
      </w:r>
      <w:r>
        <w:rPr>
          <w:rFonts w:hAnsi="宋体"/>
          <w:highlight w:val="none"/>
        </w:rPr>
        <w:fldChar w:fldCharType="separate"/>
      </w:r>
      <w:r>
        <w:rPr>
          <w:rFonts w:hAnsi="宋体"/>
          <w:highlight w:val="none"/>
        </w:rPr>
        <w:t>1</w:t>
      </w:r>
      <w:r>
        <w:rPr>
          <w:rFonts w:hAnsi="宋体"/>
          <w:highlight w:val="none"/>
        </w:rPr>
        <w:fldChar w:fldCharType="end"/>
      </w:r>
      <w:r>
        <w:rPr>
          <w:rStyle w:val="48"/>
          <w:rFonts w:hAnsi="宋体"/>
          <w:highlight w:val="none"/>
        </w:rPr>
        <w:fldChar w:fldCharType="end"/>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"_Toc166611360"</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3 术语和定义</w:t>
      </w:r>
      <w:r>
        <w:rPr>
          <w:rFonts w:hAnsi="宋体"/>
          <w:highlight w:val="none"/>
        </w:rPr>
        <w:tab/>
      </w:r>
      <w:r>
        <w:rPr>
          <w:rFonts w:hAnsi="宋体"/>
          <w:highlight w:val="none"/>
        </w:rPr>
        <w:fldChar w:fldCharType="begin"/>
      </w:r>
      <w:r>
        <w:rPr>
          <w:rFonts w:hAnsi="宋体"/>
          <w:highlight w:val="none"/>
        </w:rPr>
        <w:instrText xml:space="preserve"> PAGEREF _Toc166611360 \h </w:instrText>
      </w:r>
      <w:r>
        <w:rPr>
          <w:rFonts w:hAnsi="宋体"/>
          <w:highlight w:val="none"/>
        </w:rPr>
        <w:fldChar w:fldCharType="separate"/>
      </w:r>
      <w:r>
        <w:rPr>
          <w:rFonts w:hAnsi="宋体"/>
          <w:highlight w:val="none"/>
        </w:rPr>
        <w:t>1</w:t>
      </w:r>
      <w:r>
        <w:rPr>
          <w:rFonts w:hAnsi="宋体"/>
          <w:highlight w:val="none"/>
        </w:rPr>
        <w:fldChar w:fldCharType="end"/>
      </w:r>
      <w:r>
        <w:rPr>
          <w:rStyle w:val="48"/>
          <w:rFonts w:hAnsi="宋体"/>
          <w:highlight w:val="none"/>
        </w:rPr>
        <w:fldChar w:fldCharType="end"/>
      </w:r>
    </w:p>
    <w:p>
      <w:pPr>
        <w:pStyle w:val="35"/>
        <w:ind w:left="210" w:leftChars="100"/>
        <w:rPr>
          <w:rStyle w:val="48"/>
          <w:rFonts w:hAnsi="宋体"/>
          <w:highlight w:val="none"/>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"_Toc166611361"</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3.1 与温室气体相关的术语</w:t>
      </w:r>
      <w:r>
        <w:rPr>
          <w:rFonts w:hAnsi="宋体"/>
          <w:highlight w:val="none"/>
        </w:rPr>
        <w:tab/>
      </w:r>
      <w:r>
        <w:rPr>
          <w:rFonts w:hAnsi="宋体"/>
          <w:highlight w:val="none"/>
        </w:rPr>
        <w:fldChar w:fldCharType="begin"/>
      </w:r>
      <w:r>
        <w:rPr>
          <w:rFonts w:hAnsi="宋体"/>
          <w:highlight w:val="none"/>
        </w:rPr>
        <w:instrText xml:space="preserve"> PAGEREF _Toc166611361 \h </w:instrText>
      </w:r>
      <w:r>
        <w:rPr>
          <w:rFonts w:hAnsi="宋体"/>
          <w:highlight w:val="none"/>
        </w:rPr>
        <w:fldChar w:fldCharType="separate"/>
      </w:r>
      <w:r>
        <w:rPr>
          <w:rFonts w:hAnsi="宋体"/>
          <w:highlight w:val="none"/>
        </w:rPr>
        <w:t>2</w:t>
      </w:r>
      <w:r>
        <w:rPr>
          <w:rFonts w:hAnsi="宋体"/>
          <w:highlight w:val="none"/>
        </w:rPr>
        <w:fldChar w:fldCharType="end"/>
      </w:r>
      <w:r>
        <w:rPr>
          <w:rStyle w:val="48"/>
          <w:rFonts w:hAnsi="宋体"/>
          <w:highlight w:val="none"/>
        </w:rPr>
        <w:fldChar w:fldCharType="end"/>
      </w:r>
    </w:p>
    <w:p>
      <w:pPr>
        <w:pStyle w:val="35"/>
        <w:ind w:left="210" w:leftChars="100"/>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"_Toc166611362"</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3.2 与气候行动相关的术语</w:t>
      </w:r>
      <w:r>
        <w:rPr>
          <w:rFonts w:hAnsi="宋体"/>
          <w:highlight w:val="none"/>
        </w:rPr>
        <w:tab/>
      </w:r>
      <w:r>
        <w:rPr>
          <w:rFonts w:hAnsi="宋体"/>
          <w:highlight w:val="none"/>
        </w:rPr>
        <w:fldChar w:fldCharType="begin"/>
      </w:r>
      <w:r>
        <w:rPr>
          <w:rFonts w:hAnsi="宋体"/>
          <w:highlight w:val="none"/>
        </w:rPr>
        <w:instrText xml:space="preserve"> PAGEREF _Toc166611362 \h </w:instrText>
      </w:r>
      <w:r>
        <w:rPr>
          <w:rFonts w:hAnsi="宋体"/>
          <w:highlight w:val="none"/>
        </w:rPr>
        <w:fldChar w:fldCharType="separate"/>
      </w:r>
      <w:r>
        <w:rPr>
          <w:rFonts w:hAnsi="宋体"/>
          <w:highlight w:val="none"/>
        </w:rPr>
        <w:t>3</w:t>
      </w:r>
      <w:r>
        <w:rPr>
          <w:rFonts w:hAnsi="宋体"/>
          <w:highlight w:val="none"/>
        </w:rPr>
        <w:fldChar w:fldCharType="end"/>
      </w:r>
      <w:r>
        <w:rPr>
          <w:rStyle w:val="48"/>
          <w:rFonts w:hAnsi="宋体"/>
          <w:highlight w:val="none"/>
        </w:rPr>
        <w:fldChar w:fldCharType="end"/>
      </w:r>
    </w:p>
    <w:p>
      <w:pPr>
        <w:pStyle w:val="35"/>
        <w:ind w:left="210" w:leftChars="100"/>
        <w:rPr>
          <w:rFonts w:hint="default" w:eastAsia="宋体"/>
          <w:lang w:val="en-US" w:eastAsia="zh-CN"/>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"_Toc166611362"</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3.</w:t>
      </w:r>
      <w:r>
        <w:rPr>
          <w:rStyle w:val="48"/>
          <w:rFonts w:hint="eastAsia" w:hAnsi="宋体"/>
          <w:highlight w:val="none"/>
          <w:lang w:val="en-US" w:eastAsia="zh-CN"/>
        </w:rPr>
        <w:t>3</w:t>
      </w:r>
      <w:r>
        <w:rPr>
          <w:rStyle w:val="48"/>
          <w:rFonts w:ascii="宋体" w:hAnsi="宋体" w:eastAsia="宋体"/>
          <w:highlight w:val="none"/>
        </w:rPr>
        <w:t xml:space="preserve"> </w:t>
      </w:r>
      <w:r>
        <w:rPr>
          <w:rStyle w:val="48"/>
          <w:rFonts w:hint="eastAsia" w:ascii="宋体" w:hAnsi="宋体" w:eastAsia="宋体"/>
          <w:highlight w:val="none"/>
        </w:rPr>
        <w:t>与信息披露相关的术语</w:t>
      </w:r>
      <w:r>
        <w:rPr>
          <w:rFonts w:hAnsi="宋体"/>
          <w:highlight w:val="none"/>
        </w:rPr>
        <w:tab/>
      </w:r>
      <w:r>
        <w:rPr>
          <w:rFonts w:hint="eastAsia" w:hAnsi="宋体"/>
          <w:highlight w:val="none"/>
          <w:lang w:val="en-US" w:eastAsia="zh-CN"/>
        </w:rPr>
        <w:t>5</w:t>
      </w:r>
      <w:r>
        <w:rPr>
          <w:rStyle w:val="48"/>
          <w:rFonts w:hAnsi="宋体"/>
          <w:highlight w:val="none"/>
        </w:rPr>
        <w:fldChar w:fldCharType="end"/>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"_Toc166611363"</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4 碳信息披露原则</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"_Toc166611364"</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4.1 真实性</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"_Toc166611365"</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4.2 明确性</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"_Toc166611366"</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4.3 准确性</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"_Toc166611367"</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4.4 完整性</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"_Toc166611368"</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4.5 合理性</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"_Toc166611369"</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4.6 实质性</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"_Toc166611370"</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4.7 可验证性</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"_Toc166611371"</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5. 碳信息披露内容</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"_Toc166611372"</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5.</w:t>
      </w:r>
      <w:r>
        <w:rPr>
          <w:rStyle w:val="48"/>
          <w:rFonts w:hint="eastAsia" w:ascii="宋体" w:hAnsi="宋体" w:eastAsia="宋体"/>
          <w:highlight w:val="none"/>
        </w:rPr>
        <w:t>1</w:t>
      </w:r>
      <w:r>
        <w:rPr>
          <w:rStyle w:val="48"/>
          <w:rFonts w:ascii="宋体" w:hAnsi="宋体" w:eastAsia="宋体"/>
          <w:highlight w:val="none"/>
        </w:rPr>
        <w:t xml:space="preserve"> </w:t>
      </w:r>
      <w:r>
        <w:rPr>
          <w:rStyle w:val="48"/>
          <w:rFonts w:hint="eastAsia" w:ascii="宋体" w:hAnsi="宋体" w:eastAsia="宋体"/>
          <w:highlight w:val="none"/>
        </w:rPr>
        <w:t>描述对象类型</w:t>
      </w:r>
      <w:r>
        <w:rPr>
          <w:rFonts w:hAnsi="宋体"/>
          <w:highlight w:val="none"/>
        </w:rPr>
        <w:tab/>
      </w:r>
      <w:r>
        <w:rPr>
          <w:rFonts w:hint="eastAsia" w:hAnsi="宋体"/>
          <w:highlight w:val="none"/>
          <w:lang w:val="en-US" w:eastAsia="zh-CN"/>
        </w:rPr>
        <w:t>6</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"_Toc166611374"</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5.</w:t>
      </w:r>
      <w:r>
        <w:rPr>
          <w:rStyle w:val="48"/>
          <w:rFonts w:hint="eastAsia" w:ascii="宋体" w:hAnsi="宋体" w:eastAsia="宋体"/>
          <w:highlight w:val="none"/>
          <w:lang w:val="en-US" w:eastAsia="zh-CN"/>
        </w:rPr>
        <w:t>2</w:t>
      </w:r>
      <w:r>
        <w:rPr>
          <w:rStyle w:val="48"/>
          <w:rFonts w:ascii="宋体" w:hAnsi="宋体" w:eastAsia="宋体"/>
          <w:highlight w:val="none"/>
        </w:rPr>
        <w:t xml:space="preserve"> </w:t>
      </w:r>
      <w:r>
        <w:rPr>
          <w:rStyle w:val="48"/>
          <w:rFonts w:hint="eastAsia" w:ascii="宋体" w:hAnsi="宋体" w:eastAsia="宋体"/>
          <w:highlight w:val="none"/>
        </w:rPr>
        <w:t>信息内容类型</w:t>
      </w:r>
      <w:r>
        <w:rPr>
          <w:rFonts w:hAnsi="宋体"/>
          <w:highlight w:val="none"/>
        </w:rPr>
        <w:tab/>
      </w:r>
      <w:r>
        <w:rPr>
          <w:rFonts w:hint="eastAsia" w:hAnsi="宋体"/>
          <w:highlight w:val="none"/>
          <w:lang w:val="en-US" w:eastAsia="zh-CN"/>
        </w:rPr>
        <w:t>7</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"_Toc166611375"</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5.</w:t>
      </w:r>
      <w:r>
        <w:rPr>
          <w:rStyle w:val="48"/>
          <w:rFonts w:hint="eastAsia" w:ascii="宋体" w:hAnsi="宋体" w:eastAsia="宋体"/>
          <w:highlight w:val="none"/>
          <w:lang w:val="en-US" w:eastAsia="zh-CN"/>
        </w:rPr>
        <w:t>3</w:t>
      </w:r>
      <w:r>
        <w:rPr>
          <w:rStyle w:val="48"/>
          <w:rFonts w:ascii="宋体" w:hAnsi="宋体" w:eastAsia="宋体"/>
          <w:highlight w:val="none"/>
        </w:rPr>
        <w:t xml:space="preserve"> </w:t>
      </w:r>
      <w:r>
        <w:rPr>
          <w:rStyle w:val="48"/>
          <w:rFonts w:hint="eastAsia" w:ascii="宋体" w:hAnsi="宋体" w:eastAsia="宋体"/>
          <w:highlight w:val="none"/>
        </w:rPr>
        <w:t>披露与声明情形</w:t>
      </w:r>
      <w:r>
        <w:rPr>
          <w:rFonts w:hAnsi="宋体"/>
          <w:highlight w:val="none"/>
        </w:rPr>
        <w:tab/>
      </w:r>
      <w:r>
        <w:rPr>
          <w:rFonts w:hint="eastAsia" w:hAnsi="宋体"/>
          <w:highlight w:val="none"/>
          <w:lang w:val="en-US" w:eastAsia="zh-CN"/>
        </w:rPr>
        <w:t>8</w:t>
      </w:r>
      <w:r>
        <w:rPr>
          <w:rStyle w:val="48"/>
          <w:rFonts w:hAnsi="宋体"/>
          <w:highlight w:val="none"/>
        </w:rPr>
        <w:fldChar w:fldCharType="end"/>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"_Toc166611376"</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6. 碳信息披露合规要求</w:t>
      </w:r>
      <w:r>
        <w:rPr>
          <w:rFonts w:hAnsi="宋体"/>
          <w:highlight w:val="none"/>
        </w:rPr>
        <w:tab/>
      </w:r>
      <w:r>
        <w:rPr>
          <w:rFonts w:hint="eastAsia" w:hAnsi="宋体"/>
          <w:highlight w:val="none"/>
          <w:lang w:val="en-US" w:eastAsia="zh-CN"/>
        </w:rPr>
        <w:t>9</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"_Toc166611377"</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6.1 合规</w:t>
      </w:r>
      <w:r>
        <w:rPr>
          <w:rStyle w:val="48"/>
          <w:rFonts w:hint="eastAsia" w:hAnsi="宋体"/>
          <w:highlight w:val="none"/>
          <w:lang w:val="en-US" w:eastAsia="zh-CN"/>
        </w:rPr>
        <w:t>要求</w:t>
      </w:r>
      <w:r>
        <w:rPr>
          <w:rFonts w:hAnsi="宋体"/>
          <w:highlight w:val="none"/>
        </w:rPr>
        <w:tab/>
      </w:r>
      <w:r>
        <w:rPr>
          <w:rFonts w:hint="eastAsia" w:hAnsi="宋体"/>
          <w:highlight w:val="none"/>
          <w:lang w:val="en-US" w:eastAsia="zh-CN"/>
        </w:rPr>
        <w:t>9</w:t>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"_Toc166611378"</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6.2 披露主体</w:t>
      </w:r>
      <w:r>
        <w:rPr>
          <w:rFonts w:hAnsi="宋体"/>
          <w:highlight w:val="none"/>
        </w:rPr>
        <w:tab/>
      </w:r>
      <w:r>
        <w:rPr>
          <w:rFonts w:hint="eastAsia" w:hAnsi="宋体"/>
          <w:highlight w:val="none"/>
          <w:lang w:val="en-US" w:eastAsia="zh-CN"/>
        </w:rPr>
        <w:t>9</w:t>
      </w:r>
      <w:r>
        <w:rPr>
          <w:rStyle w:val="48"/>
          <w:rFonts w:hAnsi="宋体"/>
          <w:highlight w:val="none"/>
        </w:rPr>
        <w:fldChar w:fldCharType="end"/>
      </w:r>
    </w:p>
    <w:p>
      <w:pPr>
        <w:pStyle w:val="35"/>
        <w:ind w:left="210" w:leftChars="100"/>
        <w:rPr>
          <w:rFonts w:hint="eastAsia" w:ascii="宋体" w:hAnsi="宋体" w:eastAsia="宋体" w:cstheme="minorBidi"/>
          <w:szCs w:val="22"/>
          <w:highlight w:val="non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"_Toc166611379"</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6.3 描述对象</w:t>
      </w:r>
      <w:r>
        <w:rPr>
          <w:rFonts w:hAnsi="宋体"/>
          <w:highlight w:val="none"/>
        </w:rPr>
        <w:tab/>
      </w:r>
      <w:r>
        <w:rPr>
          <w:rFonts w:hint="eastAsia" w:hAnsi="宋体"/>
          <w:highlight w:val="none"/>
          <w:lang w:val="en-US" w:eastAsia="zh-CN"/>
        </w:rPr>
        <w:t>1</w:t>
      </w:r>
      <w:r>
        <w:rPr>
          <w:rStyle w:val="48"/>
          <w:rFonts w:hAnsi="宋体"/>
          <w:highlight w:val="none"/>
        </w:rPr>
        <w:fldChar w:fldCharType="end"/>
      </w:r>
      <w:r>
        <w:rPr>
          <w:rStyle w:val="48"/>
          <w:rFonts w:hint="eastAsia" w:hAnsi="宋体"/>
          <w:highlight w:val="none"/>
          <w:lang w:val="en-US" w:eastAsia="zh-CN"/>
        </w:rPr>
        <w:t>0</w:t>
      </w:r>
    </w:p>
    <w:p>
      <w:pPr>
        <w:pStyle w:val="35"/>
        <w:ind w:left="210" w:leftChars="100"/>
        <w:rPr>
          <w:rFonts w:hint="eastAsia" w:ascii="宋体" w:hAnsi="宋体" w:eastAsia="宋体" w:cstheme="minorBidi"/>
          <w:szCs w:val="22"/>
          <w:highlight w:val="non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"_Toc166611380"</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6.4 信息</w:t>
      </w:r>
      <w:r>
        <w:rPr>
          <w:rStyle w:val="48"/>
          <w:rFonts w:hint="eastAsia" w:hAnsi="宋体"/>
          <w:highlight w:val="none"/>
          <w:lang w:val="en-US" w:eastAsia="zh-CN"/>
        </w:rPr>
        <w:t>内容</w:t>
      </w:r>
      <w:r>
        <w:rPr>
          <w:rFonts w:hAnsi="宋体"/>
          <w:highlight w:val="none"/>
        </w:rPr>
        <w:tab/>
      </w:r>
      <w:r>
        <w:rPr>
          <w:rFonts w:hint="eastAsia" w:hAnsi="宋体"/>
          <w:highlight w:val="none"/>
          <w:lang w:val="en-US" w:eastAsia="zh-CN"/>
        </w:rPr>
        <w:t>1</w:t>
      </w:r>
      <w:r>
        <w:rPr>
          <w:rStyle w:val="48"/>
          <w:rFonts w:hAnsi="宋体"/>
          <w:highlight w:val="none"/>
        </w:rPr>
        <w:fldChar w:fldCharType="end"/>
      </w:r>
      <w:r>
        <w:rPr>
          <w:rStyle w:val="48"/>
          <w:rFonts w:hint="eastAsia" w:hAnsi="宋体"/>
          <w:highlight w:val="none"/>
          <w:lang w:val="en-US" w:eastAsia="zh-CN"/>
        </w:rPr>
        <w:t>0</w:t>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"_Toc166611381"</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7. 披露与声明情形要求</w:t>
      </w:r>
      <w:r>
        <w:rPr>
          <w:rFonts w:hAnsi="宋体"/>
          <w:highlight w:val="none"/>
        </w:rPr>
        <w:tab/>
      </w:r>
      <w:r>
        <w:rPr>
          <w:rFonts w:hAnsi="宋体"/>
          <w:highlight w:val="none"/>
        </w:rPr>
        <w:fldChar w:fldCharType="begin"/>
      </w:r>
      <w:r>
        <w:rPr>
          <w:rFonts w:hAnsi="宋体"/>
          <w:highlight w:val="none"/>
        </w:rPr>
        <w:instrText xml:space="preserve"> PAGEREF _Toc166611381 \h </w:instrText>
      </w:r>
      <w:r>
        <w:rPr>
          <w:rFonts w:hAnsi="宋体"/>
          <w:highlight w:val="none"/>
        </w:rPr>
        <w:fldChar w:fldCharType="separate"/>
      </w:r>
      <w:r>
        <w:rPr>
          <w:rFonts w:hAnsi="宋体"/>
          <w:highlight w:val="none"/>
        </w:rPr>
        <w:t>1</w:t>
      </w:r>
      <w:r>
        <w:rPr>
          <w:rFonts w:hint="eastAsia" w:hAnsi="宋体"/>
          <w:highlight w:val="none"/>
          <w:lang w:val="en-US" w:eastAsia="zh-CN"/>
        </w:rPr>
        <w:t>2</w:t>
      </w:r>
      <w:r>
        <w:rPr>
          <w:rFonts w:hAnsi="宋体"/>
          <w:highlight w:val="none"/>
        </w:rPr>
        <w:fldChar w:fldCharType="end"/>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"_Toc166611382"</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7.1 通用要求</w:t>
      </w:r>
      <w:r>
        <w:rPr>
          <w:rFonts w:hAnsi="宋体"/>
          <w:highlight w:val="none"/>
        </w:rPr>
        <w:tab/>
      </w:r>
      <w:r>
        <w:rPr>
          <w:rFonts w:hAnsi="宋体"/>
          <w:highlight w:val="none"/>
        </w:rPr>
        <w:fldChar w:fldCharType="begin"/>
      </w:r>
      <w:r>
        <w:rPr>
          <w:rFonts w:hAnsi="宋体"/>
          <w:highlight w:val="none"/>
        </w:rPr>
        <w:instrText xml:space="preserve"> PAGEREF _Toc166611382 \h </w:instrText>
      </w:r>
      <w:r>
        <w:rPr>
          <w:rFonts w:hAnsi="宋体"/>
          <w:highlight w:val="none"/>
        </w:rPr>
        <w:fldChar w:fldCharType="separate"/>
      </w:r>
      <w:r>
        <w:rPr>
          <w:rFonts w:hAnsi="宋体"/>
          <w:highlight w:val="none"/>
        </w:rPr>
        <w:t>1</w:t>
      </w:r>
      <w:r>
        <w:rPr>
          <w:rFonts w:hint="eastAsia" w:hAnsi="宋体"/>
          <w:highlight w:val="none"/>
          <w:lang w:val="en-US" w:eastAsia="zh-CN"/>
        </w:rPr>
        <w:t>2</w:t>
      </w:r>
      <w:r>
        <w:rPr>
          <w:rFonts w:hAnsi="宋体"/>
          <w:highlight w:val="none"/>
        </w:rPr>
        <w:fldChar w:fldCharType="end"/>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"_Toc166611383"</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7.2 面向消费市场或一般大众的公开披露</w:t>
      </w:r>
      <w:r>
        <w:rPr>
          <w:rFonts w:hAnsi="宋体"/>
          <w:highlight w:val="none"/>
        </w:rPr>
        <w:tab/>
      </w:r>
      <w:r>
        <w:rPr>
          <w:rFonts w:hAnsi="宋体"/>
          <w:highlight w:val="none"/>
        </w:rPr>
        <w:fldChar w:fldCharType="begin"/>
      </w:r>
      <w:r>
        <w:rPr>
          <w:rFonts w:hAnsi="宋体"/>
          <w:highlight w:val="none"/>
        </w:rPr>
        <w:instrText xml:space="preserve"> PAGEREF _Toc166611383 \h </w:instrText>
      </w:r>
      <w:r>
        <w:rPr>
          <w:rFonts w:hAnsi="宋体"/>
          <w:highlight w:val="none"/>
        </w:rPr>
        <w:fldChar w:fldCharType="separate"/>
      </w:r>
      <w:r>
        <w:rPr>
          <w:rFonts w:hAnsi="宋体"/>
          <w:highlight w:val="none"/>
        </w:rPr>
        <w:t>1</w:t>
      </w:r>
      <w:r>
        <w:rPr>
          <w:rFonts w:hint="eastAsia" w:hAnsi="宋体"/>
          <w:highlight w:val="none"/>
          <w:lang w:val="en-US" w:eastAsia="zh-CN"/>
        </w:rPr>
        <w:t>2</w:t>
      </w:r>
      <w:r>
        <w:rPr>
          <w:rFonts w:hAnsi="宋体"/>
          <w:highlight w:val="none"/>
        </w:rPr>
        <w:fldChar w:fldCharType="end"/>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"_Toc166611384"</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7.3 面向资本市场或特定利益相关方的公开披露</w:t>
      </w:r>
      <w:r>
        <w:rPr>
          <w:rFonts w:hAnsi="宋体"/>
          <w:highlight w:val="none"/>
        </w:rPr>
        <w:tab/>
      </w:r>
      <w:r>
        <w:rPr>
          <w:rFonts w:hAnsi="宋体"/>
          <w:highlight w:val="none"/>
        </w:rPr>
        <w:fldChar w:fldCharType="begin"/>
      </w:r>
      <w:r>
        <w:rPr>
          <w:rFonts w:hAnsi="宋体"/>
          <w:highlight w:val="none"/>
        </w:rPr>
        <w:instrText xml:space="preserve"> PAGEREF _Toc166611384 \h </w:instrText>
      </w:r>
      <w:r>
        <w:rPr>
          <w:rFonts w:hAnsi="宋体"/>
          <w:highlight w:val="none"/>
        </w:rPr>
        <w:fldChar w:fldCharType="separate"/>
      </w:r>
      <w:r>
        <w:rPr>
          <w:rFonts w:hAnsi="宋体"/>
          <w:highlight w:val="none"/>
        </w:rPr>
        <w:t>1</w:t>
      </w:r>
      <w:r>
        <w:rPr>
          <w:rFonts w:hint="eastAsia" w:hAnsi="宋体"/>
          <w:highlight w:val="none"/>
          <w:lang w:val="en-US" w:eastAsia="zh-CN"/>
        </w:rPr>
        <w:t>3</w:t>
      </w:r>
      <w:r>
        <w:rPr>
          <w:rFonts w:hAnsi="宋体"/>
          <w:highlight w:val="none"/>
        </w:rPr>
        <w:fldChar w:fldCharType="end"/>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"_Toc166611385"</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7.</w:t>
      </w:r>
      <w:r>
        <w:rPr>
          <w:rStyle w:val="48"/>
          <w:rFonts w:hint="eastAsia" w:hAnsi="宋体"/>
          <w:highlight w:val="none"/>
          <w:lang w:val="en-US" w:eastAsia="zh-CN"/>
        </w:rPr>
        <w:t>4</w:t>
      </w:r>
      <w:r>
        <w:rPr>
          <w:rStyle w:val="48"/>
          <w:rFonts w:ascii="宋体" w:hAnsi="宋体" w:eastAsia="宋体"/>
          <w:highlight w:val="none"/>
        </w:rPr>
        <w:t xml:space="preserve"> 面向商业活动特定对象的正式非公开披露</w:t>
      </w:r>
      <w:r>
        <w:rPr>
          <w:rFonts w:hAnsi="宋体"/>
          <w:highlight w:val="none"/>
        </w:rPr>
        <w:tab/>
      </w:r>
      <w:r>
        <w:rPr>
          <w:rFonts w:hAnsi="宋体"/>
          <w:highlight w:val="none"/>
        </w:rPr>
        <w:fldChar w:fldCharType="begin"/>
      </w:r>
      <w:r>
        <w:rPr>
          <w:rFonts w:hAnsi="宋体"/>
          <w:highlight w:val="none"/>
        </w:rPr>
        <w:instrText xml:space="preserve"> PAGEREF _Toc166611385 \h </w:instrText>
      </w:r>
      <w:r>
        <w:rPr>
          <w:rFonts w:hAnsi="宋体"/>
          <w:highlight w:val="none"/>
        </w:rPr>
        <w:fldChar w:fldCharType="separate"/>
      </w:r>
      <w:r>
        <w:rPr>
          <w:rFonts w:hAnsi="宋体"/>
          <w:highlight w:val="none"/>
        </w:rPr>
        <w:t>1</w:t>
      </w:r>
      <w:r>
        <w:rPr>
          <w:rFonts w:hint="eastAsia" w:hAnsi="宋体"/>
          <w:highlight w:val="none"/>
          <w:lang w:val="en-US" w:eastAsia="zh-CN"/>
        </w:rPr>
        <w:t>3</w:t>
      </w:r>
      <w:r>
        <w:rPr>
          <w:rFonts w:hAnsi="宋体"/>
          <w:highlight w:val="none"/>
        </w:rPr>
        <w:fldChar w:fldCharType="end"/>
      </w:r>
      <w:r>
        <w:rPr>
          <w:rStyle w:val="48"/>
          <w:rFonts w:hAnsi="宋体"/>
          <w:highlight w:val="none"/>
        </w:rPr>
        <w:fldChar w:fldCharType="end"/>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"_Toc166611386"</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8. 合规性验证</w:t>
      </w:r>
      <w:r>
        <w:rPr>
          <w:rFonts w:hAnsi="宋体"/>
          <w:highlight w:val="none"/>
        </w:rPr>
        <w:tab/>
      </w:r>
      <w:r>
        <w:rPr>
          <w:rFonts w:hAnsi="宋体"/>
          <w:highlight w:val="none"/>
        </w:rPr>
        <w:fldChar w:fldCharType="begin"/>
      </w:r>
      <w:r>
        <w:rPr>
          <w:rFonts w:hAnsi="宋体"/>
          <w:highlight w:val="none"/>
        </w:rPr>
        <w:instrText xml:space="preserve"> PAGEREF _Toc166611386 \h </w:instrText>
      </w:r>
      <w:r>
        <w:rPr>
          <w:rFonts w:hAnsi="宋体"/>
          <w:highlight w:val="none"/>
        </w:rPr>
        <w:fldChar w:fldCharType="separate"/>
      </w:r>
      <w:r>
        <w:rPr>
          <w:rFonts w:hAnsi="宋体"/>
          <w:highlight w:val="none"/>
        </w:rPr>
        <w:t>1</w:t>
      </w:r>
      <w:r>
        <w:rPr>
          <w:rFonts w:hint="eastAsia" w:hAnsi="宋体"/>
          <w:highlight w:val="none"/>
          <w:lang w:val="en-US" w:eastAsia="zh-CN"/>
        </w:rPr>
        <w:t>3</w:t>
      </w:r>
      <w:r>
        <w:rPr>
          <w:rFonts w:hAnsi="宋体"/>
          <w:highlight w:val="none"/>
        </w:rPr>
        <w:fldChar w:fldCharType="end"/>
      </w:r>
      <w:r>
        <w:rPr>
          <w:rStyle w:val="48"/>
          <w:rFonts w:hAnsi="宋体"/>
          <w:highlight w:val="none"/>
        </w:rPr>
        <w:fldChar w:fldCharType="end"/>
      </w:r>
    </w:p>
    <w:p>
      <w:pPr>
        <w:pStyle w:val="35"/>
        <w:ind w:left="210" w:leftChars="100"/>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"_Toc166611387"</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8.1 通用要求</w:t>
      </w:r>
      <w:r>
        <w:rPr>
          <w:rFonts w:hAnsi="宋体"/>
          <w:highlight w:val="none"/>
        </w:rPr>
        <w:tab/>
      </w:r>
      <w:r>
        <w:rPr>
          <w:rFonts w:hAnsi="宋体"/>
          <w:highlight w:val="none"/>
        </w:rPr>
        <w:fldChar w:fldCharType="begin"/>
      </w:r>
      <w:r>
        <w:rPr>
          <w:rFonts w:hAnsi="宋体"/>
          <w:highlight w:val="none"/>
        </w:rPr>
        <w:instrText xml:space="preserve"> PAGEREF _Toc166611387 \h </w:instrText>
      </w:r>
      <w:r>
        <w:rPr>
          <w:rFonts w:hAnsi="宋体"/>
          <w:highlight w:val="none"/>
        </w:rPr>
        <w:fldChar w:fldCharType="separate"/>
      </w:r>
      <w:r>
        <w:rPr>
          <w:rFonts w:hAnsi="宋体"/>
          <w:highlight w:val="none"/>
        </w:rPr>
        <w:t>1</w:t>
      </w:r>
      <w:r>
        <w:rPr>
          <w:rFonts w:hint="eastAsia" w:hAnsi="宋体"/>
          <w:highlight w:val="none"/>
          <w:lang w:val="en-US" w:eastAsia="zh-CN"/>
        </w:rPr>
        <w:t>3</w:t>
      </w:r>
      <w:r>
        <w:rPr>
          <w:rFonts w:hAnsi="宋体"/>
          <w:highlight w:val="none"/>
        </w:rPr>
        <w:fldChar w:fldCharType="end"/>
      </w:r>
      <w:r>
        <w:rPr>
          <w:rStyle w:val="48"/>
          <w:rFonts w:hAnsi="宋体"/>
          <w:highlight w:val="none"/>
        </w:rPr>
        <w:fldChar w:fldCharType="end"/>
      </w:r>
    </w:p>
    <w:p>
      <w:pPr>
        <w:pStyle w:val="35"/>
        <w:ind w:left="210" w:leftChars="100"/>
        <w:rPr>
          <w:rFonts w:hint="eastAsia" w:ascii="宋体" w:hAnsi="宋体" w:eastAsia="宋体" w:cstheme="minorBidi"/>
          <w:szCs w:val="22"/>
          <w:highlight w:val="non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"_Toc166611388"</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8.2 自我验证</w:t>
      </w:r>
      <w:r>
        <w:rPr>
          <w:rFonts w:hAnsi="宋体"/>
          <w:highlight w:val="none"/>
        </w:rPr>
        <w:tab/>
      </w:r>
      <w:r>
        <w:rPr>
          <w:rFonts w:hint="eastAsia" w:hAnsi="宋体"/>
          <w:highlight w:val="none"/>
          <w:lang w:val="en-US" w:eastAsia="zh-CN"/>
        </w:rPr>
        <w:t>1</w:t>
      </w:r>
      <w:r>
        <w:rPr>
          <w:rStyle w:val="48"/>
          <w:rFonts w:hAnsi="宋体"/>
          <w:highlight w:val="none"/>
        </w:rPr>
        <w:fldChar w:fldCharType="end"/>
      </w:r>
      <w:r>
        <w:rPr>
          <w:rStyle w:val="48"/>
          <w:rFonts w:hint="eastAsia" w:hAnsi="宋体"/>
          <w:highlight w:val="none"/>
          <w:lang w:val="en-US" w:eastAsia="zh-CN"/>
        </w:rPr>
        <w:t>4</w:t>
      </w:r>
    </w:p>
    <w:p>
      <w:pPr>
        <w:pStyle w:val="35"/>
        <w:ind w:left="210" w:leftChars="100"/>
        <w:rPr>
          <w:rFonts w:hint="eastAsia" w:ascii="宋体" w:hAnsi="宋体" w:eastAsia="宋体" w:cstheme="minorBidi"/>
          <w:szCs w:val="22"/>
          <w:highlight w:val="non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"_Toc166611389"</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8.3 独立第三方验证声明</w:t>
      </w:r>
      <w:r>
        <w:rPr>
          <w:rFonts w:hAnsi="宋体"/>
          <w:highlight w:val="none"/>
        </w:rPr>
        <w:tab/>
      </w:r>
      <w:r>
        <w:rPr>
          <w:rFonts w:hint="eastAsia" w:hAnsi="宋体"/>
          <w:highlight w:val="none"/>
          <w:lang w:val="en-US" w:eastAsia="zh-CN"/>
        </w:rPr>
        <w:t>1</w:t>
      </w:r>
      <w:r>
        <w:rPr>
          <w:rStyle w:val="48"/>
          <w:rFonts w:hAnsi="宋体"/>
          <w:highlight w:val="none"/>
        </w:rPr>
        <w:fldChar w:fldCharType="end"/>
      </w:r>
      <w:r>
        <w:rPr>
          <w:rStyle w:val="48"/>
          <w:rFonts w:hint="eastAsia" w:hAnsi="宋体"/>
          <w:highlight w:val="none"/>
          <w:lang w:val="en-US" w:eastAsia="zh-CN"/>
        </w:rPr>
        <w:t>4</w:t>
      </w:r>
    </w:p>
    <w:p>
      <w:pPr>
        <w:pStyle w:val="26"/>
        <w:spacing w:before="78" w:after="78"/>
        <w:rPr>
          <w:rFonts w:hint="eastAsia" w:ascii="宋体" w:hAnsi="宋体" w:eastAsia="宋体" w:cstheme="minorBidi"/>
          <w:szCs w:val="22"/>
          <w:highlight w:val="non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"_Toc166611390"</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9. 合规性评价</w:t>
      </w:r>
      <w:r>
        <w:rPr>
          <w:rFonts w:hAnsi="宋体"/>
          <w:highlight w:val="none"/>
        </w:rPr>
        <w:tab/>
      </w:r>
      <w:r>
        <w:rPr>
          <w:rFonts w:hint="eastAsia" w:hAnsi="宋体"/>
          <w:highlight w:val="none"/>
          <w:lang w:val="en-US" w:eastAsia="zh-CN"/>
        </w:rPr>
        <w:t>1</w:t>
      </w:r>
      <w:r>
        <w:rPr>
          <w:rStyle w:val="48"/>
          <w:rFonts w:hAnsi="宋体"/>
          <w:highlight w:val="none"/>
        </w:rPr>
        <w:fldChar w:fldCharType="end"/>
      </w:r>
      <w:r>
        <w:rPr>
          <w:rStyle w:val="48"/>
          <w:rFonts w:hint="eastAsia" w:hAnsi="宋体"/>
          <w:highlight w:val="none"/>
          <w:lang w:val="en-US" w:eastAsia="zh-CN"/>
        </w:rPr>
        <w:t>4</w:t>
      </w:r>
    </w:p>
    <w:p>
      <w:pPr>
        <w:pStyle w:val="35"/>
        <w:ind w:left="210" w:leftChars="100"/>
        <w:rPr>
          <w:rFonts w:hint="eastAsia" w:ascii="宋体" w:hAnsi="宋体" w:eastAsia="宋体" w:cstheme="minorBidi"/>
          <w:szCs w:val="22"/>
          <w:highlight w:val="non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"_Toc166611391"</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9.1 评价要求</w:t>
      </w:r>
      <w:r>
        <w:rPr>
          <w:rFonts w:hAnsi="宋体"/>
          <w:highlight w:val="none"/>
        </w:rPr>
        <w:tab/>
      </w:r>
      <w:r>
        <w:rPr>
          <w:rFonts w:hint="eastAsia" w:hAnsi="宋体"/>
          <w:highlight w:val="none"/>
          <w:lang w:val="en-US" w:eastAsia="zh-CN"/>
        </w:rPr>
        <w:t>1</w:t>
      </w:r>
      <w:r>
        <w:rPr>
          <w:rStyle w:val="48"/>
          <w:rFonts w:hAnsi="宋体"/>
          <w:highlight w:val="none"/>
        </w:rPr>
        <w:fldChar w:fldCharType="end"/>
      </w:r>
      <w:r>
        <w:rPr>
          <w:rStyle w:val="48"/>
          <w:rFonts w:hint="eastAsia" w:hAnsi="宋体"/>
          <w:highlight w:val="none"/>
          <w:lang w:val="en-US" w:eastAsia="zh-CN"/>
        </w:rPr>
        <w:t>4</w:t>
      </w:r>
    </w:p>
    <w:p>
      <w:pPr>
        <w:pStyle w:val="35"/>
        <w:ind w:left="210" w:leftChars="100"/>
        <w:rPr>
          <w:rFonts w:hint="eastAsia" w:ascii="宋体" w:hAnsi="宋体" w:eastAsia="宋体" w:cstheme="minorBidi"/>
          <w:szCs w:val="22"/>
          <w:highlight w:val="non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"_Toc166611392"</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9.2 评价方式</w:t>
      </w:r>
      <w:r>
        <w:rPr>
          <w:rFonts w:hAnsi="宋体"/>
          <w:highlight w:val="none"/>
        </w:rPr>
        <w:tab/>
      </w:r>
      <w:r>
        <w:rPr>
          <w:rFonts w:hint="eastAsia" w:hAnsi="宋体"/>
          <w:highlight w:val="none"/>
          <w:lang w:val="en-US" w:eastAsia="zh-CN"/>
        </w:rPr>
        <w:t>1</w:t>
      </w:r>
      <w:r>
        <w:rPr>
          <w:rStyle w:val="48"/>
          <w:rFonts w:hAnsi="宋体"/>
          <w:highlight w:val="none"/>
        </w:rPr>
        <w:fldChar w:fldCharType="end"/>
      </w:r>
      <w:r>
        <w:rPr>
          <w:rStyle w:val="48"/>
          <w:rFonts w:hint="eastAsia" w:hAnsi="宋体"/>
          <w:highlight w:val="none"/>
          <w:lang w:val="en-US" w:eastAsia="zh-CN"/>
        </w:rPr>
        <w:t>4</w:t>
      </w:r>
    </w:p>
    <w:p>
      <w:pPr>
        <w:pStyle w:val="35"/>
        <w:ind w:left="210" w:leftChars="100"/>
        <w:rPr>
          <w:rFonts w:hint="eastAsia" w:ascii="宋体" w:hAnsi="宋体" w:eastAsia="宋体" w:cstheme="minorBidi"/>
          <w:szCs w:val="22"/>
          <w:highlight w:val="non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"_Toc166611393"</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9.3 评价评级</w:t>
      </w:r>
      <w:r>
        <w:rPr>
          <w:rFonts w:hAnsi="宋体"/>
          <w:highlight w:val="none"/>
        </w:rPr>
        <w:tab/>
      </w:r>
      <w:r>
        <w:rPr>
          <w:rFonts w:hint="eastAsia" w:hAnsi="宋体"/>
          <w:highlight w:val="none"/>
          <w:lang w:val="en-US" w:eastAsia="zh-CN"/>
        </w:rPr>
        <w:t>1</w:t>
      </w:r>
      <w:r>
        <w:rPr>
          <w:rStyle w:val="48"/>
          <w:rFonts w:hAnsi="宋体"/>
          <w:highlight w:val="none"/>
        </w:rPr>
        <w:fldChar w:fldCharType="end"/>
      </w:r>
      <w:r>
        <w:rPr>
          <w:rStyle w:val="48"/>
          <w:rFonts w:hint="eastAsia" w:hAnsi="宋体"/>
          <w:highlight w:val="none"/>
          <w:lang w:val="en-US" w:eastAsia="zh-CN"/>
        </w:rPr>
        <w:t>4</w:t>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"_Toc166611394"</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highlight w:val="none"/>
        </w:rPr>
        <w:t>10. 社会监督</w:t>
      </w:r>
      <w:r>
        <w:rPr>
          <w:rFonts w:hAnsi="宋体"/>
          <w:highlight w:val="none"/>
        </w:rPr>
        <w:tab/>
      </w:r>
      <w:r>
        <w:rPr>
          <w:rFonts w:hAnsi="宋体"/>
          <w:highlight w:val="none"/>
        </w:rPr>
        <w:fldChar w:fldCharType="begin"/>
      </w:r>
      <w:r>
        <w:rPr>
          <w:rFonts w:hAnsi="宋体"/>
          <w:highlight w:val="none"/>
        </w:rPr>
        <w:instrText xml:space="preserve"> PAGEREF _Toc166611394 \h </w:instrText>
      </w:r>
      <w:r>
        <w:rPr>
          <w:rFonts w:hAnsi="宋体"/>
          <w:highlight w:val="none"/>
        </w:rPr>
        <w:fldChar w:fldCharType="separate"/>
      </w:r>
      <w:r>
        <w:rPr>
          <w:rFonts w:hAnsi="宋体"/>
          <w:highlight w:val="none"/>
        </w:rPr>
        <w:t>1</w:t>
      </w:r>
      <w:r>
        <w:rPr>
          <w:rFonts w:hint="eastAsia" w:hAnsi="宋体"/>
          <w:highlight w:val="none"/>
          <w:lang w:val="en-US" w:eastAsia="zh-CN"/>
        </w:rPr>
        <w:t>5</w:t>
      </w:r>
      <w:r>
        <w:rPr>
          <w:rFonts w:hAnsi="宋体"/>
          <w:highlight w:val="none"/>
        </w:rPr>
        <w:fldChar w:fldCharType="end"/>
      </w:r>
      <w:r>
        <w:rPr>
          <w:rStyle w:val="48"/>
          <w:rFonts w:hAnsi="宋体"/>
          <w:highlight w:val="none"/>
        </w:rPr>
        <w:fldChar w:fldCharType="end"/>
      </w:r>
    </w:p>
    <w:p>
      <w:pPr>
        <w:pStyle w:val="26"/>
        <w:spacing w:before="78" w:after="78"/>
        <w:rPr>
          <w:rFonts w:ascii="宋体" w:hAnsi="宋体" w:eastAsia="宋体" w:cstheme="minorBidi"/>
          <w:szCs w:val="22"/>
          <w:highlight w:val="non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"_Toc166611395"</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cs="黑体"/>
          <w:spacing w:val="51"/>
          <w:highlight w:val="none"/>
        </w:rPr>
        <w:t>附 录A</w:t>
      </w:r>
      <w:r>
        <w:rPr>
          <w:rStyle w:val="48"/>
          <w:rFonts w:hint="eastAsia" w:hAnsi="宋体" w:cs="Times New Roman"/>
          <w:spacing w:val="0"/>
          <w:highlight w:val="none"/>
        </w:rPr>
        <w:t>（资料性）达成净零排放（3.2.1）和/或碳中和（3.2.2）要求和行动优先级</w:t>
      </w:r>
      <w:r>
        <w:rPr>
          <w:rFonts w:hAnsi="宋体"/>
          <w:highlight w:val="none"/>
        </w:rPr>
        <w:tab/>
      </w:r>
      <w:r>
        <w:rPr>
          <w:rFonts w:hAnsi="宋体"/>
          <w:highlight w:val="none"/>
        </w:rPr>
        <w:fldChar w:fldCharType="begin"/>
      </w:r>
      <w:r>
        <w:rPr>
          <w:rFonts w:hAnsi="宋体"/>
          <w:highlight w:val="none"/>
        </w:rPr>
        <w:instrText xml:space="preserve"> PAGEREF _Toc166611395 \h </w:instrText>
      </w:r>
      <w:r>
        <w:rPr>
          <w:rFonts w:hAnsi="宋体"/>
          <w:highlight w:val="none"/>
        </w:rPr>
        <w:fldChar w:fldCharType="separate"/>
      </w:r>
      <w:r>
        <w:rPr>
          <w:rFonts w:hAnsi="宋体"/>
          <w:highlight w:val="none"/>
        </w:rPr>
        <w:t>1</w:t>
      </w:r>
      <w:r>
        <w:rPr>
          <w:rFonts w:hint="eastAsia" w:hAnsi="宋体"/>
          <w:highlight w:val="none"/>
          <w:lang w:val="en-US" w:eastAsia="zh-CN"/>
        </w:rPr>
        <w:t>6</w:t>
      </w:r>
      <w:r>
        <w:rPr>
          <w:rFonts w:hAnsi="宋体"/>
          <w:highlight w:val="none"/>
        </w:rPr>
        <w:fldChar w:fldCharType="end"/>
      </w:r>
      <w:r>
        <w:rPr>
          <w:rStyle w:val="48"/>
          <w:rFonts w:hAnsi="宋体"/>
          <w:highlight w:val="none"/>
        </w:rPr>
        <w:fldChar w:fldCharType="end"/>
      </w:r>
    </w:p>
    <w:p>
      <w:pPr>
        <w:pStyle w:val="26"/>
        <w:spacing w:before="78" w:after="78"/>
        <w:rPr>
          <w:rFonts w:ascii="宋体" w:hAnsi="宋体" w:eastAsia="宋体" w:cs="黑体"/>
          <w:color w:val="0000FF"/>
          <w:spacing w:val="51"/>
          <w:szCs w:val="21"/>
          <w:highlight w:val="none"/>
          <w:u w:val="singl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"_Toc166611396"</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cs="黑体"/>
          <w:spacing w:val="51"/>
          <w:highlight w:val="none"/>
        </w:rPr>
        <w:t>附 录B</w:t>
      </w:r>
      <w:r>
        <w:rPr>
          <w:rStyle w:val="48"/>
          <w:rFonts w:hint="eastAsia" w:hAnsi="宋体" w:cs="Times New Roman"/>
          <w:spacing w:val="0"/>
          <w:highlight w:val="none"/>
        </w:rPr>
        <w:t>（资料性）不同披露情形下对应的披露内容</w:t>
      </w:r>
      <w:r>
        <w:rPr>
          <w:rFonts w:hAnsi="宋体"/>
          <w:highlight w:val="none"/>
        </w:rPr>
        <w:tab/>
      </w:r>
      <w:r>
        <w:rPr>
          <w:rFonts w:hAnsi="宋体"/>
          <w:highlight w:val="none"/>
        </w:rPr>
        <w:fldChar w:fldCharType="begin"/>
      </w:r>
      <w:r>
        <w:rPr>
          <w:rFonts w:hAnsi="宋体"/>
          <w:highlight w:val="none"/>
        </w:rPr>
        <w:instrText xml:space="preserve"> PAGEREF _Toc166611396 \h </w:instrText>
      </w:r>
      <w:r>
        <w:rPr>
          <w:rFonts w:hAnsi="宋体"/>
          <w:highlight w:val="none"/>
        </w:rPr>
        <w:fldChar w:fldCharType="separate"/>
      </w:r>
      <w:r>
        <w:rPr>
          <w:rFonts w:hAnsi="宋体"/>
          <w:highlight w:val="none"/>
        </w:rPr>
        <w:t>1</w:t>
      </w:r>
      <w:r>
        <w:rPr>
          <w:rFonts w:hint="eastAsia" w:hAnsi="宋体"/>
          <w:highlight w:val="none"/>
          <w:lang w:val="en-US" w:eastAsia="zh-CN"/>
        </w:rPr>
        <w:t>8</w:t>
      </w:r>
      <w:r>
        <w:rPr>
          <w:rFonts w:hAnsi="宋体"/>
          <w:highlight w:val="none"/>
        </w:rPr>
        <w:fldChar w:fldCharType="end"/>
      </w:r>
      <w:r>
        <w:rPr>
          <w:rStyle w:val="48"/>
          <w:rFonts w:hAnsi="宋体"/>
          <w:highlight w:val="none"/>
        </w:rPr>
        <w:fldChar w:fldCharType="end"/>
      </w:r>
    </w:p>
    <w:p>
      <w:pPr>
        <w:pStyle w:val="26"/>
        <w:spacing w:before="78" w:after="78"/>
        <w:rPr>
          <w:rFonts w:ascii="宋体" w:hAnsi="宋体" w:eastAsia="宋体" w:cs="Times New Roman"/>
          <w:color w:val="0000FF"/>
          <w:spacing w:val="51"/>
          <w:szCs w:val="21"/>
          <w:highlight w:val="none"/>
          <w:u w:val="single"/>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"_Toc166611397"</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cs="黑体"/>
          <w:spacing w:val="51"/>
          <w:highlight w:val="none"/>
        </w:rPr>
        <w:t>附 录</w:t>
      </w:r>
      <w:r>
        <w:rPr>
          <w:rStyle w:val="48"/>
          <w:rFonts w:hAnsi="宋体" w:eastAsia="宋体"/>
          <w:spacing w:val="51"/>
          <w:highlight w:val="none"/>
        </w:rPr>
        <w:t>C</w:t>
      </w:r>
      <w:r>
        <w:rPr>
          <w:rStyle w:val="48"/>
          <w:rFonts w:hint="eastAsia" w:hAnsi="宋体" w:cs="Times New Roman"/>
          <w:spacing w:val="0"/>
          <w:highlight w:val="none"/>
        </w:rPr>
        <w:t>（资料性）披露指引与参考标准</w:t>
      </w:r>
      <w:r>
        <w:rPr>
          <w:rFonts w:hAnsi="宋体"/>
          <w:highlight w:val="none"/>
        </w:rPr>
        <w:tab/>
      </w:r>
      <w:r>
        <w:rPr>
          <w:rFonts w:hAnsi="宋体"/>
          <w:highlight w:val="none"/>
        </w:rPr>
        <w:fldChar w:fldCharType="begin"/>
      </w:r>
      <w:r>
        <w:rPr>
          <w:rFonts w:hAnsi="宋体"/>
          <w:highlight w:val="none"/>
        </w:rPr>
        <w:instrText xml:space="preserve"> PAGEREF _Toc166611397 \h </w:instrText>
      </w:r>
      <w:r>
        <w:rPr>
          <w:rFonts w:hAnsi="宋体"/>
          <w:highlight w:val="none"/>
        </w:rPr>
        <w:fldChar w:fldCharType="separate"/>
      </w:r>
      <w:r>
        <w:rPr>
          <w:rFonts w:hAnsi="宋体"/>
          <w:highlight w:val="none"/>
        </w:rPr>
        <w:t>1</w:t>
      </w:r>
      <w:r>
        <w:rPr>
          <w:rFonts w:hint="eastAsia" w:hAnsi="宋体"/>
          <w:highlight w:val="none"/>
          <w:lang w:val="en-US" w:eastAsia="zh-CN"/>
        </w:rPr>
        <w:t>9</w:t>
      </w:r>
      <w:r>
        <w:rPr>
          <w:rFonts w:hAnsi="宋体"/>
          <w:highlight w:val="none"/>
        </w:rPr>
        <w:fldChar w:fldCharType="end"/>
      </w:r>
      <w:r>
        <w:rPr>
          <w:rStyle w:val="48"/>
          <w:rFonts w:hAnsi="宋体"/>
          <w:highlight w:val="none"/>
        </w:rPr>
        <w:fldChar w:fldCharType="end"/>
      </w:r>
    </w:p>
    <w:p>
      <w:pPr>
        <w:pStyle w:val="26"/>
        <w:spacing w:before="78" w:after="78"/>
        <w:rPr>
          <w:rFonts w:hint="eastAsia" w:ascii="宋体" w:hAnsi="宋体" w:eastAsia="宋体" w:cs="Times New Roman"/>
          <w:color w:val="0000FF"/>
          <w:spacing w:val="51"/>
          <w:szCs w:val="21"/>
          <w:highlight w:val="none"/>
          <w:u w:val="singl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"_Toc166611398"</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cs="黑体"/>
          <w:spacing w:val="51"/>
          <w:highlight w:val="none"/>
        </w:rPr>
        <w:t>附 录</w:t>
      </w:r>
      <w:r>
        <w:rPr>
          <w:rStyle w:val="48"/>
          <w:rFonts w:hAnsi="宋体" w:eastAsia="宋体"/>
          <w:spacing w:val="51"/>
          <w:highlight w:val="none"/>
        </w:rPr>
        <w:t>D</w:t>
      </w:r>
      <w:r>
        <w:rPr>
          <w:rStyle w:val="48"/>
          <w:rFonts w:hint="eastAsia" w:hAnsi="宋体"/>
          <w:spacing w:val="0"/>
          <w:highlight w:val="none"/>
        </w:rPr>
        <w:t>（规范性）披露材料编制规范性</w:t>
      </w:r>
      <w:r>
        <w:rPr>
          <w:rFonts w:hAnsi="宋体"/>
          <w:highlight w:val="none"/>
        </w:rPr>
        <w:tab/>
      </w:r>
      <w:r>
        <w:rPr>
          <w:rFonts w:hint="eastAsia" w:hAnsi="宋体"/>
          <w:highlight w:val="none"/>
          <w:lang w:val="en-US" w:eastAsia="zh-CN"/>
        </w:rPr>
        <w:t>2</w:t>
      </w:r>
      <w:r>
        <w:rPr>
          <w:rStyle w:val="48"/>
          <w:rFonts w:hAnsi="宋体"/>
          <w:highlight w:val="none"/>
        </w:rPr>
        <w:fldChar w:fldCharType="end"/>
      </w:r>
      <w:r>
        <w:rPr>
          <w:rStyle w:val="48"/>
          <w:rFonts w:hint="eastAsia" w:hAnsi="宋体"/>
          <w:highlight w:val="none"/>
          <w:lang w:val="en-US" w:eastAsia="zh-CN"/>
        </w:rPr>
        <w:t>0</w:t>
      </w:r>
    </w:p>
    <w:p>
      <w:pPr>
        <w:pStyle w:val="26"/>
        <w:spacing w:before="78" w:after="78"/>
        <w:rPr>
          <w:rFonts w:hint="eastAsia" w:ascii="宋体" w:hAnsi="宋体" w:eastAsia="宋体" w:cs="Times New Roman"/>
          <w:color w:val="0000FF"/>
          <w:spacing w:val="51"/>
          <w:szCs w:val="21"/>
          <w:highlight w:val="none"/>
          <w:u w:val="singl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"_Toc166611399"</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cs="黑体"/>
          <w:spacing w:val="51"/>
          <w:highlight w:val="none"/>
        </w:rPr>
        <w:t>附 录</w:t>
      </w:r>
      <w:r>
        <w:rPr>
          <w:rStyle w:val="48"/>
          <w:rFonts w:hAnsi="宋体" w:eastAsia="宋体"/>
          <w:spacing w:val="51"/>
          <w:highlight w:val="none"/>
        </w:rPr>
        <w:t>E</w:t>
      </w:r>
      <w:r>
        <w:rPr>
          <w:rStyle w:val="48"/>
          <w:rFonts w:hint="eastAsia" w:hAnsi="宋体"/>
          <w:spacing w:val="0"/>
          <w:highlight w:val="none"/>
        </w:rPr>
        <w:t>（资料性）保障合规披露的内部管理体系</w:t>
      </w:r>
      <w:r>
        <w:rPr>
          <w:rFonts w:hAnsi="宋体"/>
          <w:highlight w:val="none"/>
        </w:rPr>
        <w:tab/>
      </w:r>
      <w:r>
        <w:rPr>
          <w:rFonts w:hint="eastAsia" w:hAnsi="宋体"/>
          <w:highlight w:val="none"/>
          <w:lang w:val="en-US" w:eastAsia="zh-CN"/>
        </w:rPr>
        <w:t>2</w:t>
      </w:r>
      <w:r>
        <w:rPr>
          <w:rStyle w:val="48"/>
          <w:rFonts w:hAnsi="宋体"/>
          <w:highlight w:val="none"/>
        </w:rPr>
        <w:fldChar w:fldCharType="end"/>
      </w:r>
      <w:r>
        <w:rPr>
          <w:rStyle w:val="48"/>
          <w:rFonts w:hint="eastAsia" w:hAnsi="宋体"/>
          <w:highlight w:val="none"/>
          <w:lang w:val="en-US" w:eastAsia="zh-CN"/>
        </w:rPr>
        <w:t>1</w:t>
      </w:r>
    </w:p>
    <w:p>
      <w:pPr>
        <w:pStyle w:val="26"/>
        <w:spacing w:before="78" w:after="78"/>
        <w:rPr>
          <w:rStyle w:val="48"/>
          <w:rFonts w:hint="eastAsia" w:hAnsi="宋体"/>
          <w:highlight w:val="none"/>
          <w:lang w:val="en-US" w:eastAsia="zh-CN"/>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"_Toc166611400"</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cs="黑体"/>
          <w:spacing w:val="51"/>
          <w:highlight w:val="none"/>
        </w:rPr>
        <w:t>附 录</w:t>
      </w:r>
      <w:r>
        <w:rPr>
          <w:rStyle w:val="48"/>
          <w:rFonts w:hAnsi="宋体" w:eastAsia="宋体"/>
          <w:spacing w:val="51"/>
          <w:highlight w:val="none"/>
        </w:rPr>
        <w:t>F</w:t>
      </w:r>
      <w:r>
        <w:rPr>
          <w:rStyle w:val="48"/>
          <w:rFonts w:hint="eastAsia" w:hAnsi="宋体"/>
          <w:spacing w:val="0"/>
          <w:highlight w:val="none"/>
        </w:rPr>
        <w:t>（资料性）针对资本市场的可持续披露准则</w:t>
      </w:r>
      <w:r>
        <w:rPr>
          <w:rFonts w:hAnsi="宋体"/>
          <w:highlight w:val="none"/>
        </w:rPr>
        <w:tab/>
      </w:r>
      <w:r>
        <w:rPr>
          <w:rFonts w:hint="eastAsia" w:hAnsi="宋体"/>
          <w:highlight w:val="none"/>
          <w:lang w:val="en-US" w:eastAsia="zh-CN"/>
        </w:rPr>
        <w:t>2</w:t>
      </w:r>
      <w:r>
        <w:rPr>
          <w:rStyle w:val="48"/>
          <w:rFonts w:hAnsi="宋体"/>
          <w:highlight w:val="none"/>
        </w:rPr>
        <w:fldChar w:fldCharType="end"/>
      </w:r>
      <w:r>
        <w:rPr>
          <w:rStyle w:val="48"/>
          <w:rFonts w:hint="eastAsia" w:hAnsi="宋体"/>
          <w:highlight w:val="none"/>
          <w:lang w:val="en-US" w:eastAsia="zh-CN"/>
        </w:rPr>
        <w:t>2</w:t>
      </w:r>
    </w:p>
    <w:p>
      <w:pPr>
        <w:pStyle w:val="26"/>
        <w:spacing w:before="78" w:after="78"/>
        <w:rPr>
          <w:rFonts w:hint="default"/>
          <w:lang w:val="en-US" w:eastAsia="zh-CN"/>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"_Toc166611400"</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cs="黑体"/>
          <w:spacing w:val="51"/>
          <w:highlight w:val="none"/>
        </w:rPr>
        <w:t>附 录</w:t>
      </w:r>
      <w:r>
        <w:rPr>
          <w:rStyle w:val="48"/>
          <w:rFonts w:hint="eastAsia" w:hAnsi="宋体" w:cs="黑体"/>
          <w:spacing w:val="51"/>
          <w:highlight w:val="none"/>
          <w:lang w:val="en-US" w:eastAsia="zh-CN"/>
        </w:rPr>
        <w:t>G</w:t>
      </w:r>
      <w:r>
        <w:rPr>
          <w:rStyle w:val="48"/>
          <w:rFonts w:hint="eastAsia" w:hAnsi="宋体"/>
          <w:spacing w:val="0"/>
          <w:highlight w:val="none"/>
        </w:rPr>
        <w:t>（资料性）企业碳信息合规披露评分</w:t>
      </w:r>
      <w:r>
        <w:rPr>
          <w:rFonts w:hAnsi="宋体"/>
          <w:highlight w:val="none"/>
        </w:rPr>
        <w:tab/>
      </w:r>
      <w:r>
        <w:rPr>
          <w:rStyle w:val="48"/>
          <w:rFonts w:hAnsi="宋体"/>
          <w:highlight w:val="none"/>
        </w:rPr>
        <w:fldChar w:fldCharType="end"/>
      </w:r>
      <w:r>
        <w:rPr>
          <w:rStyle w:val="48"/>
          <w:rFonts w:hint="eastAsia" w:hAnsi="宋体"/>
          <w:highlight w:val="none"/>
          <w:lang w:val="en-US" w:eastAsia="zh-CN"/>
        </w:rPr>
        <w:t>24</w:t>
      </w:r>
    </w:p>
    <w:p>
      <w:pPr>
        <w:pStyle w:val="26"/>
        <w:spacing w:before="78" w:after="78"/>
        <w:rPr>
          <w:rFonts w:hint="eastAsia" w:ascii="宋体" w:hAnsi="宋体" w:eastAsia="宋体" w:cstheme="minorBidi"/>
          <w:szCs w:val="22"/>
          <w:highlight w:val="none"/>
          <w:lang w:val="en-US" w:eastAsia="zh-CN"/>
          <w14:ligatures w14:val="standardContextual"/>
        </w:rPr>
      </w:pPr>
      <w:r>
        <w:rPr>
          <w:rStyle w:val="48"/>
          <w:rFonts w:hAnsi="宋体"/>
          <w:highlight w:val="none"/>
        </w:rPr>
        <w:fldChar w:fldCharType="begin"/>
      </w:r>
      <w:r>
        <w:rPr>
          <w:rStyle w:val="48"/>
          <w:rFonts w:hAnsi="宋体"/>
          <w:highlight w:val="none"/>
        </w:rPr>
        <w:instrText xml:space="preserve"> </w:instrText>
      </w:r>
      <w:r>
        <w:rPr>
          <w:rFonts w:hAnsi="宋体"/>
          <w:highlight w:val="none"/>
        </w:rPr>
        <w:instrText xml:space="preserve">HYPERLINK \l "_Toc166611401"</w:instrText>
      </w:r>
      <w:r>
        <w:rPr>
          <w:rStyle w:val="48"/>
          <w:rFonts w:hAnsi="宋体"/>
          <w:highlight w:val="none"/>
        </w:rPr>
        <w:instrText xml:space="preserve"> </w:instrText>
      </w:r>
      <w:r>
        <w:rPr>
          <w:rStyle w:val="48"/>
          <w:rFonts w:hAnsi="宋体"/>
          <w:highlight w:val="none"/>
        </w:rPr>
        <w:fldChar w:fldCharType="separate"/>
      </w:r>
      <w:r>
        <w:rPr>
          <w:rStyle w:val="48"/>
          <w:rFonts w:ascii="宋体" w:hAnsi="宋体" w:eastAsia="宋体" w:cs="黑体"/>
          <w:spacing w:val="51"/>
          <w:highlight w:val="none"/>
        </w:rPr>
        <w:t>参考文献</w:t>
      </w:r>
      <w:r>
        <w:rPr>
          <w:rFonts w:hAnsi="宋体"/>
          <w:highlight w:val="none"/>
        </w:rPr>
        <w:tab/>
      </w:r>
      <w:r>
        <w:rPr>
          <w:rFonts w:hint="eastAsia" w:hAnsi="宋体"/>
          <w:highlight w:val="none"/>
          <w:lang w:val="en-US" w:eastAsia="zh-CN"/>
        </w:rPr>
        <w:t>2</w:t>
      </w:r>
      <w:r>
        <w:rPr>
          <w:rStyle w:val="48"/>
          <w:rFonts w:hAnsi="宋体"/>
          <w:highlight w:val="none"/>
        </w:rPr>
        <w:fldChar w:fldCharType="end"/>
      </w:r>
      <w:r>
        <w:rPr>
          <w:rStyle w:val="48"/>
          <w:rFonts w:hint="eastAsia" w:hAnsi="宋体"/>
          <w:highlight w:val="none"/>
          <w:lang w:val="en-US" w:eastAsia="zh-CN"/>
        </w:rPr>
        <w:t>5</w:t>
      </w:r>
    </w:p>
    <w:p>
      <w:pPr>
        <w:rPr>
          <w:highlight w:val="none"/>
        </w:rPr>
      </w:pPr>
      <w:r>
        <w:rPr>
          <w:rFonts w:ascii="宋体" w:hAnsi="宋体" w:eastAsia="宋体"/>
          <w:b w:val="0"/>
          <w:bCs w:val="0"/>
          <w:szCs w:val="21"/>
          <w:highlight w:val="none"/>
          <w:lang w:val="zh-CN"/>
        </w:rPr>
        <w:fldChar w:fldCharType="end"/>
      </w:r>
    </w:p>
    <w:p>
      <w:pPr>
        <w:widowControl/>
        <w:jc w:val="left"/>
        <w:rPr>
          <w:highlight w:val="none"/>
        </w:rPr>
        <w:sectPr>
          <w:headerReference r:id="rId6" w:type="default"/>
          <w:footerReference r:id="rId7" w:type="default"/>
          <w:pgSz w:w="11906" w:h="16838"/>
          <w:pgMar w:top="567" w:right="1134" w:bottom="1134" w:left="1418" w:header="1418" w:footer="1134" w:gutter="0"/>
          <w:pgNumType w:fmt="upperRoman" w:start="1"/>
          <w:cols w:space="720" w:num="1"/>
          <w:formProt w:val="0"/>
          <w:docGrid w:type="lines" w:linePitch="312" w:charSpace="0"/>
        </w:sectPr>
      </w:pPr>
      <w:r>
        <w:rPr>
          <w:highlight w:val="none"/>
        </w:rPr>
        <w:br w:type="page"/>
      </w:r>
    </w:p>
    <w:p>
      <w:pPr>
        <w:pStyle w:val="2"/>
        <w:spacing w:before="850" w:after="680"/>
        <w:jc w:val="center"/>
        <w:rPr>
          <w:rFonts w:ascii="黑体" w:hAnsi="黑体" w:eastAsia="黑体"/>
          <w:b w:val="0"/>
          <w:highlight w:val="none"/>
        </w:rPr>
      </w:pPr>
      <w:bookmarkStart w:id="4" w:name="_Toc166611356"/>
      <w:r>
        <w:rPr>
          <w:rFonts w:hint="eastAsia" w:ascii="黑体" w:hAnsi="黑体" w:eastAsia="黑体"/>
          <w:b w:val="0"/>
          <w:sz w:val="32"/>
          <w:szCs w:val="32"/>
          <w:highlight w:val="none"/>
        </w:rPr>
        <w:t>前</w:t>
      </w:r>
      <w:r>
        <w:rPr>
          <w:rFonts w:ascii="黑体" w:hAnsi="黑体" w:eastAsia="黑体"/>
          <w:b w:val="0"/>
          <w:sz w:val="32"/>
          <w:szCs w:val="32"/>
          <w:highlight w:val="none"/>
        </w:rPr>
        <w:t xml:space="preserve">  </w:t>
      </w:r>
      <w:r>
        <w:rPr>
          <w:rFonts w:hint="eastAsia" w:ascii="黑体" w:hAnsi="黑体" w:eastAsia="黑体"/>
          <w:b w:val="0"/>
          <w:sz w:val="32"/>
          <w:szCs w:val="32"/>
          <w:highlight w:val="none"/>
        </w:rPr>
        <w:t>言</w:t>
      </w:r>
      <w:bookmarkEnd w:id="4"/>
    </w:p>
    <w:p>
      <w:pPr>
        <w:ind w:firstLine="420"/>
        <w:rPr>
          <w:rFonts w:ascii="宋体" w:hAnsi="宋体"/>
          <w:highlight w:val="none"/>
        </w:rPr>
      </w:pPr>
      <w:r>
        <w:rPr>
          <w:rFonts w:hint="eastAsia" w:ascii="宋体" w:hAnsi="宋体"/>
          <w:highlight w:val="none"/>
        </w:rPr>
        <w:t>本文件按照</w:t>
      </w:r>
      <w:r>
        <w:rPr>
          <w:highlight w:val="none"/>
        </w:rPr>
        <w:t>GB/T</w:t>
      </w:r>
      <w:r>
        <w:rPr>
          <w:rFonts w:ascii="宋体" w:hAnsi="宋体"/>
          <w:highlight w:val="none"/>
        </w:rPr>
        <w:t xml:space="preserve"> 1.1-2020</w:t>
      </w:r>
      <w:r>
        <w:rPr>
          <w:rFonts w:hint="eastAsia" w:ascii="宋体" w:hAnsi="宋体"/>
          <w:highlight w:val="none"/>
        </w:rPr>
        <w:t>《标准化工作导则</w:t>
      </w:r>
      <w:r>
        <w:rPr>
          <w:rFonts w:ascii="宋体" w:hAnsi="宋体"/>
          <w:highlight w:val="none"/>
        </w:rPr>
        <w:t xml:space="preserve"> </w:t>
      </w:r>
      <w:r>
        <w:rPr>
          <w:rFonts w:hint="eastAsia" w:ascii="宋体" w:hAnsi="宋体"/>
          <w:highlight w:val="none"/>
        </w:rPr>
        <w:t>第</w:t>
      </w:r>
      <w:r>
        <w:rPr>
          <w:rFonts w:ascii="宋体" w:hAnsi="宋体"/>
          <w:highlight w:val="none"/>
        </w:rPr>
        <w:t>1</w:t>
      </w:r>
      <w:r>
        <w:rPr>
          <w:rFonts w:hint="eastAsia" w:ascii="宋体" w:hAnsi="宋体"/>
          <w:highlight w:val="none"/>
        </w:rPr>
        <w:t>部分：标准化文件的结构和起草规则》的规定起草。</w:t>
      </w:r>
    </w:p>
    <w:p>
      <w:pPr>
        <w:ind w:firstLine="420"/>
        <w:rPr>
          <w:rFonts w:ascii="宋体" w:hAnsi="宋体"/>
          <w:highlight w:val="none"/>
        </w:rPr>
      </w:pPr>
      <w:r>
        <w:rPr>
          <w:rFonts w:hint="eastAsia" w:ascii="宋体" w:hAnsi="宋体"/>
          <w:highlight w:val="none"/>
        </w:rPr>
        <w:t>请注意本文件的某些内容可能涉及专利。本文件的发布机构不承担识别专利的责任。</w:t>
      </w:r>
    </w:p>
    <w:p>
      <w:pPr>
        <w:ind w:firstLine="420"/>
        <w:rPr>
          <w:rFonts w:ascii="宋体" w:hAnsi="宋体"/>
          <w:highlight w:val="none"/>
        </w:rPr>
      </w:pPr>
      <w:r>
        <w:rPr>
          <w:rFonts w:hint="eastAsia" w:ascii="宋体" w:hAnsi="宋体" w:cs="宋体"/>
          <w:highlight w:val="none"/>
        </w:rPr>
        <w:t>本文件由中国认证认可协会提出并归口。</w:t>
      </w:r>
    </w:p>
    <w:p>
      <w:pPr>
        <w:ind w:firstLine="420"/>
        <w:rPr>
          <w:rFonts w:ascii="宋体" w:hAnsi="宋体"/>
          <w:highlight w:val="none"/>
        </w:rPr>
      </w:pPr>
      <w:r>
        <w:rPr>
          <w:rFonts w:hint="eastAsia" w:ascii="宋体" w:hAnsi="宋体"/>
          <w:highlight w:val="none"/>
        </w:rPr>
        <w:t>本文件起草单位：</w:t>
      </w:r>
      <w:r>
        <w:rPr>
          <w:rFonts w:ascii="宋体" w:hAnsi="宋体"/>
          <w:highlight w:val="none"/>
        </w:rPr>
        <w:t xml:space="preserve"> </w:t>
      </w:r>
    </w:p>
    <w:p>
      <w:pPr>
        <w:ind w:firstLine="420"/>
        <w:rPr>
          <w:rFonts w:ascii="宋体" w:hAnsi="宋体"/>
          <w:highlight w:val="none"/>
        </w:rPr>
      </w:pPr>
      <w:r>
        <w:rPr>
          <w:rFonts w:hint="eastAsia" w:ascii="宋体" w:hAnsi="宋体"/>
          <w:highlight w:val="none"/>
        </w:rPr>
        <w:t>本文件主要起草人：</w:t>
      </w:r>
      <w:r>
        <w:rPr>
          <w:rFonts w:ascii="宋体" w:hAnsi="宋体"/>
          <w:highlight w:val="none"/>
        </w:rPr>
        <w:t xml:space="preserve"> </w:t>
      </w:r>
    </w:p>
    <w:p>
      <w:pPr>
        <w:ind w:firstLine="420"/>
        <w:rPr>
          <w:highlight w:val="none"/>
        </w:rPr>
      </w:pPr>
    </w:p>
    <w:p>
      <w:pPr>
        <w:ind w:firstLine="420"/>
        <w:rPr>
          <w:highlight w:val="none"/>
        </w:rPr>
      </w:pPr>
    </w:p>
    <w:p>
      <w:pPr>
        <w:ind w:firstLine="420"/>
        <w:rPr>
          <w:highlight w:val="none"/>
        </w:rPr>
      </w:pPr>
    </w:p>
    <w:p>
      <w:pPr>
        <w:ind w:firstLine="420"/>
        <w:rPr>
          <w:highlight w:val="none"/>
        </w:rPr>
      </w:pPr>
    </w:p>
    <w:p>
      <w:pPr>
        <w:ind w:firstLine="420"/>
        <w:rPr>
          <w:highlight w:val="none"/>
        </w:rPr>
      </w:pPr>
    </w:p>
    <w:p>
      <w:pPr>
        <w:ind w:firstLine="420"/>
        <w:rPr>
          <w:highlight w:val="none"/>
        </w:rPr>
      </w:pPr>
    </w:p>
    <w:p>
      <w:pPr>
        <w:ind w:firstLine="420"/>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widowControl/>
        <w:jc w:val="left"/>
        <w:rPr>
          <w:highlight w:val="none"/>
        </w:rPr>
      </w:pPr>
    </w:p>
    <w:p>
      <w:pPr>
        <w:pStyle w:val="2"/>
        <w:spacing w:before="850" w:after="680" w:line="460" w:lineRule="exact"/>
        <w:jc w:val="center"/>
        <w:rPr>
          <w:rFonts w:ascii="黑体" w:hAnsi="黑体" w:eastAsia="黑体"/>
          <w:b w:val="0"/>
          <w:highlight w:val="none"/>
        </w:rPr>
      </w:pPr>
      <w:bookmarkStart w:id="5" w:name="_Toc166611357"/>
      <w:r>
        <w:rPr>
          <w:rFonts w:hint="eastAsia" w:ascii="黑体" w:hAnsi="黑体" w:eastAsia="黑体"/>
          <w:b w:val="0"/>
          <w:sz w:val="32"/>
          <w:szCs w:val="32"/>
          <w:highlight w:val="none"/>
        </w:rPr>
        <w:t>引</w:t>
      </w:r>
      <w:r>
        <w:rPr>
          <w:rFonts w:ascii="黑体" w:hAnsi="黑体" w:eastAsia="黑体"/>
          <w:b w:val="0"/>
          <w:sz w:val="32"/>
          <w:szCs w:val="32"/>
          <w:highlight w:val="none"/>
        </w:rPr>
        <w:t xml:space="preserve">  </w:t>
      </w:r>
      <w:r>
        <w:rPr>
          <w:rFonts w:hint="eastAsia" w:ascii="黑体" w:hAnsi="黑体" w:eastAsia="黑体"/>
          <w:b w:val="0"/>
          <w:sz w:val="32"/>
          <w:szCs w:val="32"/>
          <w:highlight w:val="none"/>
        </w:rPr>
        <w:t>言</w:t>
      </w:r>
      <w:bookmarkEnd w:id="5"/>
    </w:p>
    <w:p>
      <w:pPr>
        <w:widowControl/>
        <w:ind w:firstLine="420"/>
        <w:rPr>
          <w:rFonts w:cs="宋体" w:asciiTheme="minorEastAsia" w:hAnsiTheme="minorEastAsia" w:eastAsiaTheme="minorEastAsia"/>
          <w:kern w:val="0"/>
          <w:szCs w:val="21"/>
          <w:highlight w:val="none"/>
        </w:rPr>
      </w:pPr>
      <w:r>
        <w:rPr>
          <w:rFonts w:cs="宋体" w:asciiTheme="minorEastAsia" w:hAnsiTheme="minorEastAsia" w:eastAsiaTheme="minorEastAsia"/>
          <w:kern w:val="0"/>
          <w:sz w:val="21"/>
          <w:szCs w:val="21"/>
          <w:highlight w:val="none"/>
        </w:rPr>
        <w:t>企业在应对气候变化和实现可持续发展方面扮演着至关重要的角色。碳信息披露作为企业环境责任和气候行动的关键组成部分，有助于展示企业</w:t>
      </w:r>
      <w:r>
        <w:rPr>
          <w:rFonts w:hint="eastAsia" w:cs="宋体" w:asciiTheme="minorEastAsia" w:hAnsiTheme="minorEastAsia" w:eastAsiaTheme="minorEastAsia"/>
          <w:kern w:val="0"/>
          <w:szCs w:val="21"/>
          <w:highlight w:val="none"/>
        </w:rPr>
        <w:t>应对</w:t>
      </w:r>
      <w:r>
        <w:rPr>
          <w:rFonts w:cs="宋体" w:asciiTheme="minorEastAsia" w:hAnsiTheme="minorEastAsia" w:eastAsiaTheme="minorEastAsia"/>
          <w:kern w:val="0"/>
          <w:sz w:val="21"/>
          <w:szCs w:val="21"/>
          <w:highlight w:val="none"/>
        </w:rPr>
        <w:t>气候变化的努力，也是投资者、消费者和其他利益相关者评估企业可持续性的重要</w:t>
      </w:r>
      <w:r>
        <w:rPr>
          <w:rFonts w:hint="eastAsia" w:cs="宋体" w:asciiTheme="minorEastAsia" w:hAnsiTheme="minorEastAsia" w:eastAsiaTheme="minorEastAsia"/>
          <w:kern w:val="0"/>
          <w:szCs w:val="21"/>
          <w:highlight w:val="none"/>
        </w:rPr>
        <w:t>方式</w:t>
      </w:r>
      <w:r>
        <w:rPr>
          <w:rFonts w:cs="宋体" w:asciiTheme="minorEastAsia" w:hAnsiTheme="minorEastAsia" w:eastAsiaTheme="minorEastAsia"/>
          <w:kern w:val="0"/>
          <w:sz w:val="21"/>
          <w:szCs w:val="21"/>
          <w:highlight w:val="none"/>
        </w:rPr>
        <w:t>。</w:t>
      </w:r>
    </w:p>
    <w:p>
      <w:pPr>
        <w:widowControl/>
        <w:ind w:firstLine="420"/>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随着</w:t>
      </w:r>
      <w:r>
        <w:rPr>
          <w:rFonts w:hint="eastAsia" w:cs="宋体" w:asciiTheme="minorEastAsia" w:hAnsiTheme="minorEastAsia" w:eastAsiaTheme="minorEastAsia"/>
          <w:kern w:val="0"/>
          <w:szCs w:val="21"/>
          <w:highlight w:val="none"/>
        </w:rPr>
        <w:t>企业</w:t>
      </w:r>
      <w:r>
        <w:rPr>
          <w:rFonts w:cs="宋体" w:asciiTheme="minorEastAsia" w:hAnsiTheme="minorEastAsia" w:eastAsiaTheme="minorEastAsia"/>
          <w:kern w:val="0"/>
          <w:szCs w:val="21"/>
          <w:highlight w:val="none"/>
        </w:rPr>
        <w:t>碳信息披露</w:t>
      </w:r>
      <w:r>
        <w:rPr>
          <w:rFonts w:hint="eastAsia" w:cs="宋体" w:asciiTheme="minorEastAsia" w:hAnsiTheme="minorEastAsia" w:eastAsiaTheme="minorEastAsia"/>
          <w:kern w:val="0"/>
          <w:szCs w:val="21"/>
          <w:highlight w:val="none"/>
        </w:rPr>
        <w:t>实践群体扩大、信息披露方式与媒介日趋多样，社会各相关方也关注到企业碳信息披露存在不规范问题，例如声明含糊或信息片面，信息不实或不准确，所主张特性缺乏科学依据或存在夸大等，引起监管部门与其他利益相关方对企业碳信息披露“漂绿”的担忧，包括误导公众、引发不公平竞争、削弱企业开展具有实质性的减缓气候变化行动的积极性。</w:t>
      </w:r>
    </w:p>
    <w:p>
      <w:pPr>
        <w:widowControl/>
        <w:ind w:firstLine="420"/>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《企业碳信息</w:t>
      </w:r>
      <w:r>
        <w:rPr>
          <w:rFonts w:hint="eastAsia" w:cs="宋体" w:asciiTheme="minorEastAsia" w:hAnsiTheme="minorEastAsia" w:eastAsiaTheme="minorEastAsia"/>
          <w:kern w:val="0"/>
          <w:szCs w:val="21"/>
          <w:highlight w:val="none"/>
          <w:lang w:val="en-US" w:eastAsia="zh-CN"/>
        </w:rPr>
        <w:t>合规</w:t>
      </w:r>
      <w:r>
        <w:rPr>
          <w:rFonts w:hint="eastAsia" w:cs="宋体" w:asciiTheme="minorEastAsia" w:hAnsiTheme="minorEastAsia" w:eastAsiaTheme="minorEastAsia"/>
          <w:kern w:val="0"/>
          <w:szCs w:val="21"/>
          <w:highlight w:val="none"/>
        </w:rPr>
        <w:t>披露与评价</w:t>
      </w:r>
      <w:r>
        <w:rPr>
          <w:rFonts w:hint="eastAsia" w:cs="宋体" w:asciiTheme="minorEastAsia" w:hAnsiTheme="minorEastAsia" w:eastAsiaTheme="minorEastAsia"/>
          <w:kern w:val="0"/>
          <w:szCs w:val="21"/>
          <w:highlight w:val="none"/>
          <w:lang w:val="en-US" w:eastAsia="zh-CN"/>
        </w:rPr>
        <w:t>指引</w:t>
      </w:r>
      <w:r>
        <w:rPr>
          <w:rFonts w:hint="eastAsia" w:cs="宋体" w:asciiTheme="minorEastAsia" w:hAnsiTheme="minorEastAsia" w:eastAsiaTheme="minorEastAsia"/>
          <w:kern w:val="0"/>
          <w:szCs w:val="21"/>
          <w:highlight w:val="none"/>
        </w:rPr>
        <w:t>》针对典型披露情形，为企业提供碳信息披露规范，引入包括第三方评价和公众监督在内的合规性验证机制，旨在提升企业碳信息披露合规能力，推动全社会碳信息披露数量与质量提升，</w:t>
      </w:r>
      <w:r>
        <w:rPr>
          <w:rFonts w:hint="eastAsia" w:asciiTheme="minorEastAsia" w:hAnsiTheme="minorEastAsia" w:eastAsiaTheme="minorEastAsia"/>
          <w:szCs w:val="21"/>
          <w:highlight w:val="none"/>
        </w:rPr>
        <w:t>拟由三个部分构成。</w:t>
      </w:r>
    </w:p>
    <w:p>
      <w:pPr>
        <w:ind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——第一部分：碳信息合规披露规范。目的在于确定不同层面、不同情形下应遵循的合规原则和要求，指引企业内部碳信息合规管理提升、提升信息披露质量与行动效果。</w:t>
      </w:r>
    </w:p>
    <w:p>
      <w:pPr>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——第二部分：碳信息合规验证规范。目的在于确定碳信息合规性自我声明和第三方验证要求，</w:t>
      </w:r>
      <w:r>
        <w:rPr>
          <w:rFonts w:cs="宋体" w:asciiTheme="minorEastAsia" w:hAnsiTheme="minorEastAsia" w:eastAsiaTheme="minorEastAsia"/>
          <w:kern w:val="0"/>
          <w:szCs w:val="21"/>
          <w:highlight w:val="none"/>
        </w:rPr>
        <w:t>以支持企业</w:t>
      </w:r>
      <w:r>
        <w:rPr>
          <w:rFonts w:hint="eastAsia" w:cs="宋体" w:asciiTheme="minorEastAsia" w:hAnsiTheme="minorEastAsia" w:eastAsiaTheme="minorEastAsia"/>
          <w:kern w:val="0"/>
          <w:szCs w:val="21"/>
          <w:highlight w:val="none"/>
        </w:rPr>
        <w:t>开展碳信息合规验证并支持</w:t>
      </w:r>
      <w:r>
        <w:rPr>
          <w:rFonts w:cs="宋体" w:asciiTheme="minorEastAsia" w:hAnsiTheme="minorEastAsia" w:eastAsiaTheme="minorEastAsia"/>
          <w:kern w:val="0"/>
          <w:szCs w:val="21"/>
          <w:highlight w:val="none"/>
        </w:rPr>
        <w:t>合规</w:t>
      </w:r>
      <w:r>
        <w:rPr>
          <w:rFonts w:hint="eastAsia" w:cs="宋体" w:asciiTheme="minorEastAsia" w:hAnsiTheme="minorEastAsia" w:eastAsiaTheme="minorEastAsia"/>
          <w:kern w:val="0"/>
          <w:szCs w:val="21"/>
          <w:highlight w:val="none"/>
        </w:rPr>
        <w:t>声明</w:t>
      </w:r>
      <w:r>
        <w:rPr>
          <w:rFonts w:cs="宋体" w:asciiTheme="minorEastAsia" w:hAnsiTheme="minorEastAsia" w:eastAsiaTheme="minorEastAsia"/>
          <w:kern w:val="0"/>
          <w:szCs w:val="21"/>
          <w:highlight w:val="none"/>
        </w:rPr>
        <w:t>。</w:t>
      </w:r>
    </w:p>
    <w:p>
      <w:pPr>
        <w:ind w:firstLine="420"/>
        <w:rPr>
          <w:rFonts w:cs="宋体"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——第三部分：碳信息合规性评价规范。目的在于确定</w:t>
      </w:r>
      <w:r>
        <w:rPr>
          <w:rFonts w:hint="eastAsia" w:cs="宋体" w:asciiTheme="minorEastAsia" w:hAnsiTheme="minorEastAsia" w:eastAsiaTheme="minorEastAsia"/>
          <w:kern w:val="0"/>
          <w:szCs w:val="21"/>
          <w:highlight w:val="none"/>
        </w:rPr>
        <w:t>碳信息披露评价方法、</w:t>
      </w:r>
      <w:r>
        <w:rPr>
          <w:rFonts w:cs="宋体" w:asciiTheme="minorEastAsia" w:hAnsiTheme="minorEastAsia" w:eastAsiaTheme="minorEastAsia"/>
          <w:kern w:val="0"/>
          <w:szCs w:val="21"/>
          <w:highlight w:val="none"/>
        </w:rPr>
        <w:t>评价依据</w:t>
      </w:r>
      <w:r>
        <w:rPr>
          <w:rFonts w:hint="eastAsia" w:cs="宋体" w:asciiTheme="minorEastAsia" w:hAnsiTheme="minorEastAsia" w:eastAsiaTheme="minorEastAsia"/>
          <w:kern w:val="0"/>
          <w:szCs w:val="21"/>
          <w:highlight w:val="none"/>
        </w:rPr>
        <w:t>和评价等级，激励企业提升碳信息披露合规性，</w:t>
      </w:r>
      <w:r>
        <w:rPr>
          <w:rFonts w:cs="宋体" w:asciiTheme="minorEastAsia" w:hAnsiTheme="minorEastAsia" w:eastAsiaTheme="minorEastAsia"/>
          <w:kern w:val="0"/>
          <w:szCs w:val="21"/>
          <w:highlight w:val="none"/>
        </w:rPr>
        <w:t>推动行业碳信息披露自律</w:t>
      </w:r>
      <w:r>
        <w:rPr>
          <w:rFonts w:hint="eastAsia" w:cs="宋体" w:asciiTheme="minorEastAsia" w:hAnsiTheme="minorEastAsia" w:eastAsiaTheme="minorEastAsia"/>
          <w:kern w:val="0"/>
          <w:szCs w:val="21"/>
          <w:highlight w:val="none"/>
        </w:rPr>
        <w:t>。</w:t>
      </w:r>
    </w:p>
    <w:p>
      <w:pPr>
        <w:ind w:left="181" w:leftChars="86" w:firstLine="0"/>
        <w:jc w:val="left"/>
        <w:rPr>
          <w:rFonts w:asciiTheme="minorEastAsia" w:hAnsiTheme="minorEastAsia" w:eastAsiaTheme="minorEastAsia"/>
          <w:highlight w:val="none"/>
        </w:rPr>
      </w:pPr>
    </w:p>
    <w:p>
      <w:pPr>
        <w:ind w:left="181" w:leftChars="86" w:firstLine="420"/>
        <w:jc w:val="left"/>
        <w:rPr>
          <w:rFonts w:asciiTheme="minorEastAsia" w:hAnsiTheme="minorEastAsia" w:eastAsiaTheme="minorEastAsia"/>
          <w:highlight w:val="none"/>
        </w:rPr>
      </w:pPr>
      <w:r>
        <w:rPr>
          <w:rFonts w:hint="eastAsia" w:asciiTheme="minorEastAsia" w:hAnsiTheme="minorEastAsia" w:eastAsiaTheme="minorEastAsia"/>
          <w:highlight w:val="none"/>
        </w:rPr>
        <w:t>本文件中能愿动词使用说明：</w:t>
      </w:r>
    </w:p>
    <w:p>
      <w:pPr>
        <w:pStyle w:val="175"/>
        <w:numPr>
          <w:ilvl w:val="0"/>
          <w:numId w:val="20"/>
        </w:numPr>
        <w:ind w:left="601" w:leftChars="286" w:firstLineChars="0"/>
        <w:jc w:val="left"/>
        <w:rPr>
          <w:rFonts w:asciiTheme="minorEastAsia" w:hAnsiTheme="minorEastAsia" w:eastAsiaTheme="minorEastAsia"/>
          <w:highlight w:val="none"/>
        </w:rPr>
      </w:pPr>
      <w:r>
        <w:rPr>
          <w:rFonts w:hint="eastAsia" w:asciiTheme="minorEastAsia" w:hAnsiTheme="minorEastAsia" w:eastAsiaTheme="minorEastAsia"/>
          <w:highlight w:val="none"/>
        </w:rPr>
        <w:t>“应”和“不应”表示需要满足要求</w:t>
      </w:r>
      <w:r>
        <w:rPr>
          <w:rFonts w:asciiTheme="minorEastAsia" w:hAnsiTheme="minorEastAsia" w:eastAsiaTheme="minorEastAsia"/>
          <w:highlight w:val="none"/>
        </w:rPr>
        <w:t>;</w:t>
      </w:r>
    </w:p>
    <w:p>
      <w:pPr>
        <w:pStyle w:val="175"/>
        <w:numPr>
          <w:ilvl w:val="0"/>
          <w:numId w:val="20"/>
        </w:numPr>
        <w:ind w:left="601" w:leftChars="286" w:firstLineChars="0"/>
        <w:jc w:val="left"/>
        <w:rPr>
          <w:rFonts w:asciiTheme="minorEastAsia" w:hAnsiTheme="minorEastAsia" w:eastAsiaTheme="minorEastAsia"/>
          <w:highlight w:val="none"/>
        </w:rPr>
      </w:pPr>
      <w:r>
        <w:rPr>
          <w:rFonts w:hint="eastAsia" w:asciiTheme="minorEastAsia" w:hAnsiTheme="minorEastAsia" w:eastAsiaTheme="minorEastAsia"/>
          <w:highlight w:val="none"/>
        </w:rPr>
        <w:t>“宜”表示建议和推荐</w:t>
      </w:r>
      <w:r>
        <w:rPr>
          <w:rFonts w:asciiTheme="minorEastAsia" w:hAnsiTheme="minorEastAsia" w:eastAsiaTheme="minorEastAsia"/>
          <w:highlight w:val="none"/>
        </w:rPr>
        <w:t>;</w:t>
      </w:r>
    </w:p>
    <w:p>
      <w:pPr>
        <w:pStyle w:val="175"/>
        <w:numPr>
          <w:ilvl w:val="0"/>
          <w:numId w:val="20"/>
        </w:numPr>
        <w:ind w:left="601" w:leftChars="286" w:firstLineChars="0"/>
        <w:jc w:val="left"/>
        <w:rPr>
          <w:rFonts w:asciiTheme="minorEastAsia" w:hAnsiTheme="minorEastAsia" w:eastAsiaTheme="minorEastAsia"/>
          <w:highlight w:val="none"/>
        </w:rPr>
      </w:pPr>
      <w:r>
        <w:rPr>
          <w:rFonts w:asciiTheme="minorEastAsia" w:hAnsiTheme="minorEastAsia" w:eastAsiaTheme="minorEastAsia"/>
          <w:highlight w:val="none"/>
        </w:rPr>
        <w:t>“</w:t>
      </w:r>
      <w:r>
        <w:rPr>
          <w:rFonts w:hint="eastAsia" w:asciiTheme="minorEastAsia" w:hAnsiTheme="minorEastAsia" w:eastAsiaTheme="minorEastAsia"/>
          <w:highlight w:val="none"/>
        </w:rPr>
        <w:t>可”表示允许。</w:t>
      </w:r>
    </w:p>
    <w:p>
      <w:pPr>
        <w:ind w:firstLine="420"/>
        <w:rPr>
          <w:rFonts w:asciiTheme="minorEastAsia" w:hAnsiTheme="minorEastAsia" w:eastAsiaTheme="minorEastAsia"/>
          <w:highlight w:val="none"/>
        </w:rPr>
        <w:sectPr>
          <w:pgSz w:w="11906" w:h="16838"/>
          <w:pgMar w:top="567" w:right="1134" w:bottom="1134" w:left="1418" w:header="1418" w:footer="1134" w:gutter="0"/>
          <w:pgNumType w:fmt="upperRoman" w:start="1"/>
          <w:cols w:space="720" w:num="1"/>
          <w:formProt w:val="0"/>
          <w:docGrid w:type="lines" w:linePitch="312" w:charSpace="0"/>
        </w:sectPr>
      </w:pPr>
      <w:r>
        <w:rPr>
          <w:rFonts w:asciiTheme="minorEastAsia" w:hAnsiTheme="minorEastAsia" w:eastAsiaTheme="minorEastAsia"/>
          <w:highlight w:val="none"/>
        </w:rPr>
        <w:t xml:space="preserve"> </w:t>
      </w:r>
    </w:p>
    <w:p>
      <w:pPr>
        <w:widowControl/>
        <w:spacing w:before="567" w:after="680"/>
        <w:jc w:val="center"/>
        <w:rPr>
          <w:rFonts w:ascii="黑体" w:hAnsi="黑体" w:eastAsia="黑体"/>
          <w:bCs/>
          <w:sz w:val="32"/>
          <w:szCs w:val="32"/>
          <w:highlight w:val="none"/>
        </w:rPr>
      </w:pPr>
      <w:r>
        <w:rPr>
          <w:rFonts w:hint="eastAsia" w:ascii="黑体" w:hAnsi="黑体" w:eastAsia="黑体"/>
          <w:bCs/>
          <w:sz w:val="32"/>
          <w:szCs w:val="32"/>
          <w:highlight w:val="none"/>
        </w:rPr>
        <w:t>企业碳信息</w:t>
      </w:r>
      <w:r>
        <w:rPr>
          <w:rFonts w:hint="eastAsia" w:ascii="黑体" w:hAnsi="黑体" w:eastAsia="黑体"/>
          <w:bCs/>
          <w:sz w:val="32"/>
          <w:szCs w:val="32"/>
          <w:highlight w:val="none"/>
          <w:lang w:val="en-US" w:eastAsia="zh-CN"/>
        </w:rPr>
        <w:t>合规</w:t>
      </w:r>
      <w:r>
        <w:rPr>
          <w:rFonts w:hint="eastAsia" w:ascii="黑体" w:hAnsi="黑体" w:eastAsia="黑体"/>
          <w:bCs/>
          <w:sz w:val="32"/>
          <w:szCs w:val="32"/>
          <w:highlight w:val="none"/>
        </w:rPr>
        <w:t>披露与评价</w:t>
      </w:r>
      <w:r>
        <w:rPr>
          <w:rFonts w:hint="eastAsia" w:ascii="黑体" w:hAnsi="黑体" w:eastAsia="黑体"/>
          <w:bCs/>
          <w:sz w:val="32"/>
          <w:szCs w:val="32"/>
          <w:highlight w:val="none"/>
          <w:lang w:val="en-US" w:eastAsia="zh-CN"/>
        </w:rPr>
        <w:t>指引</w:t>
      </w:r>
    </w:p>
    <w:p>
      <w:pPr>
        <w:pStyle w:val="2"/>
        <w:spacing w:before="120" w:after="120"/>
        <w:rPr>
          <w:rFonts w:ascii="黑体" w:hAnsi="黑体" w:eastAsia="黑体"/>
          <w:b w:val="0"/>
          <w:sz w:val="21"/>
          <w:szCs w:val="21"/>
          <w:highlight w:val="none"/>
        </w:rPr>
      </w:pPr>
      <w:bookmarkStart w:id="6" w:name="_Toc166611358"/>
      <w:r>
        <w:rPr>
          <w:rFonts w:ascii="黑体" w:hAnsi="黑体" w:eastAsia="黑体"/>
          <w:b w:val="0"/>
          <w:sz w:val="21"/>
          <w:szCs w:val="21"/>
          <w:highlight w:val="none"/>
        </w:rPr>
        <w:t>1 范围</w:t>
      </w:r>
      <w:bookmarkEnd w:id="6"/>
    </w:p>
    <w:p>
      <w:pPr>
        <w:ind w:firstLine="420"/>
        <w:rPr>
          <w:highlight w:val="none"/>
        </w:rPr>
      </w:pPr>
      <w:r>
        <w:rPr>
          <w:rFonts w:hint="eastAsia"/>
          <w:highlight w:val="none"/>
        </w:rPr>
        <w:t>本文件规定了企业碳信息合规披露的原则，典型情形的披露要求、合规性验证与评价方法。</w:t>
      </w:r>
    </w:p>
    <w:p>
      <w:pPr>
        <w:ind w:firstLine="420"/>
        <w:rPr>
          <w:highlight w:val="none"/>
        </w:rPr>
      </w:pPr>
      <w:r>
        <w:rPr>
          <w:rFonts w:hint="eastAsia"/>
          <w:highlight w:val="none"/>
        </w:rPr>
        <w:t>本文件适用于除政策法规要求的披露情形以外，企业向公众或特定对象描述企业经营活动相关的温室气体排放情况、减缓气候变化的行动与成效，并对所披露信息做出合规性声明，和/或开展合规性评价。</w:t>
      </w:r>
    </w:p>
    <w:p>
      <w:pPr>
        <w:ind w:firstLine="420"/>
        <w:rPr>
          <w:highlight w:val="none"/>
        </w:rPr>
      </w:pPr>
      <w:r>
        <w:rPr>
          <w:rFonts w:hint="eastAsia"/>
          <w:highlight w:val="none"/>
        </w:rPr>
        <w:t>根据本文件做</w:t>
      </w:r>
      <w:r>
        <w:rPr>
          <w:highlight w:val="none"/>
        </w:rPr>
        <w:t>出</w:t>
      </w:r>
      <w:r>
        <w:rPr>
          <w:rFonts w:hint="eastAsia"/>
          <w:highlight w:val="none"/>
        </w:rPr>
        <w:t>的合规性验证和/或评价，可作为企业碳信息披露的补充内容，表明所披露内容已经遵循的标准和规范。</w:t>
      </w:r>
    </w:p>
    <w:p>
      <w:pPr>
        <w:pStyle w:val="2"/>
        <w:spacing w:before="120" w:after="120"/>
        <w:rPr>
          <w:rFonts w:ascii="黑体" w:hAnsi="黑体" w:eastAsia="黑体"/>
          <w:b w:val="0"/>
          <w:sz w:val="21"/>
          <w:szCs w:val="21"/>
          <w:highlight w:val="none"/>
        </w:rPr>
      </w:pPr>
      <w:bookmarkStart w:id="7" w:name="_Toc166611359"/>
      <w:r>
        <w:rPr>
          <w:rFonts w:ascii="黑体" w:hAnsi="黑体" w:eastAsia="黑体"/>
          <w:b w:val="0"/>
          <w:sz w:val="21"/>
          <w:szCs w:val="21"/>
          <w:highlight w:val="none"/>
        </w:rPr>
        <w:t xml:space="preserve">2 </w:t>
      </w:r>
      <w:r>
        <w:rPr>
          <w:rFonts w:hint="eastAsia" w:ascii="黑体" w:hAnsi="黑体" w:eastAsia="黑体"/>
          <w:b w:val="0"/>
          <w:sz w:val="21"/>
          <w:szCs w:val="21"/>
          <w:highlight w:val="none"/>
        </w:rPr>
        <w:t>规范性引用文件</w:t>
      </w:r>
      <w:bookmarkEnd w:id="7"/>
    </w:p>
    <w:p>
      <w:pPr>
        <w:ind w:firstLine="420"/>
        <w:rPr>
          <w:highlight w:val="none"/>
        </w:rPr>
      </w:pPr>
      <w:r>
        <w:rPr>
          <w:rFonts w:hint="eastAsia"/>
          <w:highlight w:val="none"/>
        </w:rPr>
        <w:t>下列文件中的内容通过文中的规范性引用而构成本文件必不可少的条款。其中，注日期的引用文件，仅该日期对</w:t>
      </w:r>
      <w:r>
        <w:rPr>
          <w:rFonts w:hint="eastAsia"/>
          <w:bCs/>
          <w:highlight w:val="none"/>
        </w:rPr>
        <w:t>应</w:t>
      </w:r>
      <w:r>
        <w:rPr>
          <w:rFonts w:hint="eastAsia"/>
          <w:highlight w:val="none"/>
        </w:rPr>
        <w:t>的版本适用于本文件；不注日期的引用文件，其最新版本（包括所有的修改单）适用于本文件。</w:t>
      </w:r>
    </w:p>
    <w:p>
      <w:pPr>
        <w:ind w:firstLine="420"/>
        <w:rPr>
          <w:highlight w:val="none"/>
        </w:rPr>
      </w:pPr>
      <w:r>
        <w:rPr>
          <w:highlight w:val="none"/>
        </w:rPr>
        <w:t>GB/T 32150</w:t>
      </w:r>
      <w:r>
        <w:rPr>
          <w:rFonts w:hint="eastAsia"/>
          <w:highlight w:val="none"/>
        </w:rPr>
        <w:t xml:space="preserve"> 工业企业温室气体排放核算和报告通则</w:t>
      </w:r>
    </w:p>
    <w:p>
      <w:pPr>
        <w:ind w:firstLine="420"/>
        <w:rPr>
          <w:highlight w:val="none"/>
        </w:rPr>
      </w:pPr>
      <w:r>
        <w:rPr>
          <w:rFonts w:hint="eastAsia"/>
          <w:highlight w:val="none"/>
        </w:rPr>
        <w:t xml:space="preserve">ISO IWA 42:2022 净零指南 (ISO IWA 421:2022 Net Zero Guidances) </w:t>
      </w:r>
    </w:p>
    <w:p>
      <w:pPr>
        <w:ind w:firstLine="420"/>
        <w:rPr>
          <w:highlight w:val="none"/>
        </w:rPr>
      </w:pPr>
      <w:r>
        <w:rPr>
          <w:rFonts w:hint="eastAsia"/>
          <w:highlight w:val="none"/>
        </w:rPr>
        <w:t>ISO 14064-1 温室气体 第 1 部分：组织层面量化和报告温室气体排放和清除的规范和指导 (Greenhouse gases — Part 1: Specification with guidance at the organization level for quantification and reporting of greenhouse gas emissions and removals)</w:t>
      </w:r>
    </w:p>
    <w:p>
      <w:pPr>
        <w:ind w:firstLine="420"/>
        <w:rPr>
          <w:highlight w:val="none"/>
        </w:rPr>
      </w:pPr>
      <w:r>
        <w:rPr>
          <w:rFonts w:hint="eastAsia"/>
          <w:highlight w:val="none"/>
        </w:rPr>
        <w:t>ISO 14064-3 温室气体 第 3 部分：温室气体声明审定与核查的规范及指南 (</w:t>
      </w:r>
      <w:r>
        <w:rPr>
          <w:highlight w:val="none"/>
        </w:rPr>
        <w:t>Greenhouse gases</w:t>
      </w:r>
      <w:r>
        <w:rPr>
          <w:rFonts w:hint="eastAsia"/>
          <w:highlight w:val="none"/>
        </w:rPr>
        <w:t>—</w:t>
      </w:r>
      <w:r>
        <w:rPr>
          <w:highlight w:val="none"/>
        </w:rPr>
        <w:t>Part 3: Specification with guidance for the verification and validation of greenhouse gas statements</w:t>
      </w:r>
      <w:r>
        <w:rPr>
          <w:rFonts w:hint="eastAsia"/>
          <w:highlight w:val="none"/>
        </w:rPr>
        <w:t>)</w:t>
      </w:r>
    </w:p>
    <w:p>
      <w:pPr>
        <w:ind w:firstLine="420"/>
        <w:rPr>
          <w:highlight w:val="none"/>
        </w:rPr>
      </w:pPr>
      <w:r>
        <w:rPr>
          <w:rFonts w:hint="eastAsia"/>
          <w:highlight w:val="none"/>
        </w:rPr>
        <w:t>ISO 14067-1 温室气体 产品的碳足迹-量化要求和指南 (Greenhouse gases — Carbon footprint of products—Requirements and guidelines for quantification)</w:t>
      </w:r>
    </w:p>
    <w:p>
      <w:pPr>
        <w:ind w:firstLine="420"/>
        <w:rPr>
          <w:highlight w:val="none"/>
        </w:rPr>
      </w:pPr>
      <w:r>
        <w:rPr>
          <w:rFonts w:hint="eastAsia"/>
          <w:highlight w:val="none"/>
        </w:rPr>
        <w:t>ISO 14068-1 气候变化管理 向净零过渡 第1部分 — 碳中和 (Climate change management — Transition to net zero — Part 1: Carbon neutrality)</w:t>
      </w:r>
    </w:p>
    <w:p>
      <w:pPr>
        <w:ind w:firstLine="420"/>
        <w:rPr>
          <w:rFonts w:hint="eastAsia"/>
          <w:highlight w:val="none"/>
        </w:rPr>
      </w:pPr>
      <w:r>
        <w:rPr>
          <w:highlight w:val="none"/>
        </w:rPr>
        <w:t>ISO/IEC 17029</w:t>
      </w:r>
      <w:r>
        <w:rPr>
          <w:rFonts w:hint="eastAsia"/>
          <w:highlight w:val="none"/>
        </w:rPr>
        <w:t xml:space="preserve"> </w:t>
      </w:r>
      <w:r>
        <w:rPr>
          <w:highlight w:val="none"/>
        </w:rPr>
        <w:t>合格评定 审定与核查机构通用原则和要求</w:t>
      </w:r>
      <w:r>
        <w:rPr>
          <w:rFonts w:hint="eastAsia"/>
          <w:highlight w:val="none"/>
        </w:rPr>
        <w:t xml:space="preserve"> (</w:t>
      </w:r>
      <w:r>
        <w:rPr>
          <w:rFonts w:ascii="Times New Roman" w:hAnsi="Times New Roman"/>
          <w:color w:val="auto"/>
          <w:sz w:val="21"/>
          <w:szCs w:val="24"/>
          <w:highlight w:val="none"/>
          <w:shd w:val="clear" w:color="auto" w:fill="auto"/>
        </w:rPr>
        <w:t>Conformity assessment — General principles and requirements for validation and verification bodies</w:t>
      </w:r>
      <w:r>
        <w:rPr>
          <w:rFonts w:hint="eastAsia" w:ascii="Times New Roman" w:hAnsi="Times New Roman"/>
          <w:color w:val="auto"/>
          <w:sz w:val="21"/>
          <w:szCs w:val="24"/>
          <w:highlight w:val="none"/>
          <w:shd w:val="clear" w:color="auto" w:fill="auto"/>
        </w:rPr>
        <w:t>)</w:t>
      </w:r>
    </w:p>
    <w:p>
      <w:pPr>
        <w:ind w:firstLine="420"/>
        <w:rPr>
          <w:rFonts w:hint="eastAsia"/>
          <w:highlight w:val="none"/>
        </w:rPr>
      </w:pPr>
      <w:r>
        <w:rPr>
          <w:rFonts w:hint="eastAsia"/>
          <w:highlight w:val="none"/>
        </w:rPr>
        <w:t>ISO 37301 合规管理体系 要求及使用指南 (</w:t>
      </w:r>
      <w:r>
        <w:rPr>
          <w:highlight w:val="none"/>
        </w:rPr>
        <w:t>Compliance management systems — Requirements with guidance for use</w:t>
      </w:r>
      <w:r>
        <w:rPr>
          <w:rFonts w:hint="eastAsia"/>
          <w:highlight w:val="none"/>
        </w:rPr>
        <w:t>)</w:t>
      </w:r>
    </w:p>
    <w:p>
      <w:pPr>
        <w:ind w:firstLine="420"/>
        <w:rPr>
          <w:highlight w:val="none"/>
        </w:rPr>
      </w:pPr>
      <w:r>
        <w:rPr>
          <w:rFonts w:hint="eastAsia"/>
          <w:highlight w:val="none"/>
        </w:rPr>
        <w:t>世界自然资源研究所（WRI）与世界企业永续发展委员会（WBSCD）温室气体核算体系 企业核算与报告标准</w:t>
      </w:r>
      <w:r>
        <w:rPr>
          <w:highlight w:val="none"/>
        </w:rPr>
        <w:t>(The Greenhouse Gas Protocol-A Corporate Accounting and Reporting Standard Revised Edition)</w:t>
      </w:r>
    </w:p>
    <w:p>
      <w:pPr>
        <w:ind w:firstLine="420"/>
        <w:rPr>
          <w:highlight w:val="none"/>
        </w:rPr>
      </w:pPr>
      <w:r>
        <w:rPr>
          <w:rFonts w:hint="eastAsia"/>
          <w:highlight w:val="none"/>
        </w:rPr>
        <w:t>政府间气候变化专门委员会（IPCC）第六次评估报告第三工作组报告 气候变化2022：减缓气候变化 (IPCC Six Assessment Report-Working Group III (AR6 WGIII) Climate Change 2022: Mitigation of Climate Change)</w:t>
      </w:r>
    </w:p>
    <w:p>
      <w:pPr>
        <w:pStyle w:val="2"/>
        <w:spacing w:before="120" w:after="120"/>
        <w:rPr>
          <w:rFonts w:ascii="黑体" w:hAnsi="黑体" w:eastAsia="黑体"/>
          <w:b w:val="0"/>
          <w:sz w:val="21"/>
          <w:szCs w:val="21"/>
          <w:highlight w:val="none"/>
        </w:rPr>
      </w:pPr>
      <w:bookmarkStart w:id="8" w:name="_Toc166611360"/>
      <w:r>
        <w:rPr>
          <w:rFonts w:ascii="黑体" w:hAnsi="黑体" w:eastAsia="黑体"/>
          <w:b w:val="0"/>
          <w:sz w:val="21"/>
          <w:szCs w:val="21"/>
          <w:highlight w:val="none"/>
        </w:rPr>
        <w:t xml:space="preserve">3 </w:t>
      </w:r>
      <w:r>
        <w:rPr>
          <w:rFonts w:hint="eastAsia" w:ascii="黑体" w:hAnsi="黑体" w:eastAsia="黑体"/>
          <w:b w:val="0"/>
          <w:sz w:val="21"/>
          <w:szCs w:val="21"/>
          <w:highlight w:val="none"/>
        </w:rPr>
        <w:t>术语和定义</w:t>
      </w:r>
      <w:bookmarkEnd w:id="8"/>
    </w:p>
    <w:p>
      <w:pPr>
        <w:ind w:firstLine="420"/>
        <w:rPr>
          <w:highlight w:val="none"/>
        </w:rPr>
      </w:pPr>
      <w:r>
        <w:rPr>
          <w:highlight w:val="none"/>
        </w:rPr>
        <w:t>GB/T 32150</w:t>
      </w:r>
      <w:r>
        <w:rPr>
          <w:rFonts w:hint="eastAsia"/>
          <w:highlight w:val="none"/>
        </w:rPr>
        <w:t>、ISO IWA 42:2022、ISO 14064-1、ISO 14064-3、</w:t>
      </w:r>
      <w:r>
        <w:rPr>
          <w:highlight w:val="none"/>
        </w:rPr>
        <w:t>ISO/IEC 17029</w:t>
      </w:r>
      <w:r>
        <w:rPr>
          <w:rFonts w:hint="eastAsia"/>
          <w:highlight w:val="none"/>
        </w:rPr>
        <w:t xml:space="preserve">、ISO 37301温室气体核算体系（GHGP）和IPCC </w:t>
      </w:r>
      <w:r>
        <w:rPr>
          <w:highlight w:val="none"/>
        </w:rPr>
        <w:t>AR6 WGIII</w:t>
      </w:r>
      <w:r>
        <w:rPr>
          <w:rFonts w:hint="eastAsia"/>
          <w:highlight w:val="none"/>
        </w:rPr>
        <w:t>界定的以及下列术语和定义适用于本文件。</w:t>
      </w:r>
    </w:p>
    <w:p>
      <w:pPr>
        <w:pStyle w:val="3"/>
        <w:spacing w:before="0" w:after="120"/>
        <w:rPr>
          <w:rFonts w:ascii="黑体" w:hAnsi="黑体" w:eastAsia="黑体"/>
          <w:b w:val="0"/>
          <w:sz w:val="21"/>
          <w:szCs w:val="21"/>
          <w:highlight w:val="none"/>
        </w:rPr>
      </w:pPr>
      <w:bookmarkStart w:id="9" w:name="_Toc166611361"/>
      <w:r>
        <w:rPr>
          <w:rFonts w:ascii="黑体" w:hAnsi="黑体" w:eastAsia="黑体"/>
          <w:b w:val="0"/>
          <w:sz w:val="21"/>
          <w:szCs w:val="21"/>
          <w:highlight w:val="none"/>
        </w:rPr>
        <w:t xml:space="preserve">3.1 </w:t>
      </w:r>
      <w:r>
        <w:rPr>
          <w:rFonts w:hint="eastAsia" w:ascii="黑体" w:hAnsi="黑体" w:eastAsia="黑体"/>
          <w:b w:val="0"/>
          <w:sz w:val="21"/>
          <w:szCs w:val="21"/>
          <w:highlight w:val="none"/>
        </w:rPr>
        <w:t>与温室气体相关的术语</w:t>
      </w:r>
      <w:bookmarkEnd w:id="9"/>
    </w:p>
    <w:p>
      <w:pPr>
        <w:rPr>
          <w:rFonts w:ascii="黑体" w:hAnsi="黑体" w:eastAsia="黑体"/>
          <w:highlight w:val="none"/>
        </w:rPr>
      </w:pPr>
      <w:r>
        <w:rPr>
          <w:rFonts w:ascii="黑体" w:hAnsi="黑体" w:eastAsia="黑体"/>
          <w:highlight w:val="none"/>
        </w:rPr>
        <w:t>3.1.1</w:t>
      </w:r>
    </w:p>
    <w:p>
      <w:pPr>
        <w:ind w:firstLine="420"/>
        <w:rPr>
          <w:rFonts w:eastAsia="黑体"/>
          <w:b/>
          <w:highlight w:val="none"/>
        </w:rPr>
      </w:pPr>
      <w:r>
        <w:rPr>
          <w:rFonts w:hint="eastAsia" w:ascii="黑体" w:hAnsi="黑体" w:eastAsia="黑体"/>
          <w:bCs/>
          <w:highlight w:val="none"/>
        </w:rPr>
        <w:t xml:space="preserve">温室气体 </w:t>
      </w:r>
      <w:r>
        <w:rPr>
          <w:rFonts w:eastAsia="黑体"/>
          <w:b/>
          <w:highlight w:val="none"/>
        </w:rPr>
        <w:t>greenhouse gas</w:t>
      </w:r>
      <w:r>
        <w:rPr>
          <w:rFonts w:hint="eastAsia" w:eastAsia="黑体"/>
          <w:b/>
          <w:highlight w:val="none"/>
        </w:rPr>
        <w:t xml:space="preserve"> (GHG)</w:t>
      </w:r>
    </w:p>
    <w:p>
      <w:pPr>
        <w:ind w:firstLine="420"/>
        <w:rPr>
          <w:highlight w:val="none"/>
        </w:rPr>
      </w:pPr>
      <w:r>
        <w:rPr>
          <w:rFonts w:hint="eastAsia"/>
          <w:highlight w:val="none"/>
        </w:rPr>
        <w:t>大气层中自然存在的和由于人类活动产生的能够吸收和散发由地球表面、大气层和云层所产生的、波长在红外光谱内的辐射的气态成分。</w:t>
      </w:r>
    </w:p>
    <w:p>
      <w:pPr>
        <w:ind w:left="420" w:leftChars="200" w:firstLine="0"/>
        <w:rPr>
          <w:sz w:val="18"/>
          <w:szCs w:val="18"/>
          <w:highlight w:val="none"/>
        </w:rPr>
      </w:pPr>
      <w:r>
        <w:rPr>
          <w:rFonts w:hint="eastAsia" w:ascii="黑体" w:hAnsi="黑体" w:eastAsia="黑体"/>
          <w:sz w:val="18"/>
          <w:szCs w:val="18"/>
          <w:highlight w:val="none"/>
        </w:rPr>
        <w:t>注：</w:t>
      </w:r>
      <w:r>
        <w:rPr>
          <w:rFonts w:hint="eastAsia"/>
          <w:sz w:val="18"/>
          <w:szCs w:val="18"/>
          <w:highlight w:val="none"/>
        </w:rPr>
        <w:t>如无特别说明，本标准中的温室气体包括二氧化碳</w:t>
      </w:r>
      <w:r>
        <w:rPr>
          <w:sz w:val="18"/>
          <w:szCs w:val="18"/>
          <w:highlight w:val="none"/>
        </w:rPr>
        <w:t>(CO</w:t>
      </w:r>
      <w:r>
        <w:rPr>
          <w:rFonts w:cs="宋体" w:asciiTheme="minorEastAsia" w:hAnsiTheme="minorEastAsia" w:eastAsiaTheme="minorEastAsia"/>
          <w:color w:val="1F2329"/>
          <w:kern w:val="0"/>
          <w:sz w:val="18"/>
          <w:szCs w:val="18"/>
          <w:highlight w:val="none"/>
          <w:vertAlign w:val="subscript"/>
        </w:rPr>
        <w:t>2</w:t>
      </w:r>
      <w:r>
        <w:rPr>
          <w:sz w:val="18"/>
          <w:szCs w:val="18"/>
          <w:highlight w:val="none"/>
        </w:rPr>
        <w:t>)</w:t>
      </w:r>
      <w:r>
        <w:rPr>
          <w:rFonts w:hint="eastAsia"/>
          <w:sz w:val="18"/>
          <w:szCs w:val="18"/>
          <w:highlight w:val="none"/>
        </w:rPr>
        <w:t>、甲烷</w:t>
      </w:r>
      <w:r>
        <w:rPr>
          <w:sz w:val="18"/>
          <w:szCs w:val="18"/>
          <w:highlight w:val="none"/>
        </w:rPr>
        <w:t>(CH</w:t>
      </w:r>
      <w:r>
        <w:rPr>
          <w:sz w:val="18"/>
          <w:szCs w:val="18"/>
          <w:highlight w:val="none"/>
          <w:vertAlign w:val="subscript"/>
        </w:rPr>
        <w:t>4</w:t>
      </w:r>
      <w:r>
        <w:rPr>
          <w:sz w:val="18"/>
          <w:szCs w:val="18"/>
          <w:highlight w:val="none"/>
        </w:rPr>
        <w:t>)</w:t>
      </w:r>
      <w:r>
        <w:rPr>
          <w:rFonts w:hint="eastAsia"/>
          <w:sz w:val="18"/>
          <w:szCs w:val="18"/>
          <w:highlight w:val="none"/>
        </w:rPr>
        <w:t>、氧化亚氮</w:t>
      </w:r>
      <w:r>
        <w:rPr>
          <w:sz w:val="18"/>
          <w:szCs w:val="18"/>
          <w:highlight w:val="none"/>
        </w:rPr>
        <w:t>(N</w:t>
      </w:r>
      <w:r>
        <w:rPr>
          <w:sz w:val="18"/>
          <w:szCs w:val="18"/>
          <w:highlight w:val="none"/>
          <w:vertAlign w:val="subscript"/>
        </w:rPr>
        <w:t>2</w:t>
      </w:r>
      <w:r>
        <w:rPr>
          <w:sz w:val="18"/>
          <w:szCs w:val="18"/>
          <w:highlight w:val="none"/>
        </w:rPr>
        <w:t>O)</w:t>
      </w:r>
      <w:r>
        <w:rPr>
          <w:rFonts w:hint="eastAsia"/>
          <w:sz w:val="18"/>
          <w:szCs w:val="18"/>
          <w:highlight w:val="none"/>
        </w:rPr>
        <w:t>、氢氟碳化物</w:t>
      </w:r>
      <w:r>
        <w:rPr>
          <w:sz w:val="18"/>
          <w:szCs w:val="18"/>
          <w:highlight w:val="none"/>
        </w:rPr>
        <w:t>(HFCs)</w:t>
      </w:r>
      <w:r>
        <w:rPr>
          <w:rFonts w:hint="eastAsia"/>
          <w:sz w:val="18"/>
          <w:szCs w:val="18"/>
          <w:highlight w:val="none"/>
        </w:rPr>
        <w:t>、全氟碳化物</w:t>
      </w:r>
      <w:r>
        <w:rPr>
          <w:sz w:val="18"/>
          <w:szCs w:val="18"/>
          <w:highlight w:val="none"/>
        </w:rPr>
        <w:t>(PFC</w:t>
      </w:r>
      <w:r>
        <w:rPr>
          <w:rFonts w:hint="eastAsia"/>
          <w:sz w:val="18"/>
          <w:szCs w:val="18"/>
          <w:highlight w:val="none"/>
        </w:rPr>
        <w:t>s</w:t>
      </w:r>
      <w:r>
        <w:rPr>
          <w:sz w:val="18"/>
          <w:szCs w:val="18"/>
          <w:highlight w:val="none"/>
        </w:rPr>
        <w:t>)</w:t>
      </w:r>
      <w:r>
        <w:rPr>
          <w:rFonts w:hint="eastAsia"/>
          <w:sz w:val="18"/>
          <w:szCs w:val="18"/>
          <w:highlight w:val="none"/>
        </w:rPr>
        <w:t>、六氟化硫</w:t>
      </w:r>
      <w:r>
        <w:rPr>
          <w:sz w:val="18"/>
          <w:szCs w:val="18"/>
          <w:highlight w:val="none"/>
        </w:rPr>
        <w:t>(SF</w:t>
      </w:r>
      <w:r>
        <w:rPr>
          <w:sz w:val="18"/>
          <w:szCs w:val="18"/>
          <w:highlight w:val="none"/>
          <w:vertAlign w:val="subscript"/>
        </w:rPr>
        <w:t>6</w:t>
      </w:r>
      <w:r>
        <w:rPr>
          <w:sz w:val="18"/>
          <w:szCs w:val="18"/>
          <w:highlight w:val="none"/>
        </w:rPr>
        <w:t>)</w:t>
      </w:r>
      <w:r>
        <w:rPr>
          <w:rFonts w:hint="eastAsia"/>
          <w:sz w:val="18"/>
          <w:szCs w:val="18"/>
          <w:highlight w:val="none"/>
        </w:rPr>
        <w:t>与三氟化氮</w:t>
      </w:r>
      <w:r>
        <w:rPr>
          <w:sz w:val="18"/>
          <w:szCs w:val="18"/>
          <w:highlight w:val="none"/>
        </w:rPr>
        <w:t>(NF</w:t>
      </w:r>
      <w:r>
        <w:rPr>
          <w:sz w:val="18"/>
          <w:szCs w:val="18"/>
          <w:highlight w:val="none"/>
          <w:vertAlign w:val="subscript"/>
        </w:rPr>
        <w:t>3</w:t>
      </w:r>
      <w:bookmarkStart w:id="10" w:name="_Int_WpHgOdFq"/>
      <w:r>
        <w:rPr>
          <w:sz w:val="18"/>
          <w:szCs w:val="18"/>
          <w:highlight w:val="none"/>
        </w:rPr>
        <w:t>)</w:t>
      </w:r>
      <w:r>
        <w:rPr>
          <w:rFonts w:hint="eastAsia"/>
          <w:sz w:val="18"/>
          <w:szCs w:val="18"/>
          <w:highlight w:val="none"/>
        </w:rPr>
        <w:t>。</w:t>
      </w:r>
      <w:bookmarkEnd w:id="10"/>
    </w:p>
    <w:p>
      <w:pPr>
        <w:ind w:firstLine="420"/>
        <w:rPr>
          <w:rFonts w:ascii="宋体" w:hAnsi="宋体"/>
          <w:bCs/>
          <w:highlight w:val="none"/>
        </w:rPr>
      </w:pPr>
      <w:r>
        <w:rPr>
          <w:rFonts w:ascii="宋体" w:hAnsi="宋体"/>
          <w:bCs/>
          <w:highlight w:val="none"/>
        </w:rPr>
        <w:t>[来源：</w:t>
      </w:r>
      <w:r>
        <w:rPr>
          <w:bCs/>
          <w:highlight w:val="none"/>
        </w:rPr>
        <w:t>GB/T 32150—2015，3.1</w:t>
      </w:r>
      <w:r>
        <w:rPr>
          <w:rFonts w:ascii="宋体" w:hAnsi="宋体"/>
          <w:bCs/>
          <w:highlight w:val="none"/>
        </w:rPr>
        <w:t>]</w:t>
      </w:r>
    </w:p>
    <w:p>
      <w:pPr>
        <w:rPr>
          <w:rFonts w:ascii="黑体" w:hAnsi="黑体" w:eastAsia="黑体"/>
          <w:highlight w:val="none"/>
        </w:rPr>
      </w:pPr>
      <w:r>
        <w:rPr>
          <w:rFonts w:hint="eastAsia" w:ascii="黑体" w:hAnsi="黑体" w:eastAsia="黑体"/>
          <w:highlight w:val="none"/>
        </w:rPr>
        <w:t>3.1.2</w:t>
      </w:r>
    </w:p>
    <w:p>
      <w:pPr>
        <w:ind w:firstLine="420"/>
        <w:rPr>
          <w:rFonts w:eastAsia="黑体"/>
          <w:bCs/>
          <w:highlight w:val="none"/>
        </w:rPr>
      </w:pPr>
      <w:r>
        <w:rPr>
          <w:rFonts w:hint="eastAsia" w:ascii="黑体" w:hAnsi="黑体" w:eastAsia="黑体"/>
          <w:bCs/>
          <w:highlight w:val="none"/>
        </w:rPr>
        <w:t>碳排放</w:t>
      </w:r>
      <w:r>
        <w:rPr>
          <w:rFonts w:eastAsia="黑体"/>
          <w:b/>
          <w:highlight w:val="none"/>
        </w:rPr>
        <w:t>carbon emission</w:t>
      </w:r>
    </w:p>
    <w:p>
      <w:pPr>
        <w:ind w:firstLine="420"/>
        <w:rPr>
          <w:rFonts w:ascii="黑体" w:hAnsi="黑体" w:eastAsia="黑体"/>
          <w:bCs/>
          <w:highlight w:val="none"/>
        </w:rPr>
      </w:pPr>
      <w:r>
        <w:rPr>
          <w:rFonts w:hint="eastAsia" w:ascii="黑体" w:hAnsi="黑体" w:eastAsia="黑体"/>
          <w:bCs/>
          <w:highlight w:val="none"/>
        </w:rPr>
        <w:t xml:space="preserve">温室气体排放 </w:t>
      </w:r>
      <w:r>
        <w:rPr>
          <w:rFonts w:hint="eastAsia" w:eastAsia="黑体"/>
          <w:b/>
          <w:highlight w:val="none"/>
        </w:rPr>
        <w:t>GHG emissions</w:t>
      </w:r>
    </w:p>
    <w:p>
      <w:pPr>
        <w:ind w:firstLine="420"/>
        <w:rPr>
          <w:highlight w:val="none"/>
        </w:rPr>
      </w:pPr>
      <w:r>
        <w:rPr>
          <w:rFonts w:hint="eastAsia"/>
          <w:highlight w:val="none"/>
        </w:rPr>
        <w:t>在特定的时段内释放到大气中的温室气体（3.1.1）总量（以质量单位计算）。</w:t>
      </w:r>
    </w:p>
    <w:p>
      <w:pPr>
        <w:ind w:firstLine="420"/>
        <w:rPr>
          <w:rFonts w:ascii="宋体" w:hAnsi="宋体"/>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1</w:t>
      </w:r>
      <w:r>
        <w:rPr>
          <w:rFonts w:hint="eastAsia" w:ascii="黑体" w:hAnsi="黑体" w:eastAsia="黑体"/>
          <w:sz w:val="18"/>
          <w:szCs w:val="18"/>
          <w:highlight w:val="none"/>
        </w:rPr>
        <w:t>：</w:t>
      </w:r>
      <w:r>
        <w:rPr>
          <w:rFonts w:hint="eastAsia" w:ascii="宋体" w:hAnsi="宋体"/>
          <w:sz w:val="18"/>
          <w:szCs w:val="18"/>
          <w:highlight w:val="none"/>
        </w:rPr>
        <w:t>温室气体排放包括以下来源的排放：</w:t>
      </w:r>
    </w:p>
    <w:p>
      <w:pPr>
        <w:ind w:firstLine="420"/>
        <w:rPr>
          <w:rFonts w:ascii="宋体" w:hAnsi="宋体"/>
          <w:sz w:val="18"/>
          <w:szCs w:val="18"/>
          <w:highlight w:val="none"/>
        </w:rPr>
      </w:pPr>
      <w:r>
        <w:rPr>
          <w:rFonts w:ascii="宋体" w:hAnsi="宋体"/>
          <w:sz w:val="18"/>
          <w:szCs w:val="18"/>
          <w:highlight w:val="none"/>
        </w:rPr>
        <w:t>——</w:t>
      </w:r>
      <w:r>
        <w:rPr>
          <w:rFonts w:hint="eastAsia" w:ascii="宋体" w:hAnsi="宋体"/>
          <w:sz w:val="18"/>
          <w:szCs w:val="18"/>
          <w:highlight w:val="none"/>
        </w:rPr>
        <w:t>自然资源（例如植物的分解）；</w:t>
      </w:r>
    </w:p>
    <w:p>
      <w:pPr>
        <w:ind w:firstLine="420"/>
        <w:rPr>
          <w:rFonts w:ascii="宋体" w:hAnsi="宋体"/>
          <w:sz w:val="18"/>
          <w:szCs w:val="18"/>
          <w:highlight w:val="none"/>
        </w:rPr>
      </w:pPr>
      <w:r>
        <w:rPr>
          <w:rFonts w:ascii="宋体" w:hAnsi="宋体"/>
          <w:sz w:val="18"/>
          <w:szCs w:val="18"/>
          <w:highlight w:val="none"/>
        </w:rPr>
        <w:t>——</w:t>
      </w:r>
      <w:r>
        <w:rPr>
          <w:rFonts w:hint="eastAsia" w:ascii="宋体" w:hAnsi="宋体"/>
          <w:sz w:val="18"/>
          <w:szCs w:val="18"/>
          <w:highlight w:val="none"/>
        </w:rPr>
        <w:t>化石燃料的燃烧；</w:t>
      </w:r>
    </w:p>
    <w:p>
      <w:pPr>
        <w:ind w:firstLine="420"/>
        <w:rPr>
          <w:rFonts w:ascii="宋体" w:hAnsi="宋体"/>
          <w:sz w:val="18"/>
          <w:szCs w:val="18"/>
          <w:highlight w:val="none"/>
        </w:rPr>
      </w:pPr>
      <w:r>
        <w:rPr>
          <w:rFonts w:ascii="宋体" w:hAnsi="宋体"/>
          <w:sz w:val="18"/>
          <w:szCs w:val="18"/>
          <w:highlight w:val="none"/>
        </w:rPr>
        <w:t>——</w:t>
      </w:r>
      <w:r>
        <w:rPr>
          <w:rFonts w:hint="eastAsia" w:ascii="宋体" w:hAnsi="宋体"/>
          <w:sz w:val="18"/>
          <w:szCs w:val="18"/>
          <w:highlight w:val="none"/>
        </w:rPr>
        <w:t>其他过程，包括无意的释放（例如，由于加工设备或条件的缺陷造成的）。</w:t>
      </w:r>
    </w:p>
    <w:p>
      <w:pPr>
        <w:ind w:left="420"/>
        <w:rPr>
          <w:rFonts w:ascii="宋体" w:hAnsi="宋体"/>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2</w:t>
      </w:r>
      <w:r>
        <w:rPr>
          <w:rFonts w:hint="eastAsia" w:ascii="黑体" w:hAnsi="黑体" w:eastAsia="黑体"/>
          <w:sz w:val="18"/>
          <w:szCs w:val="18"/>
          <w:highlight w:val="none"/>
        </w:rPr>
        <w:t>：</w:t>
      </w:r>
      <w:r>
        <w:rPr>
          <w:rFonts w:hint="eastAsia" w:ascii="宋体" w:hAnsi="宋体"/>
          <w:sz w:val="18"/>
          <w:szCs w:val="18"/>
          <w:highlight w:val="none"/>
        </w:rPr>
        <w:t>对于不直接进入大气而是进入水体或土壤的温室气体排放，相关排放是指由于该排放而导致大气中气体浓度增加的量，根据水体或土壤中可能发生的化学和生物过程的科学证据。</w:t>
      </w:r>
    </w:p>
    <w:p>
      <w:pPr>
        <w:ind w:firstLine="420"/>
        <w:rPr>
          <w:rFonts w:ascii="宋体" w:hAnsi="宋体"/>
          <w:b/>
          <w:highlight w:val="none"/>
        </w:rPr>
      </w:pPr>
      <w:r>
        <w:rPr>
          <w:rFonts w:ascii="宋体" w:hAnsi="宋体"/>
          <w:highlight w:val="none"/>
        </w:rPr>
        <w:t>[</w:t>
      </w:r>
      <w:r>
        <w:rPr>
          <w:rFonts w:hint="eastAsia" w:ascii="宋体" w:hAnsi="宋体"/>
          <w:highlight w:val="none"/>
        </w:rPr>
        <w:t>来源：</w:t>
      </w:r>
      <w:r>
        <w:rPr>
          <w:bCs/>
          <w:highlight w:val="none"/>
        </w:rPr>
        <w:t xml:space="preserve">GB/T 32150—2015，3.6；ISO </w:t>
      </w:r>
      <w:r>
        <w:rPr>
          <w:highlight w:val="none"/>
        </w:rPr>
        <w:t>14064-1:2018，3.1.5；ISO IWA 42:2022，3.2.2</w:t>
      </w:r>
      <w:r>
        <w:rPr>
          <w:rFonts w:hint="eastAsia"/>
          <w:highlight w:val="none"/>
        </w:rPr>
        <w:t>，</w:t>
      </w:r>
      <w:r>
        <w:rPr>
          <w:rFonts w:hint="eastAsia" w:ascii="宋体" w:hAnsi="宋体"/>
          <w:highlight w:val="none"/>
        </w:rPr>
        <w:t>有修改</w:t>
      </w:r>
      <w:r>
        <w:rPr>
          <w:rFonts w:ascii="宋体" w:hAnsi="宋体"/>
          <w:highlight w:val="none"/>
        </w:rPr>
        <w:t>]</w:t>
      </w:r>
    </w:p>
    <w:p>
      <w:pPr>
        <w:rPr>
          <w:rFonts w:ascii="黑体" w:hAnsi="黑体" w:eastAsia="黑体"/>
          <w:highlight w:val="none"/>
        </w:rPr>
      </w:pPr>
      <w:r>
        <w:rPr>
          <w:rFonts w:hint="eastAsia" w:ascii="黑体" w:hAnsi="黑体" w:eastAsia="黑体"/>
          <w:highlight w:val="none"/>
        </w:rPr>
        <w:t>3.1.3</w:t>
      </w:r>
    </w:p>
    <w:p>
      <w:pPr>
        <w:ind w:firstLine="420"/>
        <w:rPr>
          <w:rFonts w:ascii="黑体" w:hAnsi="黑体" w:eastAsia="黑体"/>
          <w:b/>
          <w:highlight w:val="none"/>
        </w:rPr>
      </w:pPr>
      <w:r>
        <w:rPr>
          <w:rFonts w:hint="eastAsia" w:ascii="黑体" w:hAnsi="黑体" w:eastAsia="黑体"/>
          <w:bCs/>
          <w:highlight w:val="none"/>
        </w:rPr>
        <w:t>碳足迹</w:t>
      </w:r>
      <w:r>
        <w:rPr>
          <w:rFonts w:ascii="黑体" w:hAnsi="黑体" w:eastAsia="黑体"/>
          <w:b/>
          <w:highlight w:val="none"/>
        </w:rPr>
        <w:t xml:space="preserve"> </w:t>
      </w:r>
      <w:r>
        <w:rPr>
          <w:rFonts w:eastAsia="黑体"/>
          <w:b/>
          <w:highlight w:val="none"/>
        </w:rPr>
        <w:t>carbon footprint</w:t>
      </w:r>
    </w:p>
    <w:p>
      <w:pPr>
        <w:ind w:firstLine="420"/>
        <w:rPr>
          <w:highlight w:val="none"/>
        </w:rPr>
      </w:pPr>
      <w:r>
        <w:rPr>
          <w:rFonts w:hint="eastAsia"/>
          <w:highlight w:val="none"/>
        </w:rPr>
        <w:t>企业边界内或产品系统中的温室气体排放（3.1.2）和温室气体清除（3.2.5）之和，以CO</w:t>
      </w:r>
      <w:r>
        <w:rPr>
          <w:highlight w:val="none"/>
          <w:vertAlign w:val="subscript"/>
        </w:rPr>
        <w:t>2</w:t>
      </w:r>
      <w:r>
        <w:rPr>
          <w:rFonts w:hint="eastAsia"/>
          <w:highlight w:val="none"/>
        </w:rPr>
        <w:t>当量表示。</w:t>
      </w:r>
    </w:p>
    <w:p>
      <w:pPr>
        <w:ind w:left="181" w:leftChars="86" w:firstLine="420"/>
        <w:rPr>
          <w:rFonts w:asciiTheme="minorEastAsia" w:hAnsiTheme="minorEastAsia" w:eastAsiaTheme="minorEastAsia"/>
          <w:szCs w:val="21"/>
          <w:highlight w:val="none"/>
        </w:rPr>
      </w:pPr>
      <w:r>
        <w:rPr>
          <w:rStyle w:val="186"/>
          <w:rFonts w:hint="eastAsia"/>
          <w:highlight w:val="none"/>
        </w:rPr>
        <w:t>注</w:t>
      </w:r>
      <w:r>
        <w:rPr>
          <w:rStyle w:val="186"/>
          <w:highlight w:val="none"/>
        </w:rPr>
        <w:t>1</w:t>
      </w:r>
      <w:r>
        <w:rPr>
          <w:rStyle w:val="186"/>
          <w:rFonts w:hint="eastAsia"/>
          <w:highlight w:val="none"/>
        </w:rPr>
        <w:t>：</w:t>
      </w:r>
      <w:r>
        <w:rPr>
          <w:rStyle w:val="68"/>
          <w:rFonts w:hint="eastAsia"/>
          <w:highlight w:val="none"/>
        </w:rPr>
        <w:t>企业边界内碳足迹基于</w:t>
      </w:r>
      <w:r>
        <w:rPr>
          <w:rStyle w:val="68"/>
          <w:rFonts w:ascii="Times New Roman" w:hAnsi="Times New Roman"/>
          <w:highlight w:val="none"/>
        </w:rPr>
        <w:t>ISO 14064-1</w:t>
      </w:r>
      <w:r>
        <w:rPr>
          <w:rStyle w:val="68"/>
          <w:rFonts w:hint="eastAsia"/>
          <w:highlight w:val="none"/>
        </w:rPr>
        <w:t>量化企业范围内直接和间接温室气体排放量和清除量。</w:t>
      </w:r>
    </w:p>
    <w:p>
      <w:pPr>
        <w:ind w:firstLine="420"/>
        <w:rPr>
          <w:rFonts w:asciiTheme="minorEastAsia" w:hAnsiTheme="minorEastAsia" w:eastAsiaTheme="minorEastAsia"/>
          <w:sz w:val="18"/>
          <w:szCs w:val="21"/>
          <w:highlight w:val="none"/>
        </w:rPr>
      </w:pPr>
      <w:r>
        <w:rPr>
          <w:rStyle w:val="181"/>
          <w:rFonts w:hint="eastAsia" w:ascii="黑体" w:hAnsi="黑体"/>
          <w:highlight w:val="none"/>
        </w:rPr>
        <w:t>注2：</w:t>
      </w:r>
      <w:r>
        <w:rPr>
          <w:rFonts w:hint="eastAsia" w:asciiTheme="minorEastAsia" w:hAnsiTheme="minorEastAsia" w:eastAsiaTheme="minorEastAsia"/>
          <w:sz w:val="18"/>
          <w:szCs w:val="21"/>
          <w:highlight w:val="none"/>
        </w:rPr>
        <w:t>产品系统的碳足迹基于</w:t>
      </w:r>
      <w:r>
        <w:rPr>
          <w:rFonts w:eastAsiaTheme="minorEastAsia"/>
          <w:sz w:val="18"/>
          <w:szCs w:val="21"/>
          <w:highlight w:val="none"/>
        </w:rPr>
        <w:t>ISO 14067-1</w:t>
      </w:r>
      <w:r>
        <w:rPr>
          <w:rFonts w:hint="eastAsia" w:asciiTheme="minorEastAsia" w:hAnsiTheme="minorEastAsia" w:eastAsiaTheme="minorEastAsia"/>
          <w:sz w:val="18"/>
          <w:szCs w:val="21"/>
          <w:highlight w:val="none"/>
        </w:rPr>
        <w:t>使用气候变化单一影响类别进行生命周期评估。</w:t>
      </w:r>
    </w:p>
    <w:p>
      <w:pPr>
        <w:ind w:firstLine="420"/>
        <w:rPr>
          <w:rFonts w:asciiTheme="minorEastAsia" w:hAnsiTheme="minorEastAsia" w:eastAsiaTheme="minorEastAsia"/>
          <w:sz w:val="18"/>
          <w:szCs w:val="21"/>
          <w:highlight w:val="none"/>
        </w:rPr>
      </w:pPr>
      <w:r>
        <w:rPr>
          <w:rFonts w:hint="eastAsia" w:ascii="黑体" w:hAnsi="黑体" w:eastAsia="黑体"/>
          <w:sz w:val="18"/>
          <w:szCs w:val="21"/>
          <w:highlight w:val="none"/>
        </w:rPr>
        <w:t>注3：</w:t>
      </w:r>
      <w:r>
        <w:rPr>
          <w:sz w:val="18"/>
          <w:szCs w:val="21"/>
          <w:highlight w:val="none"/>
        </w:rPr>
        <w:t>CO</w:t>
      </w:r>
      <w:r>
        <w:rPr>
          <w:sz w:val="18"/>
          <w:szCs w:val="21"/>
          <w:highlight w:val="none"/>
          <w:vertAlign w:val="subscript"/>
        </w:rPr>
        <w:t>2</w:t>
      </w:r>
      <w:r>
        <w:rPr>
          <w:rFonts w:hint="eastAsia" w:ascii="宋体" w:hAnsi="宋体"/>
          <w:sz w:val="18"/>
          <w:szCs w:val="21"/>
          <w:highlight w:val="none"/>
        </w:rPr>
        <w:t>当量指在辐射强度上与某种温室气体质量相当的</w:t>
      </w:r>
      <w:r>
        <w:rPr>
          <w:sz w:val="18"/>
          <w:szCs w:val="21"/>
          <w:highlight w:val="none"/>
        </w:rPr>
        <w:t>CO</w:t>
      </w:r>
      <w:r>
        <w:rPr>
          <w:sz w:val="18"/>
          <w:szCs w:val="21"/>
          <w:highlight w:val="none"/>
          <w:vertAlign w:val="subscript"/>
        </w:rPr>
        <w:t>2</w:t>
      </w:r>
      <w:r>
        <w:rPr>
          <w:rFonts w:hint="eastAsia" w:ascii="宋体" w:hAnsi="宋体"/>
          <w:sz w:val="18"/>
          <w:szCs w:val="21"/>
          <w:highlight w:val="none"/>
        </w:rPr>
        <w:t>量。</w:t>
      </w:r>
    </w:p>
    <w:p>
      <w:pPr>
        <w:ind w:firstLine="420"/>
        <w:rPr>
          <w:highlight w:val="none"/>
        </w:rPr>
      </w:pPr>
      <w:r>
        <w:rPr>
          <w:rFonts w:asciiTheme="minorEastAsia" w:hAnsiTheme="minorEastAsia" w:eastAsiaTheme="minorEastAsia"/>
          <w:szCs w:val="28"/>
          <w:highlight w:val="none"/>
        </w:rPr>
        <w:t>[</w:t>
      </w:r>
      <w:r>
        <w:rPr>
          <w:rFonts w:hint="eastAsia" w:asciiTheme="minorEastAsia" w:hAnsiTheme="minorEastAsia" w:eastAsiaTheme="minorEastAsia"/>
          <w:szCs w:val="28"/>
          <w:highlight w:val="none"/>
        </w:rPr>
        <w:t>来源：</w:t>
      </w:r>
      <w:r>
        <w:rPr>
          <w:rFonts w:eastAsiaTheme="minorEastAsia"/>
          <w:szCs w:val="28"/>
          <w:highlight w:val="none"/>
        </w:rPr>
        <w:t>ISO 14067-1:2018 3.1.4，ISO 14068-1:2018，3.2.4</w:t>
      </w:r>
      <w:r>
        <w:rPr>
          <w:rFonts w:asciiTheme="minorEastAsia" w:hAnsiTheme="minorEastAsia" w:eastAsiaTheme="minorEastAsia"/>
          <w:b w:val="0"/>
          <w:bCs w:val="0"/>
          <w:szCs w:val="28"/>
          <w:highlight w:val="none"/>
        </w:rPr>
        <w:t>]</w:t>
      </w:r>
    </w:p>
    <w:p>
      <w:pPr>
        <w:rPr>
          <w:rFonts w:ascii="黑体" w:hAnsi="黑体" w:eastAsia="黑体"/>
          <w:highlight w:val="none"/>
        </w:rPr>
      </w:pPr>
      <w:r>
        <w:rPr>
          <w:rFonts w:hint="eastAsia" w:ascii="黑体" w:hAnsi="黑体" w:eastAsia="黑体"/>
          <w:highlight w:val="none"/>
        </w:rPr>
        <w:t>3.1.4</w:t>
      </w:r>
    </w:p>
    <w:p>
      <w:pPr>
        <w:ind w:firstLine="420"/>
        <w:rPr>
          <w:rFonts w:eastAsia="黑体"/>
          <w:b/>
          <w:highlight w:val="none"/>
        </w:rPr>
      </w:pPr>
      <w:r>
        <w:rPr>
          <w:rFonts w:hint="eastAsia" w:ascii="黑体" w:hAnsi="黑体" w:eastAsia="黑体"/>
          <w:bCs/>
          <w:highlight w:val="none"/>
        </w:rPr>
        <w:t>范围</w:t>
      </w:r>
      <w:r>
        <w:rPr>
          <w:rFonts w:ascii="黑体" w:hAnsi="黑体" w:eastAsia="黑体"/>
          <w:bCs/>
          <w:highlight w:val="none"/>
        </w:rPr>
        <w:t>1</w:t>
      </w:r>
      <w:r>
        <w:rPr>
          <w:rFonts w:hint="eastAsia" w:ascii="黑体" w:hAnsi="黑体" w:eastAsia="黑体"/>
          <w:bCs/>
          <w:highlight w:val="none"/>
        </w:rPr>
        <w:t>排放</w:t>
      </w:r>
      <w:r>
        <w:rPr>
          <w:rFonts w:ascii="黑体" w:hAnsi="黑体" w:eastAsia="黑体"/>
          <w:bCs/>
          <w:highlight w:val="none"/>
        </w:rPr>
        <w:t xml:space="preserve"> </w:t>
      </w:r>
      <w:r>
        <w:rPr>
          <w:rFonts w:eastAsia="黑体"/>
          <w:b/>
          <w:highlight w:val="none"/>
        </w:rPr>
        <w:t>scope 1 emission</w:t>
      </w:r>
    </w:p>
    <w:p>
      <w:pPr>
        <w:ind w:firstLine="420"/>
        <w:rPr>
          <w:rFonts w:eastAsia="黑体"/>
          <w:b/>
          <w:highlight w:val="none"/>
        </w:rPr>
      </w:pPr>
      <w:r>
        <w:rPr>
          <w:rFonts w:hint="eastAsia" w:ascii="黑体" w:hAnsi="黑体" w:eastAsia="黑体"/>
          <w:bCs/>
          <w:highlight w:val="none"/>
        </w:rPr>
        <w:t>直接温室气体排放</w:t>
      </w:r>
      <w:r>
        <w:rPr>
          <w:rFonts w:ascii="黑体" w:hAnsi="黑体" w:eastAsia="黑体"/>
          <w:bCs/>
          <w:highlight w:val="none"/>
        </w:rPr>
        <w:t xml:space="preserve"> </w:t>
      </w:r>
      <w:r>
        <w:rPr>
          <w:rFonts w:eastAsia="黑体"/>
          <w:b/>
          <w:highlight w:val="none"/>
        </w:rPr>
        <w:t>direct GHG emission</w:t>
      </w:r>
    </w:p>
    <w:p>
      <w:pPr>
        <w:ind w:left="420" w:leftChars="200"/>
        <w:rPr>
          <w:highlight w:val="none"/>
        </w:rPr>
      </w:pPr>
      <w:r>
        <w:rPr>
          <w:rFonts w:hint="eastAsia"/>
          <w:highlight w:val="none"/>
        </w:rPr>
        <w:t xml:space="preserve">来自企业拥有或直接控制的来源的温室气体排放（3.1.2）。 </w:t>
      </w:r>
    </w:p>
    <w:p>
      <w:pPr>
        <w:ind w:firstLine="420"/>
        <w:rPr>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1</w:t>
      </w:r>
      <w:r>
        <w:rPr>
          <w:rFonts w:hint="eastAsia" w:ascii="黑体" w:hAnsi="黑体" w:eastAsia="黑体"/>
          <w:sz w:val="18"/>
          <w:szCs w:val="18"/>
          <w:highlight w:val="none"/>
        </w:rPr>
        <w:t>：</w:t>
      </w:r>
      <w:r>
        <w:rPr>
          <w:rFonts w:hint="eastAsia"/>
          <w:sz w:val="18"/>
          <w:szCs w:val="18"/>
          <w:highlight w:val="none"/>
        </w:rPr>
        <w:t>本文件使用股权或控制权（领土、财务和运营）的概念来确定范围</w:t>
      </w:r>
      <w:r>
        <w:rPr>
          <w:sz w:val="18"/>
          <w:szCs w:val="18"/>
          <w:highlight w:val="none"/>
        </w:rPr>
        <w:t>1</w:t>
      </w:r>
      <w:r>
        <w:rPr>
          <w:rFonts w:hint="eastAsia"/>
          <w:sz w:val="18"/>
          <w:szCs w:val="18"/>
          <w:highlight w:val="none"/>
        </w:rPr>
        <w:t>排放责任。</w:t>
      </w:r>
    </w:p>
    <w:p>
      <w:pPr>
        <w:ind w:firstLine="420"/>
        <w:rPr>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2</w:t>
      </w:r>
      <w:r>
        <w:rPr>
          <w:rFonts w:hint="eastAsia" w:ascii="黑体" w:hAnsi="黑体" w:eastAsia="黑体"/>
          <w:sz w:val="18"/>
          <w:szCs w:val="18"/>
          <w:highlight w:val="none"/>
        </w:rPr>
        <w:t>：</w:t>
      </w:r>
      <w:r>
        <w:rPr>
          <w:rFonts w:hint="eastAsia"/>
          <w:sz w:val="18"/>
          <w:szCs w:val="18"/>
          <w:highlight w:val="none"/>
        </w:rPr>
        <w:t>范围</w:t>
      </w:r>
      <w:r>
        <w:rPr>
          <w:sz w:val="18"/>
          <w:szCs w:val="18"/>
          <w:highlight w:val="none"/>
        </w:rPr>
        <w:t>1</w:t>
      </w:r>
      <w:r>
        <w:rPr>
          <w:rFonts w:hint="eastAsia"/>
          <w:sz w:val="18"/>
          <w:szCs w:val="18"/>
          <w:highlight w:val="none"/>
        </w:rPr>
        <w:t>排放不包括企业拥有或控制的不受管理或保持自然状态且未经修改的自然生态系统产生的排放。</w:t>
      </w:r>
    </w:p>
    <w:p>
      <w:pPr>
        <w:ind w:firstLine="420"/>
        <w:rPr>
          <w:rFonts w:asciiTheme="minorEastAsia" w:hAnsiTheme="minorEastAsia" w:eastAsiaTheme="minorEastAsia"/>
          <w:highlight w:val="none"/>
        </w:rPr>
      </w:pPr>
      <w:r>
        <w:rPr>
          <w:rFonts w:asciiTheme="minorEastAsia" w:hAnsiTheme="minorEastAsia" w:eastAsiaTheme="minorEastAsia"/>
          <w:highlight w:val="none"/>
        </w:rPr>
        <w:t>[</w:t>
      </w:r>
      <w:r>
        <w:rPr>
          <w:rFonts w:hint="eastAsia" w:asciiTheme="minorEastAsia" w:hAnsiTheme="minorEastAsia" w:eastAsiaTheme="minorEastAsia"/>
          <w:highlight w:val="none"/>
        </w:rPr>
        <w:t>来源：</w:t>
      </w:r>
      <w:r>
        <w:rPr>
          <w:highlight w:val="none"/>
        </w:rPr>
        <w:t>温室气体核算体系</w:t>
      </w:r>
      <w:r>
        <w:rPr>
          <w:rFonts w:hint="eastAsia" w:asciiTheme="minorEastAsia" w:hAnsiTheme="minorEastAsia" w:eastAsiaTheme="minorEastAsia"/>
          <w:highlight w:val="none"/>
        </w:rPr>
        <w:t xml:space="preserve"> 企业核算与报告标准</w:t>
      </w:r>
      <w:r>
        <w:rPr>
          <w:rFonts w:asciiTheme="minorEastAsia" w:hAnsiTheme="minorEastAsia" w:eastAsiaTheme="minorEastAsia"/>
          <w:highlight w:val="none"/>
        </w:rPr>
        <w:t>]</w:t>
      </w:r>
    </w:p>
    <w:p>
      <w:pPr>
        <w:rPr>
          <w:rFonts w:ascii="黑体" w:hAnsi="黑体" w:eastAsia="黑体"/>
          <w:highlight w:val="none"/>
        </w:rPr>
      </w:pPr>
      <w:r>
        <w:rPr>
          <w:rFonts w:hint="eastAsia" w:ascii="黑体" w:hAnsi="黑体" w:eastAsia="黑体"/>
          <w:highlight w:val="none"/>
        </w:rPr>
        <w:t>3.1.5</w:t>
      </w:r>
    </w:p>
    <w:p>
      <w:pPr>
        <w:ind w:left="420" w:leftChars="200"/>
        <w:rPr>
          <w:rFonts w:ascii="黑体" w:hAnsi="黑体" w:eastAsia="黑体"/>
          <w:bCs/>
          <w:highlight w:val="none"/>
        </w:rPr>
      </w:pPr>
      <w:r>
        <w:rPr>
          <w:rFonts w:hint="eastAsia" w:ascii="黑体" w:hAnsi="黑体" w:eastAsia="黑体"/>
          <w:bCs/>
          <w:highlight w:val="none"/>
        </w:rPr>
        <w:t>范围2排放</w:t>
      </w:r>
      <w:r>
        <w:rPr>
          <w:rFonts w:eastAsia="黑体"/>
          <w:bCs/>
          <w:highlight w:val="none"/>
        </w:rPr>
        <w:t xml:space="preserve"> </w:t>
      </w:r>
      <w:r>
        <w:rPr>
          <w:rFonts w:eastAsia="黑体"/>
          <w:b/>
          <w:highlight w:val="none"/>
        </w:rPr>
        <w:t>scope 2 emission</w:t>
      </w:r>
    </w:p>
    <w:p>
      <w:pPr>
        <w:ind w:left="420" w:leftChars="200"/>
        <w:rPr>
          <w:rFonts w:eastAsia="黑体"/>
          <w:b/>
          <w:highlight w:val="none"/>
        </w:rPr>
      </w:pPr>
      <w:r>
        <w:rPr>
          <w:rFonts w:hint="eastAsia" w:ascii="黑体" w:hAnsi="黑体" w:eastAsia="黑体"/>
          <w:bCs/>
          <w:highlight w:val="none"/>
        </w:rPr>
        <w:t>购买能源产生的间接温室气体排放</w:t>
      </w:r>
      <w:r>
        <w:rPr>
          <w:rFonts w:ascii="黑体" w:hAnsi="黑体" w:eastAsia="黑体"/>
          <w:bCs/>
          <w:highlight w:val="none"/>
        </w:rPr>
        <w:t xml:space="preserve"> </w:t>
      </w:r>
      <w:r>
        <w:rPr>
          <w:rFonts w:eastAsia="黑体"/>
          <w:b/>
          <w:highlight w:val="none"/>
        </w:rPr>
        <w:t>indirect GHG emission from purchased energy</w:t>
      </w:r>
    </w:p>
    <w:p>
      <w:pPr>
        <w:ind w:left="420" w:leftChars="200"/>
        <w:rPr>
          <w:highlight w:val="none"/>
        </w:rPr>
      </w:pPr>
      <w:r>
        <w:rPr>
          <w:rFonts w:hint="eastAsia"/>
          <w:highlight w:val="none"/>
        </w:rPr>
        <w:t>企业消耗的外购电力、热力、冷能或蒸汽产生的温室气体排放（3.1.2）。</w:t>
      </w:r>
    </w:p>
    <w:p>
      <w:pPr>
        <w:ind w:firstLine="420"/>
        <w:rPr>
          <w:rFonts w:asciiTheme="minorEastAsia" w:hAnsiTheme="minorEastAsia" w:eastAsiaTheme="minorEastAsia"/>
          <w:b/>
          <w:highlight w:val="none"/>
        </w:rPr>
      </w:pPr>
      <w:r>
        <w:rPr>
          <w:rFonts w:asciiTheme="minorEastAsia" w:hAnsiTheme="minorEastAsia" w:eastAsiaTheme="minorEastAsia"/>
          <w:highlight w:val="none"/>
        </w:rPr>
        <w:t>[</w:t>
      </w:r>
      <w:r>
        <w:rPr>
          <w:rFonts w:hint="eastAsia" w:asciiTheme="minorEastAsia" w:hAnsiTheme="minorEastAsia" w:eastAsiaTheme="minorEastAsia"/>
          <w:highlight w:val="none"/>
        </w:rPr>
        <w:t>来源：</w:t>
      </w:r>
      <w:r>
        <w:rPr>
          <w:highlight w:val="none"/>
        </w:rPr>
        <w:t>温室气体核算体系</w:t>
      </w:r>
      <w:r>
        <w:rPr>
          <w:rFonts w:hint="eastAsia" w:asciiTheme="minorEastAsia" w:hAnsiTheme="minorEastAsia" w:eastAsiaTheme="minorEastAsia"/>
          <w:highlight w:val="none"/>
        </w:rPr>
        <w:t xml:space="preserve"> 企业核算与报告标准</w:t>
      </w:r>
      <w:r>
        <w:rPr>
          <w:rFonts w:asciiTheme="minorEastAsia" w:hAnsiTheme="minorEastAsia" w:eastAsiaTheme="minorEastAsia"/>
          <w:highlight w:val="none"/>
        </w:rPr>
        <w:t>]</w:t>
      </w:r>
    </w:p>
    <w:p>
      <w:pPr>
        <w:rPr>
          <w:rFonts w:ascii="黑体" w:hAnsi="黑体" w:eastAsia="黑体"/>
          <w:highlight w:val="none"/>
        </w:rPr>
      </w:pPr>
      <w:r>
        <w:rPr>
          <w:rFonts w:hint="eastAsia" w:ascii="黑体" w:hAnsi="黑体" w:eastAsia="黑体"/>
          <w:highlight w:val="none"/>
        </w:rPr>
        <w:t>3.1.6</w:t>
      </w:r>
    </w:p>
    <w:p>
      <w:pPr>
        <w:ind w:firstLine="420"/>
        <w:rPr>
          <w:rFonts w:ascii="黑体" w:hAnsi="黑体" w:eastAsia="黑体"/>
          <w:bCs/>
          <w:highlight w:val="none"/>
        </w:rPr>
      </w:pPr>
      <w:r>
        <w:rPr>
          <w:rFonts w:hint="eastAsia" w:ascii="黑体" w:hAnsi="黑体" w:eastAsia="黑体"/>
          <w:bCs/>
          <w:highlight w:val="none"/>
        </w:rPr>
        <w:t>范围</w:t>
      </w:r>
      <w:r>
        <w:rPr>
          <w:rFonts w:ascii="黑体" w:hAnsi="黑体" w:eastAsia="黑体"/>
          <w:bCs/>
          <w:highlight w:val="none"/>
        </w:rPr>
        <w:t>3</w:t>
      </w:r>
      <w:r>
        <w:rPr>
          <w:rFonts w:hint="eastAsia" w:ascii="黑体" w:hAnsi="黑体" w:eastAsia="黑体"/>
          <w:bCs/>
          <w:highlight w:val="none"/>
        </w:rPr>
        <w:t>排放</w:t>
      </w:r>
      <w:r>
        <w:rPr>
          <w:rFonts w:ascii="黑体" w:hAnsi="黑体" w:eastAsia="黑体"/>
          <w:bCs/>
          <w:highlight w:val="none"/>
        </w:rPr>
        <w:t xml:space="preserve"> </w:t>
      </w:r>
      <w:r>
        <w:rPr>
          <w:rFonts w:eastAsia="黑体"/>
          <w:b/>
          <w:highlight w:val="none"/>
        </w:rPr>
        <w:t>scope 3 emission</w:t>
      </w:r>
    </w:p>
    <w:p>
      <w:pPr>
        <w:ind w:firstLine="420"/>
        <w:rPr>
          <w:rFonts w:eastAsia="黑体"/>
          <w:b/>
          <w:highlight w:val="none"/>
        </w:rPr>
      </w:pPr>
      <w:r>
        <w:rPr>
          <w:rFonts w:hint="eastAsia" w:ascii="黑体" w:hAnsi="黑体" w:eastAsia="黑体"/>
          <w:bCs/>
          <w:highlight w:val="none"/>
        </w:rPr>
        <w:t>间接温室气体排放</w:t>
      </w:r>
      <w:r>
        <w:rPr>
          <w:rFonts w:ascii="黑体" w:hAnsi="黑体" w:eastAsia="黑体"/>
          <w:bCs/>
          <w:highlight w:val="none"/>
        </w:rPr>
        <w:t xml:space="preserve"> </w:t>
      </w:r>
      <w:r>
        <w:rPr>
          <w:rFonts w:eastAsia="黑体"/>
          <w:b/>
          <w:highlight w:val="none"/>
        </w:rPr>
        <w:t>indirect GHG emission</w:t>
      </w:r>
    </w:p>
    <w:p>
      <w:pPr>
        <w:ind w:left="420" w:leftChars="200"/>
        <w:rPr>
          <w:highlight w:val="none"/>
        </w:rPr>
      </w:pPr>
      <w:r>
        <w:rPr>
          <w:rFonts w:hint="eastAsia"/>
          <w:highlight w:val="none"/>
        </w:rPr>
        <w:t>温室气体排放（3.1.2）是企业活动的结果，但源自非企业拥有或直接控制的来源。</w:t>
      </w:r>
    </w:p>
    <w:p>
      <w:pPr>
        <w:ind w:firstLine="420"/>
        <w:rPr>
          <w:rFonts w:ascii="宋体" w:hAnsi="宋体"/>
          <w:highlight w:val="none"/>
        </w:rPr>
      </w:pPr>
      <w:r>
        <w:rPr>
          <w:rFonts w:hint="eastAsia" w:ascii="黑体" w:hAnsi="黑体" w:eastAsia="黑体"/>
          <w:sz w:val="18"/>
          <w:szCs w:val="18"/>
          <w:highlight w:val="none"/>
        </w:rPr>
        <w:t>注：</w:t>
      </w:r>
      <w:r>
        <w:rPr>
          <w:rFonts w:hint="eastAsia"/>
          <w:sz w:val="18"/>
          <w:szCs w:val="18"/>
          <w:highlight w:val="none"/>
        </w:rPr>
        <w:t>范围</w:t>
      </w:r>
      <w:r>
        <w:rPr>
          <w:sz w:val="18"/>
          <w:szCs w:val="18"/>
          <w:highlight w:val="none"/>
        </w:rPr>
        <w:t>3</w:t>
      </w:r>
      <w:r>
        <w:rPr>
          <w:rFonts w:hint="eastAsia"/>
          <w:sz w:val="18"/>
          <w:szCs w:val="18"/>
          <w:highlight w:val="none"/>
        </w:rPr>
        <w:t>排放量包括范围</w:t>
      </w:r>
      <w:r>
        <w:rPr>
          <w:sz w:val="18"/>
          <w:szCs w:val="18"/>
          <w:highlight w:val="none"/>
        </w:rPr>
        <w:t>1</w:t>
      </w:r>
      <w:r>
        <w:rPr>
          <w:rFonts w:hint="eastAsia"/>
          <w:sz w:val="18"/>
          <w:szCs w:val="18"/>
          <w:highlight w:val="none"/>
        </w:rPr>
        <w:t>排放量或范围</w:t>
      </w:r>
      <w:r>
        <w:rPr>
          <w:sz w:val="18"/>
          <w:szCs w:val="18"/>
          <w:highlight w:val="none"/>
        </w:rPr>
        <w:t>2</w:t>
      </w:r>
      <w:r>
        <w:rPr>
          <w:rFonts w:hint="eastAsia"/>
          <w:sz w:val="18"/>
          <w:szCs w:val="18"/>
          <w:highlight w:val="none"/>
        </w:rPr>
        <w:t>排放量中未包括的所有可归属价值链的温室气体排放量。</w:t>
      </w:r>
    </w:p>
    <w:p>
      <w:pPr>
        <w:ind w:firstLine="420"/>
        <w:rPr>
          <w:rFonts w:ascii="宋体" w:hAnsi="宋体"/>
          <w:b/>
          <w:highlight w:val="none"/>
        </w:rPr>
      </w:pPr>
      <w:r>
        <w:rPr>
          <w:rFonts w:ascii="宋体" w:hAnsi="宋体"/>
          <w:highlight w:val="none"/>
        </w:rPr>
        <w:t>[</w:t>
      </w:r>
      <w:r>
        <w:rPr>
          <w:rFonts w:hint="eastAsia" w:ascii="宋体" w:hAnsi="宋体"/>
          <w:highlight w:val="none"/>
        </w:rPr>
        <w:t>来源：</w:t>
      </w:r>
      <w:r>
        <w:rPr>
          <w:highlight w:val="none"/>
        </w:rPr>
        <w:t>温室气体核算体系</w:t>
      </w:r>
      <w:r>
        <w:rPr>
          <w:rFonts w:asciiTheme="minorEastAsia" w:hAnsiTheme="minorEastAsia" w:eastAsiaTheme="minorEastAsia"/>
          <w:highlight w:val="none"/>
        </w:rPr>
        <w:t xml:space="preserve"> </w:t>
      </w:r>
      <w:r>
        <w:rPr>
          <w:rFonts w:hint="eastAsia" w:asciiTheme="minorEastAsia" w:hAnsiTheme="minorEastAsia" w:eastAsiaTheme="minorEastAsia"/>
          <w:highlight w:val="none"/>
        </w:rPr>
        <w:t>企业核算与报告标准</w:t>
      </w:r>
      <w:r>
        <w:rPr>
          <w:rFonts w:ascii="宋体" w:hAnsi="宋体"/>
          <w:highlight w:val="none"/>
        </w:rPr>
        <w:t>]</w:t>
      </w:r>
    </w:p>
    <w:p>
      <w:pPr>
        <w:rPr>
          <w:rFonts w:ascii="黑体" w:hAnsi="黑体" w:eastAsia="黑体"/>
          <w:highlight w:val="none"/>
        </w:rPr>
      </w:pPr>
      <w:r>
        <w:rPr>
          <w:rFonts w:hint="eastAsia" w:ascii="黑体" w:hAnsi="黑体" w:eastAsia="黑体"/>
          <w:highlight w:val="none"/>
        </w:rPr>
        <w:t>3.1.7</w:t>
      </w:r>
    </w:p>
    <w:p>
      <w:pPr>
        <w:ind w:left="420"/>
        <w:rPr>
          <w:rFonts w:ascii="黑体" w:hAnsi="黑体" w:eastAsia="黑体"/>
          <w:bCs/>
          <w:highlight w:val="none"/>
        </w:rPr>
      </w:pPr>
      <w:r>
        <w:rPr>
          <w:rFonts w:hint="eastAsia" w:ascii="黑体" w:hAnsi="黑体" w:eastAsia="黑体"/>
          <w:bCs/>
          <w:highlight w:val="none"/>
        </w:rPr>
        <w:t>未消除的温室气体排放（剩余排放）</w:t>
      </w:r>
      <w:r>
        <w:rPr>
          <w:rFonts w:hint="eastAsia" w:ascii="Times New Roman" w:hAnsi="Times New Roman" w:eastAsia="黑体"/>
          <w:b/>
          <w:bCs w:val="0"/>
          <w:highlight w:val="none"/>
        </w:rPr>
        <w:t>unabated</w:t>
      </w:r>
      <w:r>
        <w:rPr>
          <w:rFonts w:eastAsia="黑体"/>
          <w:b/>
          <w:highlight w:val="none"/>
        </w:rPr>
        <w:t xml:space="preserve"> GHG emission</w:t>
      </w:r>
    </w:p>
    <w:p>
      <w:pPr>
        <w:ind w:left="424" w:leftChars="202"/>
        <w:rPr>
          <w:highlight w:val="none"/>
        </w:rPr>
      </w:pPr>
      <w:r>
        <w:rPr>
          <w:rFonts w:hint="eastAsia"/>
          <w:highlight w:val="none"/>
        </w:rPr>
        <w:t>在实施温室气体减排（3.2.4）后，</w:t>
      </w:r>
      <w:r>
        <w:rPr>
          <w:rFonts w:hint="eastAsia" w:ascii="Times New Roman" w:hAnsi="Times New Roman" w:eastAsia="宋体"/>
          <w:bCs w:val="0"/>
          <w:highlight w:val="none"/>
        </w:rPr>
        <w:t>描述对象</w:t>
      </w:r>
      <w:r>
        <w:rPr>
          <w:rFonts w:hint="eastAsia"/>
          <w:highlight w:val="none"/>
        </w:rPr>
        <w:t>（3.3.1）边界（3.2.8）内仍保留的温室气体排放（3.1.2）。</w:t>
      </w:r>
    </w:p>
    <w:p>
      <w:pPr>
        <w:ind w:firstLine="420"/>
        <w:rPr>
          <w:rFonts w:asciiTheme="minorEastAsia" w:hAnsiTheme="minorEastAsia" w:eastAsiaTheme="minorEastAsia"/>
          <w:szCs w:val="21"/>
          <w:highlight w:val="none"/>
        </w:rPr>
      </w:pP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来源：</w:t>
      </w:r>
      <w:r>
        <w:rPr>
          <w:rFonts w:eastAsiaTheme="minorEastAsia"/>
          <w:szCs w:val="21"/>
          <w:highlight w:val="none"/>
        </w:rPr>
        <w:t>ISO 14068-1:2023，3.1.</w:t>
      </w:r>
      <w:r>
        <w:rPr>
          <w:rFonts w:hint="eastAsia" w:eastAsiaTheme="minorEastAsia"/>
          <w:szCs w:val="21"/>
          <w:highlight w:val="none"/>
        </w:rPr>
        <w:t>4</w:t>
      </w:r>
      <w:r>
        <w:rPr>
          <w:rFonts w:asciiTheme="minorEastAsia" w:hAnsiTheme="minorEastAsia" w:eastAsiaTheme="minorEastAsia"/>
          <w:szCs w:val="21"/>
          <w:highlight w:val="none"/>
        </w:rPr>
        <w:t>]</w:t>
      </w:r>
    </w:p>
    <w:p>
      <w:pPr>
        <w:ind w:left="181" w:leftChars="86"/>
        <w:rPr>
          <w:rFonts w:ascii="黑体" w:hAnsi="黑体" w:eastAsia="黑体"/>
          <w:highlight w:val="none"/>
        </w:rPr>
      </w:pPr>
      <w:r>
        <w:rPr>
          <w:rFonts w:hint="eastAsia" w:ascii="黑体" w:hAnsi="黑体" w:eastAsia="黑体"/>
          <w:highlight w:val="none"/>
        </w:rPr>
        <w:t>3.1.8</w:t>
      </w:r>
    </w:p>
    <w:p>
      <w:pPr>
        <w:ind w:left="601" w:leftChars="286"/>
        <w:rPr>
          <w:rFonts w:ascii="黑体" w:hAnsi="黑体" w:eastAsia="黑体"/>
          <w:bCs/>
          <w:highlight w:val="none"/>
        </w:rPr>
      </w:pPr>
      <w:r>
        <w:rPr>
          <w:rFonts w:hint="eastAsia" w:ascii="黑体" w:hAnsi="黑体" w:eastAsia="黑体"/>
          <w:bCs/>
          <w:highlight w:val="none"/>
        </w:rPr>
        <w:t>残留温室气体排放（残留排放）</w:t>
      </w:r>
      <w:r>
        <w:rPr>
          <w:rFonts w:eastAsia="黑体"/>
          <w:b/>
          <w:highlight w:val="none"/>
        </w:rPr>
        <w:t>residual GHG emission</w:t>
      </w:r>
    </w:p>
    <w:p>
      <w:pPr>
        <w:ind w:left="601" w:leftChars="286"/>
        <w:rPr>
          <w:highlight w:val="none"/>
        </w:rPr>
      </w:pPr>
      <w:r>
        <w:rPr>
          <w:rFonts w:hint="eastAsia"/>
          <w:highlight w:val="none"/>
        </w:rPr>
        <w:t>在实施所有技术上和经济上可行的温室气体减排（3.2.4）后，仍保留的温室气体排放（3.1.2）。</w:t>
      </w:r>
    </w:p>
    <w:p>
      <w:pPr>
        <w:ind w:left="605" w:leftChars="288" w:firstLine="2"/>
        <w:rPr>
          <w:rFonts w:asciiTheme="minorEastAsia" w:hAnsiTheme="minorEastAsia" w:eastAsiaTheme="minorEastAsia"/>
          <w:szCs w:val="21"/>
          <w:highlight w:val="none"/>
        </w:rPr>
      </w:pPr>
      <w:r>
        <w:rPr>
          <w:rFonts w:hint="eastAsia" w:ascii="黑体" w:hAnsi="黑体" w:eastAsia="黑体"/>
          <w:sz w:val="18"/>
          <w:szCs w:val="18"/>
          <w:highlight w:val="none"/>
        </w:rPr>
        <w:t>注</w:t>
      </w:r>
      <w:r>
        <w:rPr>
          <w:rFonts w:ascii="黑体" w:hAnsi="黑体" w:eastAsia="黑体"/>
          <w:sz w:val="18"/>
          <w:szCs w:val="18"/>
          <w:highlight w:val="none"/>
        </w:rPr>
        <w:t>1</w:t>
      </w:r>
      <w:r>
        <w:rPr>
          <w:rFonts w:hint="eastAsia" w:ascii="黑体" w:hAnsi="黑体" w:eastAsia="黑体"/>
          <w:sz w:val="18"/>
          <w:szCs w:val="18"/>
          <w:highlight w:val="none"/>
        </w:rPr>
        <w:t>：</w:t>
      </w:r>
      <w:r>
        <w:rPr>
          <w:rFonts w:hint="eastAsia"/>
          <w:sz w:val="18"/>
          <w:szCs w:val="18"/>
          <w:highlight w:val="none"/>
        </w:rPr>
        <w:t>残留排放是剩余排放中可以被认定为难以通过技术和经济上可行的方法减少的排放。典型的残留排放可能包括部分行业加工过程的难以避免的温室气体排放，或设施处于非正常紧急状态时的排放等。在认定残留排放时，应充分当时可得的减排排放的方法或举措，只有在证明方法受限于必要基础设施不足，或技术或财务可行性的不足的情况下，可以被认为不可行。</w:t>
      </w:r>
    </w:p>
    <w:p>
      <w:pPr>
        <w:ind w:firstLine="420"/>
        <w:rPr>
          <w:rFonts w:asciiTheme="minorEastAsia" w:hAnsiTheme="minorEastAsia" w:eastAsiaTheme="minorEastAsia"/>
          <w:szCs w:val="21"/>
          <w:highlight w:val="none"/>
        </w:rPr>
      </w:pP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来源：</w:t>
      </w:r>
      <w:r>
        <w:rPr>
          <w:rFonts w:eastAsiaTheme="minorEastAsia"/>
          <w:szCs w:val="21"/>
          <w:highlight w:val="none"/>
        </w:rPr>
        <w:t>ISO 14068-1:2023，3.1.5</w:t>
      </w:r>
      <w:r>
        <w:rPr>
          <w:rFonts w:hint="eastAsia" w:eastAsiaTheme="minorEastAsia"/>
          <w:szCs w:val="21"/>
          <w:highlight w:val="none"/>
        </w:rPr>
        <w:t>和附件A</w:t>
      </w:r>
      <w:r>
        <w:rPr>
          <w:rFonts w:asciiTheme="minorEastAsia" w:hAnsiTheme="minorEastAsia" w:eastAsiaTheme="minorEastAsia"/>
          <w:szCs w:val="21"/>
          <w:highlight w:val="none"/>
        </w:rPr>
        <w:t>]</w:t>
      </w:r>
    </w:p>
    <w:p>
      <w:pPr>
        <w:pStyle w:val="3"/>
        <w:spacing w:before="120" w:after="120"/>
        <w:rPr>
          <w:rFonts w:ascii="黑体" w:hAnsi="黑体" w:eastAsia="黑体"/>
          <w:szCs w:val="21"/>
          <w:highlight w:val="none"/>
        </w:rPr>
      </w:pPr>
      <w:bookmarkStart w:id="11" w:name="_Toc166611362"/>
      <w:r>
        <w:rPr>
          <w:rFonts w:ascii="黑体" w:hAnsi="黑体" w:eastAsia="黑体"/>
          <w:b w:val="0"/>
          <w:sz w:val="21"/>
          <w:szCs w:val="21"/>
          <w:highlight w:val="none"/>
        </w:rPr>
        <w:t>3.</w:t>
      </w:r>
      <w:r>
        <w:rPr>
          <w:rFonts w:hint="eastAsia" w:ascii="黑体" w:hAnsi="黑体" w:eastAsia="黑体"/>
          <w:b w:val="0"/>
          <w:sz w:val="21"/>
          <w:szCs w:val="21"/>
          <w:highlight w:val="none"/>
        </w:rPr>
        <w:t>2</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与气候行动相关的术语</w:t>
      </w:r>
      <w:bookmarkEnd w:id="11"/>
    </w:p>
    <w:p>
      <w:pPr>
        <w:rPr>
          <w:rFonts w:ascii="黑体" w:hAnsi="黑体" w:eastAsia="黑体"/>
          <w:highlight w:val="none"/>
        </w:rPr>
      </w:pPr>
      <w:r>
        <w:rPr>
          <w:rFonts w:hint="eastAsia" w:ascii="黑体" w:hAnsi="黑体" w:eastAsia="黑体"/>
          <w:highlight w:val="none"/>
        </w:rPr>
        <w:t>3.2.1</w:t>
      </w:r>
    </w:p>
    <w:p>
      <w:pPr>
        <w:ind w:firstLine="420"/>
        <w:rPr>
          <w:rFonts w:hint="eastAsia" w:eastAsia="黑体"/>
          <w:b/>
          <w:highlight w:val="none"/>
        </w:rPr>
      </w:pPr>
      <w:r>
        <w:rPr>
          <w:rFonts w:hint="eastAsia" w:ascii="黑体" w:hAnsi="黑体" w:eastAsia="黑体"/>
          <w:bCs/>
          <w:highlight w:val="none"/>
        </w:rPr>
        <w:t>温室气体净零排放</w:t>
      </w:r>
      <w:r>
        <w:rPr>
          <w:rFonts w:ascii="黑体" w:hAnsi="黑体" w:eastAsia="黑体"/>
          <w:bCs/>
          <w:highlight w:val="none"/>
        </w:rPr>
        <w:t xml:space="preserve"> </w:t>
      </w:r>
      <w:r>
        <w:rPr>
          <w:rFonts w:eastAsia="黑体"/>
          <w:b/>
          <w:highlight w:val="none"/>
        </w:rPr>
        <w:t xml:space="preserve">net zero GHG </w:t>
      </w:r>
      <w:r>
        <w:rPr>
          <w:rFonts w:hint="eastAsia" w:eastAsia="黑体"/>
          <w:b/>
          <w:highlight w:val="none"/>
        </w:rPr>
        <w:t>emission</w:t>
      </w:r>
    </w:p>
    <w:p>
      <w:pPr>
        <w:ind w:firstLine="420"/>
        <w:rPr>
          <w:rFonts w:hint="eastAsia" w:eastAsia="黑体"/>
          <w:b/>
          <w:highlight w:val="none"/>
        </w:rPr>
      </w:pPr>
      <w:r>
        <w:rPr>
          <w:rFonts w:hint="eastAsia" w:ascii="黑体" w:hAnsi="黑体" w:eastAsia="黑体"/>
          <w:bCs/>
          <w:highlight w:val="none"/>
        </w:rPr>
        <w:t>净零碳排放（净零排放，或净零）</w:t>
      </w:r>
      <w:r>
        <w:rPr>
          <w:rFonts w:eastAsia="黑体"/>
          <w:b/>
          <w:highlight w:val="none"/>
        </w:rPr>
        <w:t xml:space="preserve">net zero </w:t>
      </w:r>
      <w:r>
        <w:rPr>
          <w:rFonts w:hint="eastAsia" w:eastAsia="黑体"/>
          <w:b/>
          <w:highlight w:val="none"/>
        </w:rPr>
        <w:t>carbon</w:t>
      </w:r>
      <w:r>
        <w:rPr>
          <w:rFonts w:eastAsia="黑体"/>
          <w:b/>
          <w:highlight w:val="none"/>
        </w:rPr>
        <w:t xml:space="preserve"> </w:t>
      </w:r>
      <w:r>
        <w:rPr>
          <w:rFonts w:hint="eastAsia" w:eastAsia="黑体"/>
          <w:b/>
          <w:highlight w:val="none"/>
        </w:rPr>
        <w:t>emission</w:t>
      </w:r>
      <w:r>
        <w:rPr>
          <w:rFonts w:ascii="黑体" w:hAnsi="黑体" w:eastAsia="黑体"/>
          <w:bCs/>
          <w:highlight w:val="none"/>
        </w:rPr>
        <w:t xml:space="preserve"> </w:t>
      </w:r>
      <w:r>
        <w:rPr>
          <w:rFonts w:hint="eastAsia" w:eastAsia="黑体"/>
          <w:b/>
          <w:highlight w:val="none"/>
        </w:rPr>
        <w:t xml:space="preserve"> (net zero)</w:t>
      </w:r>
    </w:p>
    <w:p>
      <w:pPr>
        <w:ind w:firstLine="420"/>
        <w:rPr>
          <w:highlight w:val="none"/>
        </w:rPr>
      </w:pPr>
      <w:r>
        <w:rPr>
          <w:rFonts w:hint="eastAsia"/>
          <w:highlight w:val="none"/>
        </w:rPr>
        <w:t>在特定时期、特定范围内人为引起的温室气体残留排放量（3.1.8）可由人为主导的清除量（3.2.5）平衡的状态。</w:t>
      </w:r>
    </w:p>
    <w:p>
      <w:pPr>
        <w:ind w:left="420" w:leftChars="200"/>
        <w:rPr>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 xml:space="preserve"> 1</w:t>
      </w:r>
      <w:r>
        <w:rPr>
          <w:rFonts w:hint="eastAsia" w:ascii="黑体" w:hAnsi="黑体" w:eastAsia="黑体"/>
          <w:sz w:val="18"/>
          <w:szCs w:val="18"/>
          <w:highlight w:val="none"/>
        </w:rPr>
        <w:t>：</w:t>
      </w:r>
      <w:r>
        <w:rPr>
          <w:rFonts w:hint="eastAsia"/>
          <w:sz w:val="18"/>
          <w:szCs w:val="18"/>
          <w:highlight w:val="none"/>
        </w:rPr>
        <w:t>人类主导的清除包括生态系统恢复、直接空气碳捕集和封存、再造林和造林、增强风化、生物炭和其他有效方法。</w:t>
      </w:r>
    </w:p>
    <w:p>
      <w:pPr>
        <w:ind w:firstLine="420"/>
        <w:rPr>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 xml:space="preserve"> 2</w:t>
      </w:r>
      <w:bookmarkStart w:id="12" w:name="_Int_YQ0AFTrQ"/>
      <w:r>
        <w:rPr>
          <w:rFonts w:hint="eastAsia" w:ascii="黑体" w:hAnsi="黑体" w:eastAsia="黑体"/>
          <w:sz w:val="18"/>
          <w:szCs w:val="18"/>
          <w:highlight w:val="none"/>
        </w:rPr>
        <w:t>：</w:t>
      </w:r>
      <w:r>
        <w:rPr>
          <w:sz w:val="18"/>
          <w:szCs w:val="18"/>
          <w:highlight w:val="none"/>
        </w:rPr>
        <w:t>“</w:t>
      </w:r>
      <w:bookmarkEnd w:id="12"/>
      <w:r>
        <w:rPr>
          <w:rFonts w:hint="eastAsia"/>
          <w:sz w:val="18"/>
          <w:szCs w:val="18"/>
          <w:highlight w:val="none"/>
        </w:rPr>
        <w:t>人为引起</w:t>
      </w:r>
      <w:r>
        <w:rPr>
          <w:sz w:val="18"/>
          <w:szCs w:val="18"/>
          <w:highlight w:val="none"/>
        </w:rPr>
        <w:t>”</w:t>
      </w:r>
      <w:r>
        <w:rPr>
          <w:rFonts w:hint="eastAsia"/>
          <w:sz w:val="18"/>
          <w:szCs w:val="18"/>
          <w:highlight w:val="none"/>
        </w:rPr>
        <w:t>和</w:t>
      </w:r>
      <w:r>
        <w:rPr>
          <w:sz w:val="18"/>
          <w:szCs w:val="18"/>
          <w:highlight w:val="none"/>
        </w:rPr>
        <w:t>“</w:t>
      </w:r>
      <w:r>
        <w:rPr>
          <w:rFonts w:hint="eastAsia"/>
          <w:sz w:val="18"/>
          <w:szCs w:val="18"/>
          <w:highlight w:val="none"/>
        </w:rPr>
        <w:t>人为主导</w:t>
      </w:r>
      <w:r>
        <w:rPr>
          <w:sz w:val="18"/>
          <w:szCs w:val="18"/>
          <w:highlight w:val="none"/>
        </w:rPr>
        <w:t>”</w:t>
      </w:r>
      <w:r>
        <w:rPr>
          <w:rFonts w:hint="eastAsia"/>
          <w:sz w:val="18"/>
          <w:szCs w:val="18"/>
          <w:highlight w:val="none"/>
        </w:rPr>
        <w:t>这两个词旨在被理解为</w:t>
      </w:r>
      <w:r>
        <w:rPr>
          <w:sz w:val="18"/>
          <w:szCs w:val="18"/>
          <w:highlight w:val="none"/>
        </w:rPr>
        <w:t>IPCC</w:t>
      </w:r>
      <w:r>
        <w:rPr>
          <w:rFonts w:hint="eastAsia"/>
          <w:sz w:val="18"/>
          <w:szCs w:val="18"/>
          <w:highlight w:val="none"/>
        </w:rPr>
        <w:t>定义中</w:t>
      </w:r>
      <w:r>
        <w:rPr>
          <w:sz w:val="18"/>
          <w:szCs w:val="18"/>
          <w:highlight w:val="none"/>
        </w:rPr>
        <w:t>“</w:t>
      </w:r>
      <w:r>
        <w:rPr>
          <w:rFonts w:hint="eastAsia"/>
          <w:sz w:val="18"/>
          <w:szCs w:val="18"/>
          <w:highlight w:val="none"/>
        </w:rPr>
        <w:t>人为引起</w:t>
      </w:r>
      <w:r>
        <w:rPr>
          <w:sz w:val="18"/>
          <w:szCs w:val="18"/>
          <w:highlight w:val="none"/>
        </w:rPr>
        <w:t>”</w:t>
      </w:r>
      <w:r>
        <w:rPr>
          <w:rFonts w:hint="eastAsia"/>
          <w:sz w:val="18"/>
          <w:szCs w:val="18"/>
          <w:highlight w:val="none"/>
        </w:rPr>
        <w:t>的同义词。</w:t>
      </w:r>
    </w:p>
    <w:p>
      <w:pPr>
        <w:ind w:firstLine="420"/>
        <w:rPr>
          <w:rFonts w:asciiTheme="minorEastAsia" w:hAnsiTheme="minorEastAsia" w:eastAsiaTheme="minorEastAsia"/>
          <w:highlight w:val="none"/>
        </w:rPr>
      </w:pPr>
      <w:r>
        <w:rPr>
          <w:rFonts w:asciiTheme="minorEastAsia" w:hAnsiTheme="minorEastAsia" w:eastAsiaTheme="minorEastAsia"/>
          <w:highlight w:val="none"/>
        </w:rPr>
        <w:t>[</w:t>
      </w:r>
      <w:r>
        <w:rPr>
          <w:rFonts w:hint="eastAsia" w:asciiTheme="minorEastAsia" w:hAnsiTheme="minorEastAsia" w:eastAsiaTheme="minorEastAsia"/>
          <w:highlight w:val="none"/>
        </w:rPr>
        <w:t>来源：</w:t>
      </w:r>
      <w:r>
        <w:rPr>
          <w:rFonts w:eastAsiaTheme="minorEastAsia"/>
          <w:highlight w:val="none"/>
        </w:rPr>
        <w:t>ISO IWA 42:2022，3.1.1</w:t>
      </w:r>
      <w:r>
        <w:rPr>
          <w:rFonts w:asciiTheme="minorEastAsia" w:hAnsiTheme="minorEastAsia" w:eastAsiaTheme="minorEastAsia"/>
          <w:highlight w:val="none"/>
        </w:rPr>
        <w:t>]</w:t>
      </w:r>
    </w:p>
    <w:p>
      <w:pPr>
        <w:rPr>
          <w:rFonts w:ascii="黑体" w:hAnsi="黑体" w:eastAsia="黑体"/>
          <w:highlight w:val="none"/>
        </w:rPr>
      </w:pPr>
      <w:r>
        <w:rPr>
          <w:rFonts w:hint="eastAsia" w:ascii="黑体" w:hAnsi="黑体" w:eastAsia="黑体"/>
          <w:highlight w:val="none"/>
        </w:rPr>
        <w:t>3.2.2</w:t>
      </w:r>
    </w:p>
    <w:p>
      <w:pPr>
        <w:ind w:firstLine="420"/>
        <w:rPr>
          <w:rFonts w:eastAsia="黑体"/>
          <w:b/>
          <w:highlight w:val="none"/>
        </w:rPr>
      </w:pPr>
      <w:r>
        <w:rPr>
          <w:rFonts w:hint="eastAsia" w:ascii="黑体" w:hAnsi="黑体" w:eastAsia="黑体"/>
          <w:bCs/>
          <w:highlight w:val="none"/>
        </w:rPr>
        <w:t xml:space="preserve">碳中和 </w:t>
      </w:r>
      <w:r>
        <w:rPr>
          <w:rFonts w:eastAsia="黑体"/>
          <w:b/>
          <w:highlight w:val="none"/>
        </w:rPr>
        <w:t>carbon neutrality</w:t>
      </w:r>
    </w:p>
    <w:p>
      <w:pPr>
        <w:ind w:firstLine="420"/>
        <w:rPr>
          <w:highlight w:val="none"/>
        </w:rPr>
      </w:pPr>
      <w:r>
        <w:rPr>
          <w:rFonts w:hint="eastAsia"/>
          <w:highlight w:val="none"/>
        </w:rPr>
        <w:t>在特定时期内，由于温室气体排放减少（3.2.4）或温室气体清除（3.2.5）增强，碳足迹（3.1.3）减少，并且如果大于零，则通过抵消（3.2.6）来平衡的状态。</w:t>
      </w:r>
    </w:p>
    <w:p>
      <w:pPr>
        <w:ind w:left="420" w:leftChars="200"/>
        <w:rPr>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1</w:t>
      </w:r>
      <w:r>
        <w:rPr>
          <w:rFonts w:hint="eastAsia" w:ascii="黑体" w:hAnsi="黑体" w:eastAsia="黑体"/>
          <w:sz w:val="18"/>
          <w:szCs w:val="18"/>
          <w:highlight w:val="none"/>
        </w:rPr>
        <w:t>：</w:t>
      </w:r>
      <w:r>
        <w:rPr>
          <w:rFonts w:hint="eastAsia"/>
          <w:sz w:val="18"/>
          <w:szCs w:val="18"/>
          <w:highlight w:val="none"/>
        </w:rPr>
        <w:t>该条件的实现并不限于主体边界内的温室气体排放和温室气体清除，还可以包括使用碳抵消等平衡措施，只要这些措施满足特定标准。</w:t>
      </w:r>
    </w:p>
    <w:p>
      <w:pPr>
        <w:ind w:firstLine="420"/>
        <w:rPr>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2</w:t>
      </w:r>
      <w:r>
        <w:rPr>
          <w:rFonts w:hint="eastAsia" w:ascii="黑体" w:hAnsi="黑体" w:eastAsia="黑体"/>
          <w:sz w:val="18"/>
          <w:szCs w:val="18"/>
          <w:highlight w:val="none"/>
        </w:rPr>
        <w:t>：</w:t>
      </w:r>
      <w:r>
        <w:rPr>
          <w:rFonts w:hint="eastAsia"/>
          <w:sz w:val="18"/>
          <w:szCs w:val="18"/>
          <w:highlight w:val="none"/>
        </w:rPr>
        <w:t>碳补偿是在根据碳中和管理计划进行温室气体减排和温室气体清除增强之后使用的。</w:t>
      </w:r>
    </w:p>
    <w:p>
      <w:pPr>
        <w:ind w:firstLine="420"/>
        <w:rPr>
          <w:rFonts w:asciiTheme="minorEastAsia" w:hAnsiTheme="minorEastAsia" w:eastAsiaTheme="minorEastAsia"/>
          <w:b/>
          <w:highlight w:val="none"/>
        </w:rPr>
      </w:pPr>
      <w:r>
        <w:rPr>
          <w:rFonts w:asciiTheme="minorEastAsia" w:hAnsiTheme="minorEastAsia" w:eastAsiaTheme="minorEastAsia"/>
          <w:highlight w:val="none"/>
        </w:rPr>
        <w:t>[</w:t>
      </w:r>
      <w:r>
        <w:rPr>
          <w:rFonts w:hint="eastAsia" w:asciiTheme="minorEastAsia" w:hAnsiTheme="minorEastAsia" w:eastAsiaTheme="minorEastAsia"/>
          <w:highlight w:val="none"/>
        </w:rPr>
        <w:t>来源：</w:t>
      </w:r>
      <w:r>
        <w:rPr>
          <w:rFonts w:eastAsiaTheme="minorEastAsia"/>
          <w:highlight w:val="none"/>
        </w:rPr>
        <w:t>ISO 14068-1:2018，3.1.1</w:t>
      </w:r>
      <w:r>
        <w:rPr>
          <w:rFonts w:asciiTheme="minorEastAsia" w:hAnsiTheme="minorEastAsia" w:eastAsiaTheme="minorEastAsia"/>
          <w:highlight w:val="none"/>
        </w:rPr>
        <w:t>]</w:t>
      </w:r>
    </w:p>
    <w:p>
      <w:pPr>
        <w:rPr>
          <w:rFonts w:ascii="黑体" w:hAnsi="黑体" w:eastAsia="黑体"/>
          <w:highlight w:val="none"/>
        </w:rPr>
      </w:pPr>
      <w:r>
        <w:rPr>
          <w:rFonts w:hint="eastAsia" w:ascii="黑体" w:hAnsi="黑体" w:eastAsia="黑体"/>
          <w:highlight w:val="none"/>
        </w:rPr>
        <w:t>3.2.3</w:t>
      </w:r>
    </w:p>
    <w:p>
      <w:pPr>
        <w:rPr>
          <w:rFonts w:ascii="黑体" w:hAnsi="黑体" w:eastAsia="黑体"/>
          <w:bCs/>
          <w:highlight w:val="none"/>
        </w:rPr>
      </w:pPr>
      <w:r>
        <w:rPr>
          <w:rFonts w:ascii="黑体" w:hAnsi="黑体" w:eastAsia="黑体"/>
          <w:szCs w:val="21"/>
          <w:highlight w:val="none"/>
        </w:rPr>
        <w:tab/>
      </w:r>
      <w:r>
        <w:rPr>
          <w:rFonts w:hint="eastAsia" w:ascii="黑体" w:hAnsi="黑体" w:eastAsia="黑体"/>
          <w:bCs/>
          <w:highlight w:val="none"/>
        </w:rPr>
        <w:t>减缓气候变化（减缓）</w:t>
      </w:r>
      <w:r>
        <w:rPr>
          <w:rFonts w:ascii="黑体" w:hAnsi="黑体" w:eastAsia="黑体"/>
          <w:bCs/>
          <w:highlight w:val="none"/>
        </w:rPr>
        <w:t xml:space="preserve"> </w:t>
      </w:r>
      <w:r>
        <w:rPr>
          <w:rFonts w:eastAsia="黑体"/>
          <w:b/>
          <w:highlight w:val="none"/>
        </w:rPr>
        <w:t>mitigation</w:t>
      </w:r>
    </w:p>
    <w:p>
      <w:pPr>
        <w:ind w:firstLine="420"/>
        <w:rPr>
          <w:highlight w:val="none"/>
        </w:rPr>
      </w:pPr>
      <w:r>
        <w:rPr>
          <w:rFonts w:hint="eastAsia"/>
          <w:highlight w:val="none"/>
        </w:rPr>
        <w:t>通过人为干预减少温室气体排放（3.2.4）或增强碳汇，以减缓气候变化的影响。</w:t>
      </w:r>
    </w:p>
    <w:p>
      <w:pPr>
        <w:ind w:firstLine="420"/>
        <w:rPr>
          <w:rFonts w:asciiTheme="minorEastAsia" w:hAnsiTheme="minorEastAsia" w:eastAsiaTheme="minorEastAsia"/>
          <w:sz w:val="18"/>
          <w:szCs w:val="21"/>
          <w:highlight w:val="none"/>
        </w:rPr>
      </w:pPr>
      <w:r>
        <w:rPr>
          <w:rFonts w:hint="eastAsia" w:ascii="黑体" w:hAnsi="黑体" w:eastAsia="黑体"/>
          <w:sz w:val="18"/>
          <w:szCs w:val="18"/>
          <w:highlight w:val="none"/>
        </w:rPr>
        <w:t>注：</w:t>
      </w:r>
      <w:r>
        <w:rPr>
          <w:rFonts w:hint="eastAsia" w:asciiTheme="minorEastAsia" w:hAnsiTheme="minorEastAsia" w:eastAsiaTheme="minorEastAsia"/>
          <w:sz w:val="18"/>
          <w:szCs w:val="21"/>
          <w:highlight w:val="none"/>
        </w:rPr>
        <w:t>碳汇指从大气中清除某种温室气体的过程。</w:t>
      </w:r>
    </w:p>
    <w:p>
      <w:pPr>
        <w:ind w:firstLine="420"/>
        <w:rPr>
          <w:rFonts w:ascii="宋体" w:hAnsi="宋体"/>
          <w:highlight w:val="none"/>
        </w:rPr>
      </w:pPr>
      <w:r>
        <w:rPr>
          <w:rFonts w:ascii="宋体" w:hAnsi="宋体"/>
          <w:highlight w:val="none"/>
        </w:rPr>
        <w:t>[</w:t>
      </w:r>
      <w:r>
        <w:rPr>
          <w:rFonts w:hint="eastAsia" w:ascii="宋体" w:hAnsi="宋体"/>
          <w:highlight w:val="none"/>
        </w:rPr>
        <w:t>来源</w:t>
      </w:r>
      <w:r>
        <w:rPr>
          <w:rFonts w:hint="eastAsia" w:asciiTheme="minorEastAsia" w:hAnsiTheme="minorEastAsia" w:eastAsiaTheme="minorEastAsia"/>
          <w:highlight w:val="none"/>
        </w:rPr>
        <w:t>：</w:t>
      </w:r>
      <w:r>
        <w:rPr>
          <w:rFonts w:eastAsiaTheme="minorEastAsia"/>
          <w:highlight w:val="none"/>
        </w:rPr>
        <w:t>IPCC AR6 WGIII附件I词汇表</w:t>
      </w:r>
      <w:r>
        <w:rPr>
          <w:rFonts w:ascii="宋体" w:hAnsi="宋体"/>
          <w:highlight w:val="none"/>
        </w:rPr>
        <w:t>]</w:t>
      </w:r>
    </w:p>
    <w:p>
      <w:pPr>
        <w:rPr>
          <w:rFonts w:ascii="黑体" w:hAnsi="黑体" w:eastAsia="黑体"/>
          <w:highlight w:val="none"/>
        </w:rPr>
      </w:pPr>
      <w:r>
        <w:rPr>
          <w:rFonts w:hint="eastAsia" w:ascii="黑体" w:hAnsi="黑体" w:eastAsia="黑体"/>
          <w:highlight w:val="none"/>
        </w:rPr>
        <w:t>3.2.4</w:t>
      </w:r>
    </w:p>
    <w:p>
      <w:pPr>
        <w:ind w:firstLine="420"/>
        <w:rPr>
          <w:rFonts w:eastAsia="黑体"/>
          <w:b/>
          <w:highlight w:val="none"/>
        </w:rPr>
      </w:pPr>
      <w:r>
        <w:rPr>
          <w:rFonts w:hint="eastAsia" w:ascii="黑体" w:hAnsi="黑体" w:eastAsia="黑体"/>
          <w:bCs/>
          <w:highlight w:val="none"/>
        </w:rPr>
        <w:t>减少排放（碳减排）</w:t>
      </w:r>
      <w:r>
        <w:rPr>
          <w:rFonts w:ascii="黑体" w:hAnsi="黑体" w:eastAsia="黑体"/>
          <w:bCs/>
          <w:highlight w:val="none"/>
        </w:rPr>
        <w:t xml:space="preserve"> </w:t>
      </w:r>
      <w:r>
        <w:rPr>
          <w:rFonts w:eastAsia="黑体"/>
          <w:b/>
          <w:highlight w:val="none"/>
        </w:rPr>
        <w:t>GHG reduction</w:t>
      </w:r>
    </w:p>
    <w:p>
      <w:pPr>
        <w:ind w:firstLine="420"/>
        <w:rPr>
          <w:rFonts w:eastAsia="黑体"/>
          <w:b/>
          <w:highlight w:val="none"/>
        </w:rPr>
      </w:pPr>
      <w:r>
        <w:rPr>
          <w:rFonts w:hint="eastAsia" w:ascii="黑体" w:hAnsi="黑体" w:eastAsia="黑体"/>
          <w:bCs/>
          <w:highlight w:val="none"/>
        </w:rPr>
        <w:t>温室气体清除（清除排放）</w:t>
      </w:r>
      <w:r>
        <w:rPr>
          <w:rFonts w:eastAsia="黑体"/>
          <w:b/>
          <w:highlight w:val="none"/>
        </w:rPr>
        <w:t>GHG removal</w:t>
      </w:r>
    </w:p>
    <w:p>
      <w:pPr>
        <w:ind w:left="420"/>
        <w:rPr>
          <w:sz w:val="18"/>
          <w:szCs w:val="21"/>
          <w:highlight w:val="none"/>
        </w:rPr>
      </w:pPr>
      <w:r>
        <w:rPr>
          <w:rStyle w:val="181"/>
          <w:rFonts w:hint="eastAsia"/>
          <w:highlight w:val="none"/>
        </w:rPr>
        <w:t>注</w:t>
      </w:r>
      <w:r>
        <w:rPr>
          <w:rStyle w:val="181"/>
          <w:highlight w:val="none"/>
        </w:rPr>
        <w:t>1</w:t>
      </w:r>
      <w:r>
        <w:rPr>
          <w:rStyle w:val="181"/>
          <w:rFonts w:hint="eastAsia"/>
          <w:highlight w:val="none"/>
        </w:rPr>
        <w:t>：</w:t>
      </w:r>
      <w:r>
        <w:rPr>
          <w:rFonts w:hint="eastAsia" w:asciiTheme="minorEastAsia" w:hAnsiTheme="minorEastAsia" w:eastAsiaTheme="minorEastAsia"/>
          <w:sz w:val="18"/>
          <w:szCs w:val="21"/>
          <w:highlight w:val="none"/>
        </w:rPr>
        <w:t>消除</w:t>
      </w:r>
      <w:r>
        <w:rPr>
          <w:rFonts w:asciiTheme="minorEastAsia" w:hAnsiTheme="minorEastAsia" w:eastAsiaTheme="minorEastAsia"/>
          <w:sz w:val="18"/>
          <w:szCs w:val="21"/>
          <w:highlight w:val="none"/>
        </w:rPr>
        <w:t>/</w:t>
      </w:r>
      <w:r>
        <w:rPr>
          <w:rFonts w:hint="eastAsia" w:asciiTheme="minorEastAsia" w:hAnsiTheme="minorEastAsia" w:eastAsiaTheme="minorEastAsia"/>
          <w:sz w:val="18"/>
          <w:szCs w:val="21"/>
          <w:highlight w:val="none"/>
        </w:rPr>
        <w:t>清除的类型包括造林、生物质建筑（由植物材料制成的建筑材料）、直接空气碳捕获和封存、栖息地恢复、土壤碳捕获、增强风化（将土壤与碎石混合）、生物能源与碳捕获和封存。</w:t>
      </w:r>
    </w:p>
    <w:p>
      <w:pPr>
        <w:ind w:firstLine="420"/>
        <w:rPr>
          <w:rFonts w:eastAsia="黑体"/>
          <w:b/>
          <w:highlight w:val="none"/>
        </w:rPr>
      </w:pPr>
      <w:r>
        <w:rPr>
          <w:rFonts w:hint="eastAsia" w:ascii="黑体" w:hAnsi="黑体" w:eastAsia="黑体"/>
          <w:bCs/>
          <w:highlight w:val="none"/>
        </w:rPr>
        <w:t>抵消排放</w:t>
      </w:r>
      <w:r>
        <w:rPr>
          <w:rFonts w:ascii="黑体" w:hAnsi="黑体" w:eastAsia="黑体"/>
          <w:bCs/>
          <w:highlight w:val="none"/>
        </w:rPr>
        <w:t xml:space="preserve"> </w:t>
      </w:r>
      <w:r>
        <w:rPr>
          <w:rFonts w:eastAsia="黑体"/>
          <w:b/>
          <w:highlight w:val="none"/>
        </w:rPr>
        <w:t>GHG offset</w:t>
      </w:r>
    </w:p>
    <w:p>
      <w:pPr>
        <w:ind w:firstLine="420"/>
        <w:rPr>
          <w:highlight w:val="none"/>
        </w:rPr>
      </w:pPr>
      <w:r>
        <w:rPr>
          <w:highlight w:val="none"/>
        </w:rPr>
        <w:t>企业边界之外的活动产生的</w:t>
      </w:r>
      <w:r>
        <w:rPr>
          <w:rFonts w:hint="eastAsia"/>
          <w:highlight w:val="none"/>
        </w:rPr>
        <w:t>碳</w:t>
      </w:r>
      <w:r>
        <w:rPr>
          <w:highlight w:val="none"/>
        </w:rPr>
        <w:t>清除</w:t>
      </w:r>
      <w:r>
        <w:rPr>
          <w:rFonts w:hint="eastAsia"/>
          <w:highlight w:val="none"/>
        </w:rPr>
        <w:t>（3.2.5）</w:t>
      </w:r>
      <w:r>
        <w:rPr>
          <w:highlight w:val="none"/>
        </w:rPr>
        <w:t>，且被用于抵消组织的剩余排放</w:t>
      </w:r>
      <w:r>
        <w:rPr>
          <w:rFonts w:hint="eastAsia"/>
          <w:highlight w:val="none"/>
        </w:rPr>
        <w:t>（3.1.7）</w:t>
      </w:r>
      <w:r>
        <w:rPr>
          <w:highlight w:val="none"/>
        </w:rPr>
        <w:t>。</w:t>
      </w:r>
    </w:p>
    <w:p>
      <w:pPr>
        <w:ind w:firstLine="420"/>
        <w:rPr>
          <w:rFonts w:asciiTheme="minorEastAsia" w:hAnsiTheme="minorEastAsia" w:eastAsiaTheme="minorEastAsia"/>
          <w:highlight w:val="none"/>
        </w:rPr>
      </w:pPr>
      <w:r>
        <w:rPr>
          <w:rFonts w:asciiTheme="minorEastAsia" w:hAnsiTheme="minorEastAsia" w:eastAsiaTheme="minorEastAsia"/>
          <w:highlight w:val="none"/>
        </w:rPr>
        <w:t>与两个时间点之间的活动或相对于基线具体相关或产生的温室气体排放量（3.1.2）的量化减少。</w:t>
      </w:r>
    </w:p>
    <w:p>
      <w:pPr>
        <w:ind w:firstLine="420"/>
        <w:rPr>
          <w:rFonts w:asciiTheme="minorEastAsia" w:hAnsiTheme="minorEastAsia" w:eastAsiaTheme="minorEastAsia"/>
          <w:highlight w:val="none"/>
        </w:rPr>
      </w:pPr>
      <w:r>
        <w:rPr>
          <w:rFonts w:asciiTheme="minorEastAsia" w:hAnsiTheme="minorEastAsia" w:eastAsiaTheme="minorEastAsia"/>
          <w:highlight w:val="none"/>
        </w:rPr>
        <w:t>注：碳减排（3.2.4）、碳清除（3.2.5）、碳抵消（3.2.6）与避免排放（3.2.7）均属于减缓（3.2.3）的范畴，参见附录A。</w:t>
      </w:r>
    </w:p>
    <w:p>
      <w:pPr>
        <w:ind w:firstLine="420"/>
        <w:rPr>
          <w:rFonts w:asciiTheme="minorEastAsia" w:hAnsiTheme="minorEastAsia" w:eastAsiaTheme="minorEastAsia"/>
          <w:highlight w:val="none"/>
        </w:rPr>
      </w:pPr>
      <w:r>
        <w:rPr>
          <w:rFonts w:asciiTheme="minorEastAsia" w:hAnsiTheme="minorEastAsia" w:eastAsiaTheme="minorEastAsia"/>
          <w:highlight w:val="none"/>
        </w:rPr>
        <w:t>[来源：</w:t>
      </w:r>
      <w:r>
        <w:rPr>
          <w:rFonts w:ascii="Times New Roman" w:hAnsi="Times New Roman" w:eastAsia="宋体"/>
          <w:highlight w:val="none"/>
        </w:rPr>
        <w:t>ISO IWA 42:2022，3.3.2</w:t>
      </w:r>
      <w:r>
        <w:rPr>
          <w:rFonts w:asciiTheme="minorEastAsia" w:hAnsiTheme="minorEastAsia" w:eastAsiaTheme="minorEastAsia"/>
          <w:highlight w:val="none"/>
        </w:rPr>
        <w:t>]</w:t>
      </w:r>
    </w:p>
    <w:p>
      <w:pPr>
        <w:rPr>
          <w:rFonts w:ascii="黑体" w:hAnsi="黑体" w:eastAsia="黑体"/>
          <w:highlight w:val="none"/>
        </w:rPr>
      </w:pPr>
      <w:r>
        <w:rPr>
          <w:rFonts w:hint="eastAsia" w:ascii="黑体" w:hAnsi="黑体" w:eastAsia="黑体"/>
          <w:highlight w:val="none"/>
        </w:rPr>
        <w:t>3.2.7</w:t>
      </w:r>
    </w:p>
    <w:p>
      <w:pPr>
        <w:ind w:left="181" w:leftChars="86" w:firstLine="420"/>
        <w:rPr>
          <w:rFonts w:ascii="黑体" w:hAnsi="黑体" w:eastAsia="黑体"/>
          <w:bCs/>
          <w:highlight w:val="none"/>
        </w:rPr>
      </w:pPr>
      <w:r>
        <w:rPr>
          <w:rFonts w:hint="eastAsia" w:ascii="黑体" w:hAnsi="黑体" w:eastAsia="黑体"/>
          <w:bCs/>
          <w:highlight w:val="none"/>
        </w:rPr>
        <w:t>避免排放</w:t>
      </w:r>
      <w:r>
        <w:rPr>
          <w:rFonts w:hint="eastAsia" w:ascii="Times New Roman" w:hAnsi="Times New Roman" w:eastAsia="黑体"/>
          <w:b/>
          <w:bCs w:val="0"/>
          <w:highlight w:val="none"/>
        </w:rPr>
        <w:t xml:space="preserve"> </w:t>
      </w:r>
      <w:r>
        <w:rPr>
          <w:rFonts w:eastAsia="黑体"/>
          <w:b/>
          <w:highlight w:val="none"/>
        </w:rPr>
        <w:t>avoidance</w:t>
      </w:r>
    </w:p>
    <w:p>
      <w:pPr>
        <w:ind w:left="181" w:leftChars="86" w:firstLine="420"/>
        <w:rPr>
          <w:rFonts w:eastAsia="黑体"/>
          <w:b/>
          <w:highlight w:val="none"/>
        </w:rPr>
      </w:pPr>
      <w:r>
        <w:rPr>
          <w:rFonts w:hint="eastAsia" w:ascii="黑体" w:hAnsi="黑体" w:eastAsia="黑体"/>
          <w:bCs/>
          <w:highlight w:val="none"/>
        </w:rPr>
        <w:t>避免温室气体排放</w:t>
      </w:r>
      <w:r>
        <w:rPr>
          <w:rFonts w:ascii="黑体" w:hAnsi="黑体" w:eastAsia="黑体"/>
          <w:bCs/>
          <w:highlight w:val="none"/>
        </w:rPr>
        <w:t xml:space="preserve"> </w:t>
      </w:r>
      <w:r>
        <w:rPr>
          <w:rFonts w:eastAsia="黑体"/>
          <w:b/>
          <w:highlight w:val="none"/>
        </w:rPr>
        <w:t>avoided GHG emission</w:t>
      </w:r>
    </w:p>
    <w:p>
      <w:pPr>
        <w:ind w:left="181" w:leftChars="86" w:firstLine="420"/>
        <w:rPr>
          <w:highlight w:val="none"/>
        </w:rPr>
      </w:pPr>
      <w:r>
        <w:rPr>
          <w:rFonts w:hint="eastAsia"/>
          <w:highlight w:val="none"/>
        </w:rPr>
        <w:t>因使用企业提供的产品或服务，从而在企业边界之外产生的，避免其他主体潜在温室气体排放（3.1.2）的效果。</w:t>
      </w:r>
    </w:p>
    <w:p>
      <w:pPr>
        <w:ind w:left="181" w:leftChars="86" w:firstLine="420"/>
        <w:rPr>
          <w:sz w:val="18"/>
          <w:szCs w:val="18"/>
          <w:highlight w:val="none"/>
        </w:rPr>
      </w:pPr>
      <w:r>
        <w:rPr>
          <w:rFonts w:hint="eastAsia" w:ascii="黑体" w:hAnsi="黑体" w:eastAsia="黑体"/>
          <w:sz w:val="18"/>
          <w:szCs w:val="18"/>
          <w:highlight w:val="none"/>
        </w:rPr>
        <w:t>注</w:t>
      </w:r>
      <w:r>
        <w:rPr>
          <w:rFonts w:hint="eastAsia" w:ascii="Times New Roman" w:hAnsi="Times New Roman" w:eastAsia="黑体"/>
          <w:sz w:val="18"/>
          <w:szCs w:val="18"/>
          <w:highlight w:val="none"/>
        </w:rPr>
        <w:t>1</w:t>
      </w:r>
      <w:r>
        <w:rPr>
          <w:rFonts w:hint="eastAsia" w:ascii="黑体" w:hAnsi="黑体" w:eastAsia="黑体"/>
          <w:sz w:val="18"/>
          <w:szCs w:val="18"/>
          <w:highlight w:val="none"/>
        </w:rPr>
        <w:t>：</w:t>
      </w:r>
      <w:r>
        <w:rPr>
          <w:rFonts w:hint="eastAsia"/>
          <w:sz w:val="18"/>
          <w:szCs w:val="18"/>
          <w:highlight w:val="none"/>
        </w:rPr>
        <w:t>避免的排放不能包含在范围</w:t>
      </w:r>
      <w:r>
        <w:rPr>
          <w:sz w:val="18"/>
          <w:szCs w:val="18"/>
          <w:highlight w:val="none"/>
        </w:rPr>
        <w:t>1</w:t>
      </w:r>
      <w:r>
        <w:rPr>
          <w:rFonts w:hint="eastAsia"/>
          <w:sz w:val="18"/>
          <w:szCs w:val="18"/>
          <w:highlight w:val="none"/>
        </w:rPr>
        <w:t>、范围</w:t>
      </w:r>
      <w:r>
        <w:rPr>
          <w:sz w:val="18"/>
          <w:szCs w:val="18"/>
          <w:highlight w:val="none"/>
        </w:rPr>
        <w:t>2</w:t>
      </w:r>
      <w:r>
        <w:rPr>
          <w:rFonts w:hint="eastAsia"/>
          <w:sz w:val="18"/>
          <w:szCs w:val="18"/>
          <w:highlight w:val="none"/>
        </w:rPr>
        <w:t>和范围</w:t>
      </w:r>
      <w:r>
        <w:rPr>
          <w:sz w:val="18"/>
          <w:szCs w:val="18"/>
          <w:highlight w:val="none"/>
        </w:rPr>
        <w:t>3</w:t>
      </w:r>
      <w:r>
        <w:rPr>
          <w:rFonts w:hint="eastAsia"/>
          <w:sz w:val="18"/>
          <w:szCs w:val="18"/>
          <w:highlight w:val="none"/>
        </w:rPr>
        <w:t>目标的进展声明中。</w:t>
      </w:r>
    </w:p>
    <w:p>
      <w:pPr>
        <w:ind w:left="604" w:leftChars="285" w:hanging="6"/>
        <w:rPr>
          <w:rFonts w:hint="eastAsia"/>
          <w:sz w:val="18"/>
          <w:szCs w:val="18"/>
          <w:highlight w:val="none"/>
        </w:rPr>
      </w:pPr>
      <w:r>
        <w:rPr>
          <w:rFonts w:hint="eastAsia" w:ascii="黑体" w:hAnsi="黑体" w:eastAsia="黑体"/>
          <w:sz w:val="18"/>
          <w:szCs w:val="18"/>
          <w:highlight w:val="none"/>
        </w:rPr>
        <w:t>注</w:t>
      </w:r>
      <w:r>
        <w:rPr>
          <w:rStyle w:val="181"/>
          <w:rFonts w:hint="eastAsia"/>
          <w:highlight w:val="none"/>
        </w:rPr>
        <w:t>2</w:t>
      </w:r>
      <w:r>
        <w:rPr>
          <w:rFonts w:hint="eastAsia" w:ascii="黑体" w:hAnsi="黑体" w:eastAsia="黑体"/>
          <w:sz w:val="18"/>
          <w:szCs w:val="18"/>
          <w:highlight w:val="none"/>
        </w:rPr>
        <w:t>：</w:t>
      </w:r>
      <w:r>
        <w:rPr>
          <w:rFonts w:hint="eastAsia" w:asciiTheme="minorEastAsia" w:hAnsiTheme="minorEastAsia" w:eastAsiaTheme="minorEastAsia"/>
          <w:sz w:val="18"/>
          <w:szCs w:val="21"/>
          <w:highlight w:val="none"/>
        </w:rPr>
        <w:t>碳减排（3.2.4）、碳清除（3.2.5）、碳抵消（3.2.6）与避免排放（3.2.7）均属于减缓（3.2.3）的范畴，参见附录A。</w:t>
      </w:r>
    </w:p>
    <w:p>
      <w:pPr>
        <w:ind w:left="424" w:leftChars="202" w:firstLine="0"/>
        <w:rPr>
          <w:rFonts w:asciiTheme="minorEastAsia" w:hAnsiTheme="minorEastAsia" w:eastAsiaTheme="minorEastAsia"/>
          <w:highlight w:val="none"/>
        </w:rPr>
      </w:pPr>
      <w:r>
        <w:rPr>
          <w:rFonts w:ascii="宋体" w:hAnsi="宋体"/>
          <w:highlight w:val="none"/>
        </w:rPr>
        <w:t>[</w:t>
      </w:r>
      <w:r>
        <w:rPr>
          <w:rFonts w:hint="eastAsia" w:ascii="宋体" w:hAnsi="宋体"/>
          <w:highlight w:val="none"/>
        </w:rPr>
        <w:t>来源：</w:t>
      </w:r>
      <w:r>
        <w:rPr>
          <w:highlight w:val="none"/>
        </w:rPr>
        <w:t>ISO IWA 42:</w:t>
      </w:r>
      <w:r>
        <w:rPr>
          <w:rFonts w:eastAsiaTheme="minorEastAsia"/>
          <w:highlight w:val="none"/>
        </w:rPr>
        <w:t>2022</w:t>
      </w:r>
      <w:r>
        <w:rPr>
          <w:highlight w:val="none"/>
        </w:rPr>
        <w:t>，3.2.6</w:t>
      </w:r>
      <w:r>
        <w:rPr>
          <w:rFonts w:ascii="宋体" w:hAnsi="宋体"/>
          <w:highlight w:val="none"/>
        </w:rPr>
        <w:t>]</w:t>
      </w:r>
    </w:p>
    <w:p>
      <w:pPr>
        <w:rPr>
          <w:rFonts w:ascii="黑体" w:hAnsi="黑体" w:eastAsia="黑体"/>
          <w:highlight w:val="none"/>
        </w:rPr>
      </w:pPr>
      <w:r>
        <w:rPr>
          <w:rFonts w:hint="eastAsia" w:ascii="黑体" w:hAnsi="黑体" w:eastAsia="黑体"/>
          <w:highlight w:val="none"/>
        </w:rPr>
        <w:t>3.2.8</w:t>
      </w:r>
    </w:p>
    <w:p>
      <w:pPr>
        <w:ind w:firstLine="420"/>
        <w:rPr>
          <w:rFonts w:ascii="黑体" w:hAnsi="黑体" w:eastAsia="黑体"/>
          <w:bCs/>
          <w:highlight w:val="none"/>
        </w:rPr>
      </w:pPr>
      <w:r>
        <w:rPr>
          <w:rFonts w:hint="eastAsia" w:ascii="黑体" w:hAnsi="黑体" w:eastAsia="黑体"/>
          <w:bCs/>
          <w:highlight w:val="none"/>
        </w:rPr>
        <w:t>边界（披露</w:t>
      </w:r>
      <w:r>
        <w:rPr>
          <w:rFonts w:ascii="黑体" w:hAnsi="黑体" w:eastAsia="黑体"/>
          <w:bCs/>
          <w:highlight w:val="none"/>
        </w:rPr>
        <w:t>边界</w:t>
      </w:r>
      <w:r>
        <w:rPr>
          <w:rFonts w:hint="eastAsia" w:ascii="黑体" w:hAnsi="黑体" w:eastAsia="黑体"/>
          <w:bCs/>
          <w:highlight w:val="none"/>
        </w:rPr>
        <w:t>，或产品系统边界）</w:t>
      </w:r>
      <w:r>
        <w:rPr>
          <w:rFonts w:ascii="黑体" w:hAnsi="黑体" w:eastAsia="黑体"/>
          <w:bCs/>
          <w:highlight w:val="none"/>
        </w:rPr>
        <w:t xml:space="preserve"> </w:t>
      </w:r>
      <w:r>
        <w:rPr>
          <w:rFonts w:eastAsia="黑体"/>
          <w:b/>
          <w:highlight w:val="none"/>
        </w:rPr>
        <w:t>boundary</w:t>
      </w:r>
    </w:p>
    <w:p>
      <w:pPr>
        <w:ind w:firstLine="420"/>
        <w:rPr>
          <w:highlight w:val="none"/>
        </w:rPr>
      </w:pPr>
      <w:r>
        <w:rPr>
          <w:rFonts w:hint="eastAsia"/>
          <w:highlight w:val="none"/>
        </w:rPr>
        <w:t>由企业</w:t>
      </w:r>
      <w:r>
        <w:rPr>
          <w:highlight w:val="none"/>
        </w:rPr>
        <w:t>实施业务或财务控制或拥有股权的活动或设施</w:t>
      </w:r>
      <w:r>
        <w:rPr>
          <w:rFonts w:hint="eastAsia"/>
          <w:highlight w:val="none"/>
        </w:rPr>
        <w:t>分组，并按照该分组报告</w:t>
      </w:r>
      <w:r>
        <w:rPr>
          <w:highlight w:val="none"/>
        </w:rPr>
        <w:t>企业</w:t>
      </w:r>
      <w:r>
        <w:rPr>
          <w:rFonts w:hint="eastAsia"/>
          <w:highlight w:val="none"/>
        </w:rPr>
        <w:t>运作和活动中产生的温室气体排放（3.1.2）和/或温室气体清除（3.2.5）。完整的企业边界通常包含范围1（3.1.4）、范围2（3.1.5）和范围3排放（3.1.6）。</w:t>
      </w:r>
    </w:p>
    <w:p>
      <w:pPr>
        <w:ind w:firstLine="420"/>
        <w:rPr>
          <w:highlight w:val="none"/>
        </w:rPr>
      </w:pPr>
      <w:r>
        <w:rPr>
          <w:rFonts w:hint="eastAsia"/>
          <w:highlight w:val="none"/>
        </w:rPr>
        <w:t>或指用于评估产品生命周期对气候变化影响时所定义的产品过程单元的集合。</w:t>
      </w:r>
    </w:p>
    <w:p>
      <w:pPr>
        <w:ind w:firstLine="420"/>
        <w:rPr>
          <w:rFonts w:ascii="宋体" w:hAnsi="宋体"/>
          <w:highlight w:val="none"/>
        </w:rPr>
      </w:pPr>
      <w:r>
        <w:rPr>
          <w:rFonts w:ascii="宋体" w:hAnsi="宋体"/>
          <w:highlight w:val="none"/>
        </w:rPr>
        <w:t>[</w:t>
      </w:r>
      <w:r>
        <w:rPr>
          <w:rFonts w:hint="eastAsia" w:ascii="宋体" w:hAnsi="宋体"/>
          <w:highlight w:val="none"/>
        </w:rPr>
        <w:t>来源：</w:t>
      </w:r>
      <w:r>
        <w:rPr>
          <w:highlight w:val="none"/>
        </w:rPr>
        <w:t>ISO 14064-1:2018，3.4.7/8，ISO 14067-1:2018，3.1.3.4</w:t>
      </w:r>
      <w:r>
        <w:rPr>
          <w:rFonts w:ascii="宋体" w:hAnsi="宋体"/>
          <w:highlight w:val="none"/>
        </w:rPr>
        <w:t>]</w:t>
      </w:r>
    </w:p>
    <w:p>
      <w:pPr>
        <w:rPr>
          <w:rFonts w:ascii="黑体" w:hAnsi="黑体" w:eastAsia="黑体"/>
          <w:highlight w:val="none"/>
        </w:rPr>
      </w:pPr>
      <w:r>
        <w:rPr>
          <w:rFonts w:hint="eastAsia" w:ascii="黑体" w:hAnsi="黑体" w:eastAsia="黑体"/>
          <w:highlight w:val="none"/>
        </w:rPr>
        <w:t>3.2.9</w:t>
      </w:r>
    </w:p>
    <w:p>
      <w:pPr>
        <w:ind w:firstLine="420"/>
        <w:rPr>
          <w:rFonts w:eastAsia="黑体"/>
          <w:b/>
          <w:highlight w:val="none"/>
        </w:rPr>
      </w:pPr>
      <w:r>
        <w:rPr>
          <w:rFonts w:ascii="黑体" w:hAnsi="黑体" w:eastAsia="黑体"/>
          <w:bCs/>
          <w:highlight w:val="none"/>
        </w:rPr>
        <w:t>基准</w:t>
      </w:r>
      <w:r>
        <w:rPr>
          <w:rFonts w:hint="eastAsia" w:ascii="黑体" w:hAnsi="黑体" w:eastAsia="黑体"/>
          <w:bCs/>
          <w:highlight w:val="none"/>
        </w:rPr>
        <w:t>年</w:t>
      </w:r>
      <w:r>
        <w:rPr>
          <w:rFonts w:eastAsia="黑体"/>
          <w:b/>
          <w:highlight w:val="none"/>
        </w:rPr>
        <w:t>base year</w:t>
      </w:r>
    </w:p>
    <w:p>
      <w:pPr>
        <w:ind w:firstLine="420"/>
        <w:rPr>
          <w:highlight w:val="none"/>
        </w:rPr>
      </w:pPr>
      <w:r>
        <w:rPr>
          <w:rFonts w:hint="eastAsia"/>
          <w:highlight w:val="none"/>
        </w:rPr>
        <w:t>为比较温室气体排放（3.1.2）或温室气体清除量（3.2.5）而确定的特定时期（如一年）或几个时期（如几年）。</w:t>
      </w:r>
    </w:p>
    <w:p>
      <w:pPr>
        <w:ind w:firstLine="420"/>
        <w:rPr>
          <w:rFonts w:asciiTheme="minorEastAsia" w:hAnsiTheme="minorEastAsia" w:eastAsiaTheme="minorEastAsia"/>
          <w:highlight w:val="none"/>
        </w:rPr>
      </w:pPr>
      <w:r>
        <w:rPr>
          <w:rFonts w:asciiTheme="minorEastAsia" w:hAnsiTheme="minorEastAsia" w:eastAsiaTheme="minorEastAsia"/>
          <w:highlight w:val="none"/>
        </w:rPr>
        <w:t>[</w:t>
      </w:r>
      <w:r>
        <w:rPr>
          <w:rFonts w:hint="eastAsia" w:asciiTheme="minorEastAsia" w:hAnsiTheme="minorEastAsia" w:eastAsiaTheme="minorEastAsia"/>
          <w:highlight w:val="none"/>
        </w:rPr>
        <w:t>来源：</w:t>
      </w:r>
      <w:r>
        <w:rPr>
          <w:rFonts w:eastAsiaTheme="minorEastAsia"/>
          <w:highlight w:val="none"/>
        </w:rPr>
        <w:t>ISO 14064-3:2019，3.3.5</w:t>
      </w:r>
      <w:r>
        <w:rPr>
          <w:rFonts w:asciiTheme="minorEastAsia" w:hAnsiTheme="minorEastAsia" w:eastAsiaTheme="minorEastAsia"/>
          <w:highlight w:val="none"/>
        </w:rPr>
        <w:t>]</w:t>
      </w:r>
    </w:p>
    <w:p>
      <w:pPr>
        <w:rPr>
          <w:rFonts w:ascii="黑体" w:hAnsi="黑体" w:eastAsia="黑体"/>
          <w:highlight w:val="none"/>
        </w:rPr>
      </w:pPr>
      <w:r>
        <w:rPr>
          <w:rFonts w:hint="eastAsia" w:ascii="黑体" w:hAnsi="黑体" w:eastAsia="黑体"/>
          <w:highlight w:val="none"/>
        </w:rPr>
        <w:t>3.2.10</w:t>
      </w:r>
    </w:p>
    <w:p>
      <w:pPr>
        <w:ind w:firstLine="420"/>
        <w:rPr>
          <w:rFonts w:ascii="黑体" w:hAnsi="黑体" w:eastAsia="黑体"/>
          <w:bCs/>
          <w:highlight w:val="none"/>
        </w:rPr>
      </w:pPr>
      <w:r>
        <w:rPr>
          <w:rFonts w:ascii="黑体" w:hAnsi="黑体" w:eastAsia="黑体"/>
          <w:bCs/>
          <w:highlight w:val="none"/>
        </w:rPr>
        <w:t>基准线</w:t>
      </w:r>
      <w:r>
        <w:rPr>
          <w:rFonts w:hint="eastAsia" w:ascii="Times New Roman" w:hAnsi="Times New Roman" w:eastAsia="黑体"/>
          <w:b/>
          <w:bCs w:val="0"/>
          <w:highlight w:val="none"/>
        </w:rPr>
        <w:t>baseline</w:t>
      </w:r>
    </w:p>
    <w:p>
      <w:pPr>
        <w:ind w:firstLine="420"/>
        <w:rPr>
          <w:rFonts w:eastAsia="黑体"/>
          <w:bCs/>
          <w:highlight w:val="none"/>
        </w:rPr>
      </w:pPr>
      <w:r>
        <w:rPr>
          <w:rFonts w:ascii="黑体" w:hAnsi="黑体" w:eastAsia="黑体"/>
          <w:bCs/>
          <w:highlight w:val="none"/>
        </w:rPr>
        <w:t>温室气体</w:t>
      </w:r>
      <w:r>
        <w:rPr>
          <w:rFonts w:hint="eastAsia" w:ascii="黑体" w:hAnsi="黑体" w:eastAsia="黑体"/>
          <w:bCs/>
          <w:highlight w:val="none"/>
        </w:rPr>
        <w:t>基准</w:t>
      </w:r>
      <w:r>
        <w:rPr>
          <w:rFonts w:ascii="黑体" w:hAnsi="黑体" w:eastAsia="黑体"/>
          <w:bCs/>
          <w:highlight w:val="none"/>
        </w:rPr>
        <w:t>线</w:t>
      </w:r>
      <w:r>
        <w:rPr>
          <w:rFonts w:hint="eastAsia" w:ascii="黑体" w:hAnsi="黑体" w:eastAsia="黑体"/>
          <w:bCs/>
          <w:highlight w:val="none"/>
        </w:rPr>
        <w:t xml:space="preserve"> </w:t>
      </w:r>
      <w:r>
        <w:rPr>
          <w:rFonts w:eastAsia="黑体"/>
          <w:b/>
          <w:highlight w:val="none"/>
        </w:rPr>
        <w:t>GHG baseline</w:t>
      </w:r>
    </w:p>
    <w:p>
      <w:pPr>
        <w:ind w:firstLine="420"/>
        <w:rPr>
          <w:highlight w:val="none"/>
        </w:rPr>
      </w:pPr>
      <w:r>
        <w:rPr>
          <w:rFonts w:hint="eastAsia"/>
          <w:highlight w:val="none"/>
        </w:rPr>
        <w:t>为比较特定行动所避免的温室气体排放（3.2.7）或增加移除的温室气体数量（3.2.5）而假设的参考水平，即假设没有该行动存在时，会出现的温室气体排放（3.1.1）和/或温室气体清除（3.2.5）的数量水平。</w:t>
      </w:r>
    </w:p>
    <w:p>
      <w:pPr>
        <w:ind w:left="420"/>
        <w:rPr>
          <w:rStyle w:val="181"/>
          <w:rFonts w:eastAsia="宋体"/>
          <w:highlight w:val="none"/>
        </w:rPr>
      </w:pPr>
      <w:r>
        <w:rPr>
          <w:rStyle w:val="181"/>
          <w:rFonts w:ascii="黑体" w:hAnsi="黑体"/>
          <w:highlight w:val="none"/>
        </w:rPr>
        <w:t>注：</w:t>
      </w:r>
      <w:r>
        <w:rPr>
          <w:rStyle w:val="181"/>
          <w:rFonts w:eastAsia="宋体"/>
          <w:highlight w:val="none"/>
        </w:rPr>
        <w:t>基准线中的排放量和消除量</w:t>
      </w:r>
      <w:r>
        <w:rPr>
          <w:rStyle w:val="181"/>
          <w:rFonts w:hint="eastAsia" w:eastAsia="宋体"/>
          <w:b/>
          <w:highlight w:val="none"/>
        </w:rPr>
        <w:t>应</w:t>
      </w:r>
      <w:r>
        <w:rPr>
          <w:rStyle w:val="181"/>
          <w:rFonts w:eastAsia="宋体"/>
          <w:highlight w:val="none"/>
        </w:rPr>
        <w:t>分别独立处理，且计算温室气体减排时仅相对基准排放量。</w:t>
      </w:r>
    </w:p>
    <w:p>
      <w:pPr>
        <w:ind w:firstLine="420"/>
        <w:rPr>
          <w:rFonts w:ascii="宋体" w:hAnsi="宋体"/>
          <w:highlight w:val="none"/>
        </w:rPr>
      </w:pPr>
      <w:r>
        <w:rPr>
          <w:rFonts w:ascii="宋体" w:hAnsi="宋体"/>
          <w:highlight w:val="none"/>
        </w:rPr>
        <w:t>[</w:t>
      </w:r>
      <w:r>
        <w:rPr>
          <w:rFonts w:hint="eastAsia" w:ascii="宋体" w:hAnsi="宋体"/>
          <w:highlight w:val="none"/>
        </w:rPr>
        <w:t>来源：</w:t>
      </w:r>
      <w:r>
        <w:rPr>
          <w:highlight w:val="none"/>
        </w:rPr>
        <w:t>ISO 14064-3:2019，3.3.6；ISO IWA 42:2022，3.3.6</w:t>
      </w:r>
      <w:r>
        <w:rPr>
          <w:rFonts w:ascii="宋体" w:hAnsi="宋体"/>
          <w:highlight w:val="none"/>
        </w:rPr>
        <w:t>]</w:t>
      </w:r>
    </w:p>
    <w:p>
      <w:pPr>
        <w:pStyle w:val="3"/>
        <w:spacing w:before="120" w:after="120"/>
        <w:ind w:left="181" w:leftChars="86"/>
        <w:rPr>
          <w:rFonts w:ascii="黑体" w:hAnsi="黑体" w:eastAsia="黑体"/>
          <w:szCs w:val="21"/>
          <w:highlight w:val="none"/>
        </w:rPr>
      </w:pPr>
      <w:r>
        <w:rPr>
          <w:rFonts w:ascii="黑体" w:hAnsi="黑体" w:eastAsia="黑体"/>
          <w:b w:val="0"/>
          <w:sz w:val="21"/>
          <w:szCs w:val="21"/>
          <w:highlight w:val="none"/>
        </w:rPr>
        <w:t>3.</w:t>
      </w:r>
      <w:r>
        <w:rPr>
          <w:rFonts w:hint="eastAsia" w:ascii="黑体" w:hAnsi="黑体" w:eastAsia="黑体"/>
          <w:b w:val="0"/>
          <w:sz w:val="21"/>
          <w:szCs w:val="21"/>
          <w:highlight w:val="none"/>
        </w:rPr>
        <w:t>3</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与信息披露相关的术语</w:t>
      </w:r>
    </w:p>
    <w:p>
      <w:pPr>
        <w:ind w:left="181" w:leftChars="86"/>
        <w:rPr>
          <w:rFonts w:ascii="黑体" w:hAnsi="黑体" w:eastAsia="黑体"/>
          <w:highlight w:val="none"/>
        </w:rPr>
      </w:pPr>
      <w:r>
        <w:rPr>
          <w:rFonts w:hint="eastAsia" w:ascii="黑体" w:hAnsi="黑体" w:eastAsia="黑体"/>
          <w:highlight w:val="none"/>
        </w:rPr>
        <w:t>3.3.1</w:t>
      </w:r>
    </w:p>
    <w:p>
      <w:pPr>
        <w:ind w:left="181" w:firstLine="420"/>
        <w:rPr>
          <w:rFonts w:ascii="Times New Roman" w:hAnsi="Times New Roman" w:eastAsia="黑体"/>
          <w:b/>
          <w:highlight w:val="none"/>
        </w:rPr>
      </w:pPr>
      <w:r>
        <w:rPr>
          <w:rFonts w:hint="eastAsia" w:ascii="黑体" w:hAnsi="黑体" w:eastAsia="黑体"/>
          <w:bCs/>
          <w:highlight w:val="none"/>
        </w:rPr>
        <w:t xml:space="preserve">披露主体 </w:t>
      </w:r>
      <w:r>
        <w:rPr>
          <w:rFonts w:eastAsia="黑体"/>
          <w:b/>
          <w:highlight w:val="none"/>
        </w:rPr>
        <w:t>disclosing</w:t>
      </w:r>
      <w:r>
        <w:rPr>
          <w:rFonts w:hint="eastAsia" w:ascii="Times New Roman" w:hAnsi="Times New Roman" w:eastAsia="黑体"/>
          <w:b/>
          <w:bCs w:val="0"/>
          <w:highlight w:val="none"/>
        </w:rPr>
        <w:t xml:space="preserve"> entity</w:t>
      </w:r>
    </w:p>
    <w:p>
      <w:pPr>
        <w:ind w:left="181" w:leftChars="86" w:firstLine="420"/>
        <w:rPr>
          <w:highlight w:val="none"/>
        </w:rPr>
      </w:pPr>
      <w:r>
        <w:rPr>
          <w:rFonts w:hint="eastAsia"/>
          <w:highlight w:val="none"/>
        </w:rPr>
        <w:t>拥有独立功能、职责、权限和关系的组织。本文件中特质开展碳信息披露的企业（以及附属子系统）。</w:t>
      </w:r>
    </w:p>
    <w:p>
      <w:pPr>
        <w:ind w:left="632" w:leftChars="301"/>
        <w:rPr>
          <w:rFonts w:eastAsia="黑体"/>
          <w:sz w:val="18"/>
          <w:szCs w:val="18"/>
          <w:highlight w:val="none"/>
        </w:rPr>
      </w:pPr>
      <w:r>
        <w:rPr>
          <w:rFonts w:hint="eastAsia" w:ascii="黑体" w:hAnsi="黑体" w:eastAsia="黑体"/>
          <w:sz w:val="18"/>
          <w:szCs w:val="18"/>
          <w:highlight w:val="none"/>
        </w:rPr>
        <w:t>注</w:t>
      </w:r>
      <w:r>
        <w:rPr>
          <w:rFonts w:hint="eastAsia" w:ascii="Times New Roman" w:hAnsi="Times New Roman" w:eastAsia="黑体"/>
          <w:sz w:val="18"/>
          <w:szCs w:val="18"/>
          <w:highlight w:val="none"/>
        </w:rPr>
        <w:t>1</w:t>
      </w:r>
      <w:r>
        <w:rPr>
          <w:rFonts w:hint="eastAsia" w:ascii="黑体" w:hAnsi="黑体" w:eastAsia="黑体"/>
          <w:sz w:val="18"/>
          <w:szCs w:val="18"/>
          <w:highlight w:val="none"/>
        </w:rPr>
        <w:t>：</w:t>
      </w:r>
      <w:r>
        <w:rPr>
          <w:rFonts w:hint="eastAsia" w:ascii="宋体" w:hAnsi="宋体"/>
          <w:sz w:val="18"/>
          <w:szCs w:val="18"/>
          <w:highlight w:val="none"/>
        </w:rPr>
        <w:t>在本文件中，企业是</w:t>
      </w:r>
      <w:r>
        <w:rPr>
          <w:sz w:val="18"/>
          <w:szCs w:val="18"/>
          <w:highlight w:val="none"/>
        </w:rPr>
        <w:t>ISO 14064-1</w:t>
      </w:r>
      <w:r>
        <w:rPr>
          <w:rFonts w:hint="eastAsia"/>
          <w:sz w:val="18"/>
          <w:szCs w:val="18"/>
          <w:highlight w:val="none"/>
        </w:rPr>
        <w:t>:</w:t>
      </w:r>
      <w:r>
        <w:rPr>
          <w:sz w:val="18"/>
          <w:szCs w:val="18"/>
          <w:highlight w:val="none"/>
        </w:rPr>
        <w:t>2018</w:t>
      </w:r>
      <w:r>
        <w:rPr>
          <w:rFonts w:hint="eastAsia" w:ascii="宋体" w:hAnsi="宋体"/>
          <w:sz w:val="18"/>
          <w:szCs w:val="18"/>
          <w:highlight w:val="none"/>
        </w:rPr>
        <w:t>中组织的一种形态。</w:t>
      </w:r>
    </w:p>
    <w:p>
      <w:pPr>
        <w:ind w:left="632" w:leftChars="301"/>
        <w:rPr>
          <w:rFonts w:ascii="宋体" w:hAnsi="宋体"/>
          <w:sz w:val="18"/>
          <w:szCs w:val="18"/>
          <w:highlight w:val="none"/>
        </w:rPr>
      </w:pPr>
      <w:r>
        <w:rPr>
          <w:rFonts w:hint="eastAsia" w:ascii="黑体" w:hAnsi="黑体" w:eastAsia="黑体"/>
          <w:sz w:val="18"/>
          <w:szCs w:val="18"/>
          <w:highlight w:val="none"/>
        </w:rPr>
        <w:t>注</w:t>
      </w:r>
      <w:r>
        <w:rPr>
          <w:rFonts w:hint="eastAsia" w:ascii="Times New Roman" w:hAnsi="Times New Roman" w:eastAsia="黑体"/>
          <w:sz w:val="18"/>
          <w:szCs w:val="18"/>
          <w:highlight w:val="none"/>
        </w:rPr>
        <w:t>2</w:t>
      </w:r>
      <w:r>
        <w:rPr>
          <w:rFonts w:hint="eastAsia" w:ascii="黑体" w:hAnsi="黑体" w:eastAsia="黑体"/>
          <w:sz w:val="18"/>
          <w:szCs w:val="18"/>
          <w:highlight w:val="none"/>
        </w:rPr>
        <w:t>：</w:t>
      </w:r>
      <w:r>
        <w:rPr>
          <w:rFonts w:hint="eastAsia" w:ascii="宋体" w:hAnsi="宋体"/>
          <w:sz w:val="18"/>
          <w:szCs w:val="18"/>
          <w:highlight w:val="none"/>
        </w:rPr>
        <w:t>附属子系统是指被另一个企业所拥有或控制的企业。</w:t>
      </w:r>
    </w:p>
    <w:p>
      <w:pPr>
        <w:rPr>
          <w:rFonts w:ascii="黑体" w:hAnsi="黑体" w:eastAsia="黑体"/>
          <w:highlight w:val="none"/>
        </w:rPr>
      </w:pPr>
      <w:r>
        <w:rPr>
          <w:rFonts w:hint="eastAsia" w:ascii="黑体" w:hAnsi="黑体" w:eastAsia="黑体"/>
          <w:highlight w:val="none"/>
        </w:rPr>
        <w:t>3.3.2</w:t>
      </w:r>
    </w:p>
    <w:p>
      <w:pPr>
        <w:ind w:firstLine="420"/>
        <w:rPr>
          <w:rFonts w:hint="eastAsia" w:ascii="宋体" w:hAnsi="宋体"/>
          <w:b/>
          <w:highlight w:val="none"/>
        </w:rPr>
      </w:pPr>
      <w:r>
        <w:rPr>
          <w:rFonts w:hint="eastAsia" w:ascii="黑体" w:hAnsi="黑体" w:eastAsia="黑体"/>
          <w:bCs/>
          <w:highlight w:val="none"/>
        </w:rPr>
        <w:t>描述对象</w:t>
      </w:r>
      <w:r>
        <w:rPr>
          <w:rFonts w:hint="eastAsia" w:eastAsia="黑体"/>
          <w:b/>
          <w:highlight w:val="none"/>
        </w:rPr>
        <w:t>subject</w:t>
      </w:r>
    </w:p>
    <w:p>
      <w:pPr>
        <w:ind w:left="0" w:leftChars="0" w:firstLine="420"/>
        <w:rPr>
          <w:rFonts w:hint="eastAsia" w:ascii="宋体" w:hAnsi="宋体"/>
          <w:highlight w:val="none"/>
        </w:rPr>
      </w:pPr>
      <w:r>
        <w:rPr>
          <w:rFonts w:hint="eastAsia" w:ascii="宋体" w:hAnsi="宋体"/>
          <w:highlight w:val="none"/>
        </w:rPr>
        <w:t>披露主体（3.3.1）拥有或完整控制的组织及其价值链，或特定设施与资产，或特定产品与活动。</w:t>
      </w:r>
    </w:p>
    <w:p>
      <w:pPr>
        <w:rPr>
          <w:rFonts w:ascii="黑体" w:hAnsi="黑体" w:eastAsia="黑体"/>
          <w:highlight w:val="none"/>
        </w:rPr>
      </w:pPr>
      <w:r>
        <w:rPr>
          <w:rFonts w:hint="eastAsia" w:ascii="黑体" w:hAnsi="黑体" w:eastAsia="黑体"/>
          <w:highlight w:val="none"/>
        </w:rPr>
        <w:t>3.3.3</w:t>
      </w:r>
    </w:p>
    <w:p>
      <w:pPr>
        <w:ind w:firstLine="420"/>
        <w:rPr>
          <w:rFonts w:ascii="Times New Roman" w:hAnsi="Times New Roman" w:eastAsia="黑体"/>
          <w:highlight w:val="none"/>
        </w:rPr>
      </w:pPr>
      <w:r>
        <w:rPr>
          <w:rFonts w:hint="eastAsia" w:ascii="黑体" w:hAnsi="黑体" w:eastAsia="黑体"/>
          <w:bCs/>
          <w:highlight w:val="none"/>
        </w:rPr>
        <w:t>声明</w:t>
      </w:r>
      <w:r>
        <w:rPr>
          <w:rFonts w:hint="default" w:ascii="Times New Roman" w:hAnsi="Times New Roman" w:eastAsia="黑体"/>
          <w:b/>
          <w:bCs w:val="0"/>
          <w:highlight w:val="none"/>
        </w:rPr>
        <w:t xml:space="preserve"> claim</w:t>
      </w:r>
    </w:p>
    <w:p>
      <w:pPr>
        <w:ind w:firstLine="420"/>
        <w:rPr>
          <w:rFonts w:ascii="宋体" w:hAnsi="宋体"/>
          <w:highlight w:val="none"/>
        </w:rPr>
      </w:pPr>
      <w:r>
        <w:rPr>
          <w:rFonts w:hint="eastAsia" w:ascii="宋体" w:hAnsi="宋体"/>
          <w:highlight w:val="none"/>
        </w:rPr>
        <w:t>以特定格式报告或产品标签与标识等方式公开说明描述对象具备的特性或成效。</w:t>
      </w:r>
    </w:p>
    <w:p>
      <w:pPr>
        <w:ind w:left="632" w:leftChars="301" w:firstLine="0"/>
        <w:rPr>
          <w:rFonts w:hint="eastAsia" w:ascii="Times New Roman" w:hAnsi="Times New Roman" w:eastAsia="黑体"/>
          <w:sz w:val="18"/>
          <w:szCs w:val="18"/>
          <w:highlight w:val="none"/>
        </w:rPr>
      </w:pPr>
      <w:r>
        <w:rPr>
          <w:rFonts w:hint="eastAsia" w:ascii="黑体" w:hAnsi="黑体" w:eastAsia="黑体"/>
          <w:sz w:val="18"/>
          <w:szCs w:val="18"/>
          <w:highlight w:val="none"/>
        </w:rPr>
        <w:t>注：</w:t>
      </w:r>
      <w:r>
        <w:rPr>
          <w:rFonts w:hint="eastAsia" w:ascii="宋体" w:hAnsi="宋体"/>
          <w:sz w:val="18"/>
          <w:szCs w:val="18"/>
          <w:highlight w:val="none"/>
        </w:rPr>
        <w:t>在本文件中，声明是碳信息披露的一种形态，包括但不限于产品碳标签、包含碳信息的产品环境声明和企业减碳成效的正式说明。</w:t>
      </w:r>
    </w:p>
    <w:p>
      <w:pPr>
        <w:rPr>
          <w:rFonts w:ascii="黑体" w:hAnsi="黑体" w:eastAsia="黑体"/>
          <w:highlight w:val="none"/>
        </w:rPr>
      </w:pPr>
      <w:r>
        <w:rPr>
          <w:rFonts w:hint="eastAsia" w:ascii="黑体" w:hAnsi="黑体" w:eastAsia="黑体"/>
          <w:highlight w:val="none"/>
        </w:rPr>
        <w:t>3.3.4</w:t>
      </w:r>
    </w:p>
    <w:p>
      <w:pPr>
        <w:ind w:firstLine="420"/>
        <w:rPr>
          <w:rFonts w:ascii="Times New Roman" w:hAnsi="Times New Roman" w:eastAsia="黑体"/>
          <w:b/>
          <w:bCs w:val="0"/>
          <w:highlight w:val="none"/>
        </w:rPr>
      </w:pPr>
      <w:r>
        <w:rPr>
          <w:rFonts w:hint="eastAsia" w:ascii="黑体" w:hAnsi="黑体" w:eastAsia="黑体"/>
          <w:bCs/>
          <w:highlight w:val="none"/>
        </w:rPr>
        <w:t xml:space="preserve">合规 </w:t>
      </w:r>
      <w:r>
        <w:rPr>
          <w:rFonts w:hint="eastAsia" w:ascii="Times New Roman" w:hAnsi="Times New Roman" w:eastAsia="黑体"/>
          <w:b/>
          <w:bCs w:val="0"/>
          <w:color w:val="auto"/>
          <w:sz w:val="21"/>
          <w:szCs w:val="24"/>
          <w:highlight w:val="none"/>
        </w:rPr>
        <w:t>c</w:t>
      </w:r>
      <w:r>
        <w:rPr>
          <w:rFonts w:ascii="Times New Roman" w:hAnsi="Times New Roman" w:eastAsia="黑体"/>
          <w:b/>
          <w:bCs w:val="0"/>
          <w:color w:val="auto"/>
          <w:sz w:val="21"/>
          <w:szCs w:val="24"/>
          <w:highlight w:val="none"/>
        </w:rPr>
        <w:t>ompliance</w:t>
      </w:r>
    </w:p>
    <w:p>
      <w:pPr>
        <w:ind w:left="181" w:leftChars="86" w:firstLine="420"/>
        <w:rPr>
          <w:rFonts w:hint="eastAsia" w:ascii="宋体" w:hAnsi="宋体"/>
          <w:highlight w:val="none"/>
        </w:rPr>
      </w:pPr>
      <w:r>
        <w:rPr>
          <w:rFonts w:hint="eastAsia" w:ascii="宋体" w:hAnsi="宋体"/>
          <w:highlight w:val="none"/>
        </w:rPr>
        <w:t>企业符合必须遵守的以及企业自愿选择遵守的碳信息披露规范的要求。</w:t>
      </w:r>
    </w:p>
    <w:p>
      <w:pPr>
        <w:ind w:firstLine="420"/>
        <w:rPr>
          <w:rFonts w:hint="eastAsia" w:ascii="Times New Roman" w:hAnsi="Times New Roman" w:eastAsia="宋体"/>
          <w:bCs w:val="0"/>
          <w:highlight w:val="none"/>
        </w:rPr>
      </w:pPr>
      <w:r>
        <w:rPr>
          <w:highlight w:val="none"/>
        </w:rPr>
        <w:t>[来源：ISO/IEC 17029:2019</w:t>
      </w:r>
      <w:r>
        <w:rPr>
          <w:rFonts w:hint="eastAsia"/>
          <w:highlight w:val="none"/>
        </w:rPr>
        <w:t>，3.3，</w:t>
      </w:r>
      <w:r>
        <w:rPr>
          <w:rFonts w:hint="eastAsia" w:ascii="宋体" w:hAnsi="宋体"/>
          <w:highlight w:val="none"/>
        </w:rPr>
        <w:t>有修改</w:t>
      </w:r>
      <w:r>
        <w:rPr>
          <w:highlight w:val="none"/>
        </w:rPr>
        <w:t>]</w:t>
      </w:r>
    </w:p>
    <w:p>
      <w:pPr>
        <w:rPr>
          <w:rFonts w:ascii="黑体" w:hAnsi="黑体" w:eastAsia="黑体"/>
          <w:highlight w:val="none"/>
        </w:rPr>
      </w:pPr>
      <w:r>
        <w:rPr>
          <w:rFonts w:hint="eastAsia" w:ascii="黑体" w:hAnsi="黑体" w:eastAsia="黑体"/>
          <w:highlight w:val="none"/>
        </w:rPr>
        <w:t>3.3.5</w:t>
      </w:r>
    </w:p>
    <w:p>
      <w:pPr>
        <w:ind w:firstLine="420"/>
        <w:rPr>
          <w:rFonts w:ascii="Times New Roman" w:hAnsi="Times New Roman" w:eastAsia="黑体"/>
          <w:b/>
          <w:bCs w:val="0"/>
          <w:highlight w:val="none"/>
        </w:rPr>
      </w:pPr>
      <w:r>
        <w:rPr>
          <w:rFonts w:hint="eastAsia" w:ascii="黑体" w:hAnsi="黑体" w:eastAsia="黑体"/>
          <w:bCs/>
          <w:highlight w:val="none"/>
        </w:rPr>
        <w:t>验证（审核）</w:t>
      </w:r>
      <w:r>
        <w:rPr>
          <w:rFonts w:hint="eastAsia" w:ascii="Times New Roman" w:hAnsi="Times New Roman" w:eastAsia="黑体"/>
          <w:b/>
          <w:bCs w:val="0"/>
          <w:highlight w:val="none"/>
        </w:rPr>
        <w:t xml:space="preserve"> </w:t>
      </w:r>
      <w:r>
        <w:rPr>
          <w:rFonts w:ascii="Times New Roman" w:hAnsi="Times New Roman" w:eastAsia="黑体"/>
          <w:b/>
          <w:bCs w:val="0"/>
          <w:highlight w:val="none"/>
        </w:rPr>
        <w:t>verification</w:t>
      </w:r>
    </w:p>
    <w:p>
      <w:pPr>
        <w:ind w:left="181" w:leftChars="86" w:firstLine="420"/>
        <w:rPr>
          <w:rFonts w:hint="eastAsia" w:ascii="宋体" w:hAnsi="宋体"/>
          <w:highlight w:val="none"/>
        </w:rPr>
      </w:pPr>
      <w:r>
        <w:rPr>
          <w:rFonts w:ascii="宋体" w:hAnsi="宋体" w:cs="Times New Roman"/>
          <w:color w:val="auto"/>
          <w:kern w:val="2"/>
          <w:sz w:val="21"/>
          <w:highlight w:val="none"/>
        </w:rPr>
        <w:t>通过提供客观证据以认定其主张/声明满足指定要求</w:t>
      </w:r>
      <w:r>
        <w:rPr>
          <w:rFonts w:hint="eastAsia" w:ascii="宋体" w:hAnsi="宋体"/>
          <w:highlight w:val="none"/>
        </w:rPr>
        <w:t>。</w:t>
      </w:r>
    </w:p>
    <w:p>
      <w:pPr>
        <w:ind w:left="601" w:leftChars="286" w:firstLine="0"/>
        <w:rPr>
          <w:rFonts w:hint="eastAsia" w:ascii="宋体" w:hAnsi="宋体"/>
          <w:sz w:val="18"/>
          <w:szCs w:val="21"/>
          <w:highlight w:val="none"/>
        </w:rPr>
      </w:pPr>
      <w:r>
        <w:rPr>
          <w:rFonts w:hint="eastAsia" w:ascii="黑体" w:hAnsi="黑体" w:eastAsia="黑体"/>
          <w:sz w:val="18"/>
          <w:szCs w:val="21"/>
          <w:highlight w:val="none"/>
        </w:rPr>
        <w:t>注</w:t>
      </w:r>
      <w:r>
        <w:rPr>
          <w:rFonts w:hint="default" w:ascii="Times New Roman" w:hAnsi="Times New Roman" w:eastAsia="黑体"/>
          <w:sz w:val="18"/>
          <w:szCs w:val="21"/>
          <w:highlight w:val="none"/>
        </w:rPr>
        <w:t>1</w:t>
      </w:r>
      <w:r>
        <w:rPr>
          <w:rFonts w:hint="eastAsia" w:ascii="黑体" w:hAnsi="黑体" w:eastAsia="黑体"/>
          <w:sz w:val="18"/>
          <w:szCs w:val="21"/>
          <w:highlight w:val="none"/>
        </w:rPr>
        <w:t>：</w:t>
      </w:r>
      <w:r>
        <w:rPr>
          <w:rFonts w:hint="eastAsia" w:ascii="宋体" w:hAnsi="宋体"/>
          <w:sz w:val="18"/>
          <w:szCs w:val="21"/>
          <w:highlight w:val="none"/>
        </w:rPr>
        <w:t>审核被认为是根据历史数据和信息评估主张/声明的过程，以确定主张是否在实质上正确并符合指定要求。</w:t>
      </w:r>
    </w:p>
    <w:p>
      <w:pPr>
        <w:ind w:left="181" w:leftChars="86" w:firstLine="420"/>
        <w:rPr>
          <w:rFonts w:hint="eastAsia" w:ascii="宋体" w:hAnsi="宋体"/>
          <w:sz w:val="18"/>
          <w:szCs w:val="21"/>
          <w:highlight w:val="none"/>
        </w:rPr>
      </w:pPr>
      <w:r>
        <w:rPr>
          <w:rFonts w:hint="eastAsia" w:ascii="黑体" w:hAnsi="黑体" w:eastAsia="黑体"/>
          <w:sz w:val="18"/>
          <w:szCs w:val="21"/>
          <w:highlight w:val="none"/>
        </w:rPr>
        <w:t>注</w:t>
      </w:r>
      <w:r>
        <w:rPr>
          <w:rFonts w:hint="eastAsia" w:ascii="Times New Roman" w:hAnsi="Times New Roman" w:eastAsia="黑体"/>
          <w:sz w:val="18"/>
          <w:szCs w:val="21"/>
          <w:highlight w:val="none"/>
        </w:rPr>
        <w:t>2</w:t>
      </w:r>
      <w:r>
        <w:rPr>
          <w:rFonts w:hint="eastAsia" w:ascii="黑体" w:hAnsi="黑体" w:eastAsia="黑体"/>
          <w:sz w:val="18"/>
          <w:szCs w:val="21"/>
          <w:highlight w:val="none"/>
        </w:rPr>
        <w:t>：</w:t>
      </w:r>
      <w:r>
        <w:rPr>
          <w:rFonts w:hint="eastAsia" w:ascii="宋体" w:hAnsi="宋体"/>
          <w:sz w:val="18"/>
          <w:szCs w:val="21"/>
          <w:highlight w:val="none"/>
        </w:rPr>
        <w:t>审核适用于已经发生的事件或已经获得的结果的主张（真实性确认）。</w:t>
      </w:r>
    </w:p>
    <w:p>
      <w:pPr>
        <w:ind w:left="181" w:leftChars="86" w:firstLine="420"/>
        <w:rPr>
          <w:b/>
          <w:bCs/>
          <w:highlight w:val="none"/>
        </w:rPr>
      </w:pPr>
      <w:r>
        <w:rPr>
          <w:rFonts w:hint="default" w:ascii="Times New Roman" w:hAnsi="Times New Roman"/>
          <w:highlight w:val="none"/>
        </w:rPr>
        <w:t>[来源：ISO/IEC 17029:2019</w:t>
      </w:r>
      <w:r>
        <w:rPr>
          <w:rFonts w:hint="eastAsia"/>
          <w:highlight w:val="none"/>
        </w:rPr>
        <w:t>，3.3</w:t>
      </w:r>
      <w:r>
        <w:rPr>
          <w:rFonts w:hint="default" w:ascii="Times New Roman" w:hAnsi="Times New Roman"/>
          <w:highlight w:val="none"/>
        </w:rPr>
        <w:t>]</w:t>
      </w:r>
      <w:r>
        <w:rPr>
          <w:b/>
          <w:bCs/>
          <w:highlight w:val="none"/>
        </w:rPr>
        <w:t xml:space="preserve"> </w:t>
      </w:r>
    </w:p>
    <w:p>
      <w:pPr>
        <w:ind w:firstLine="0"/>
        <w:rPr>
          <w:rFonts w:hint="eastAsia" w:ascii="黑体" w:hAnsi="黑体" w:eastAsia="黑体"/>
          <w:highlight w:val="none"/>
        </w:rPr>
      </w:pPr>
      <w:r>
        <w:rPr>
          <w:rFonts w:hint="eastAsia" w:ascii="黑体" w:hAnsi="黑体" w:eastAsia="黑体"/>
          <w:highlight w:val="none"/>
        </w:rPr>
        <w:t>3.3.6</w:t>
      </w:r>
    </w:p>
    <w:p>
      <w:pPr>
        <w:ind w:firstLine="420"/>
        <w:rPr>
          <w:rFonts w:hint="default" w:ascii="Times New Roman" w:hAnsi="Times New Roman" w:eastAsia="黑体"/>
          <w:b/>
          <w:bCs w:val="0"/>
          <w:highlight w:val="none"/>
        </w:rPr>
      </w:pPr>
      <w:r>
        <w:rPr>
          <w:rFonts w:hint="eastAsia" w:ascii="黑体" w:hAnsi="黑体" w:eastAsia="黑体"/>
          <w:b w:val="0"/>
          <w:bCs/>
          <w:color w:val="auto"/>
          <w:sz w:val="21"/>
          <w:szCs w:val="24"/>
          <w:highlight w:val="none"/>
          <w:shd w:val="clear" w:color="auto" w:fill="auto"/>
        </w:rPr>
        <w:t>审定</w:t>
      </w:r>
      <w:r>
        <w:rPr>
          <w:rFonts w:ascii="Times New Roman" w:hAnsi="Times New Roman" w:eastAsia="黑体"/>
          <w:b/>
          <w:bCs w:val="0"/>
          <w:color w:val="auto"/>
          <w:sz w:val="21"/>
          <w:szCs w:val="24"/>
          <w:highlight w:val="none"/>
          <w:shd w:val="clear" w:color="auto" w:fill="auto"/>
        </w:rPr>
        <w:t>validation</w:t>
      </w:r>
    </w:p>
    <w:p>
      <w:pPr>
        <w:ind w:firstLine="420"/>
        <w:rPr>
          <w:rFonts w:ascii="Helvetica" w:hAnsi="Helvetica"/>
          <w:color w:val="000000"/>
          <w:sz w:val="20"/>
          <w:szCs w:val="20"/>
          <w:highlight w:val="none"/>
          <w:shd w:val="clear" w:color="auto" w:fill="FFFFFF"/>
        </w:rPr>
      </w:pPr>
      <w:r>
        <w:rPr>
          <w:rFonts w:ascii="Helvetica" w:hAnsi="Helvetica"/>
          <w:color w:val="000000"/>
          <w:sz w:val="20"/>
          <w:szCs w:val="20"/>
          <w:highlight w:val="none"/>
          <w:shd w:val="clear" w:color="auto" w:fill="FFFFFF"/>
        </w:rPr>
        <w:t>通过提供客观证据，确认声明</w:t>
      </w:r>
      <w:r>
        <w:rPr>
          <w:rFonts w:ascii="宋体" w:hAnsi="宋体"/>
          <w:color w:val="000000"/>
          <w:sz w:val="20"/>
          <w:szCs w:val="20"/>
          <w:highlight w:val="none"/>
          <w:shd w:val="clear" w:color="auto" w:fill="FFFFFF"/>
        </w:rPr>
        <w:t>（3.1）</w:t>
      </w:r>
      <w:r>
        <w:rPr>
          <w:rFonts w:ascii="Helvetica" w:hAnsi="Helvetica"/>
          <w:color w:val="000000"/>
          <w:sz w:val="20"/>
          <w:szCs w:val="20"/>
          <w:highlight w:val="none"/>
          <w:shd w:val="clear" w:color="auto" w:fill="FFFFFF"/>
        </w:rPr>
        <w:t>中的某项要求已经满足了未来特定预期用途或应用的要求</w:t>
      </w:r>
      <w:r>
        <w:rPr>
          <w:rFonts w:hint="eastAsia" w:ascii="Helvetica" w:hAnsi="Helvetica"/>
          <w:color w:val="000000"/>
          <w:sz w:val="20"/>
          <w:szCs w:val="20"/>
          <w:highlight w:val="none"/>
          <w:shd w:val="clear" w:color="auto" w:fill="FFFFFF"/>
        </w:rPr>
        <w:t>。</w:t>
      </w:r>
    </w:p>
    <w:p>
      <w:pPr>
        <w:ind w:left="181" w:leftChars="86" w:firstLine="420"/>
        <w:rPr>
          <w:rFonts w:hint="eastAsia" w:ascii="黑体" w:hAnsi="黑体" w:eastAsia="黑体"/>
          <w:bCs w:val="0"/>
          <w:sz w:val="18"/>
          <w:szCs w:val="18"/>
          <w:highlight w:val="none"/>
        </w:rPr>
      </w:pPr>
      <w:r>
        <w:rPr>
          <w:rFonts w:ascii="黑体" w:hAnsi="黑体" w:eastAsia="黑体"/>
          <w:color w:val="000000"/>
          <w:sz w:val="18"/>
          <w:szCs w:val="18"/>
          <w:highlight w:val="none"/>
          <w:shd w:val="clear" w:color="auto" w:fill="FFFFFF"/>
        </w:rPr>
        <w:t>注</w:t>
      </w:r>
      <w:r>
        <w:rPr>
          <w:rFonts w:ascii="Times New Roman" w:hAnsi="Times New Roman"/>
          <w:color w:val="000000"/>
          <w:sz w:val="18"/>
          <w:szCs w:val="18"/>
          <w:highlight w:val="none"/>
          <w:shd w:val="clear" w:color="auto" w:fill="FFFFFF"/>
        </w:rPr>
        <w:t>1</w:t>
      </w:r>
      <w:r>
        <w:rPr>
          <w:rFonts w:ascii="Helvetica" w:hAnsi="Helvetica"/>
          <w:color w:val="000000"/>
          <w:sz w:val="18"/>
          <w:szCs w:val="18"/>
          <w:highlight w:val="none"/>
          <w:shd w:val="clear" w:color="auto" w:fill="FFFFFF"/>
        </w:rPr>
        <w:t>：客观证据可以来自真实的或模拟的来源。</w:t>
      </w:r>
    </w:p>
    <w:p>
      <w:pPr>
        <w:ind w:firstLine="420"/>
        <w:rPr>
          <w:rFonts w:hint="eastAsia" w:ascii="黑体" w:hAnsi="黑体" w:eastAsia="黑体"/>
          <w:bCs w:val="0"/>
          <w:sz w:val="18"/>
          <w:szCs w:val="18"/>
          <w:highlight w:val="none"/>
        </w:rPr>
      </w:pPr>
      <w:r>
        <w:rPr>
          <w:rFonts w:ascii="黑体" w:hAnsi="黑体" w:eastAsia="黑体"/>
          <w:color w:val="000000"/>
          <w:sz w:val="18"/>
          <w:szCs w:val="18"/>
          <w:highlight w:val="none"/>
          <w:shd w:val="clear" w:color="auto" w:fill="FFFFFF"/>
        </w:rPr>
        <w:t>注</w:t>
      </w:r>
      <w:r>
        <w:rPr>
          <w:rFonts w:ascii="Times New Roman" w:hAnsi="Times New Roman"/>
          <w:color w:val="000000"/>
          <w:sz w:val="18"/>
          <w:szCs w:val="18"/>
          <w:highlight w:val="none"/>
          <w:shd w:val="clear" w:color="auto" w:fill="FFFFFF"/>
        </w:rPr>
        <w:t>2</w:t>
      </w:r>
      <w:r>
        <w:rPr>
          <w:rFonts w:ascii="Helvetica" w:hAnsi="Helvetica"/>
          <w:color w:val="000000"/>
          <w:sz w:val="18"/>
          <w:szCs w:val="18"/>
          <w:highlight w:val="none"/>
          <w:shd w:val="clear" w:color="auto" w:fill="FFFFFF"/>
        </w:rPr>
        <w:t>：</w:t>
      </w:r>
      <w:r>
        <w:rPr>
          <w:rFonts w:hint="eastAsia" w:ascii="Helvetica" w:hAnsi="Helvetica"/>
          <w:color w:val="000000"/>
          <w:sz w:val="18"/>
          <w:szCs w:val="18"/>
          <w:highlight w:val="none"/>
          <w:shd w:val="clear" w:color="auto" w:fill="FFFFFF"/>
        </w:rPr>
        <w:t>审定</w:t>
      </w:r>
      <w:r>
        <w:rPr>
          <w:rFonts w:ascii="Helvetica" w:hAnsi="Helvetica"/>
          <w:color w:val="000000"/>
          <w:sz w:val="18"/>
          <w:szCs w:val="18"/>
          <w:highlight w:val="none"/>
          <w:shd w:val="clear" w:color="auto" w:fill="FFFFFF"/>
        </w:rPr>
        <w:t>被认为是一个过程，以评估合理的假设，限制，和方法，支持一个声明的结果，未来的活动。</w:t>
      </w:r>
    </w:p>
    <w:p>
      <w:pPr>
        <w:ind w:firstLine="420"/>
        <w:rPr>
          <w:sz w:val="18"/>
          <w:szCs w:val="18"/>
          <w:highlight w:val="none"/>
        </w:rPr>
      </w:pPr>
      <w:r>
        <w:rPr>
          <w:rFonts w:ascii="黑体" w:hAnsi="黑体" w:eastAsia="黑体"/>
          <w:color w:val="000000"/>
          <w:sz w:val="18"/>
          <w:szCs w:val="18"/>
          <w:highlight w:val="none"/>
          <w:shd w:val="clear" w:color="auto" w:fill="FFFFFF"/>
        </w:rPr>
        <w:t>注</w:t>
      </w:r>
      <w:r>
        <w:rPr>
          <w:rFonts w:hint="eastAsia" w:ascii="Times New Roman" w:hAnsi="Times New Roman"/>
          <w:color w:val="000000"/>
          <w:sz w:val="18"/>
          <w:szCs w:val="18"/>
          <w:highlight w:val="none"/>
          <w:shd w:val="clear" w:color="auto" w:fill="FFFFFF"/>
        </w:rPr>
        <w:t>3</w:t>
      </w:r>
      <w:r>
        <w:rPr>
          <w:rFonts w:ascii="Helvetica" w:hAnsi="Helvetica"/>
          <w:color w:val="000000"/>
          <w:sz w:val="18"/>
          <w:szCs w:val="18"/>
          <w:highlight w:val="none"/>
          <w:shd w:val="clear" w:color="auto" w:fill="FFFFFF"/>
        </w:rPr>
        <w:t>：根据预计信息（可验证性确认），对关于预期未来用途的声明进行确认。</w:t>
      </w:r>
    </w:p>
    <w:p>
      <w:pPr>
        <w:ind w:left="181" w:leftChars="86" w:firstLine="420"/>
        <w:rPr>
          <w:rFonts w:hint="eastAsia"/>
          <w:highlight w:val="none"/>
        </w:rPr>
      </w:pPr>
      <w:r>
        <w:rPr>
          <w:rFonts w:hint="eastAsia"/>
          <w:highlight w:val="none"/>
        </w:rPr>
        <w:t>[来源：</w:t>
      </w:r>
      <w:r>
        <w:rPr>
          <w:highlight w:val="none"/>
        </w:rPr>
        <w:t>ISO/IEC 17029:2019</w:t>
      </w:r>
      <w:r>
        <w:rPr>
          <w:rFonts w:hint="eastAsia"/>
          <w:highlight w:val="none"/>
        </w:rPr>
        <w:t>，3.2]</w:t>
      </w:r>
    </w:p>
    <w:p>
      <w:pPr>
        <w:ind w:left="181" w:leftChars="86" w:firstLine="0"/>
        <w:rPr>
          <w:rFonts w:ascii="黑体" w:hAnsi="黑体" w:eastAsia="黑体"/>
          <w:highlight w:val="none"/>
        </w:rPr>
      </w:pPr>
      <w:r>
        <w:rPr>
          <w:rFonts w:hint="eastAsia" w:ascii="黑体" w:hAnsi="黑体" w:eastAsia="黑体"/>
          <w:highlight w:val="none"/>
        </w:rPr>
        <w:t>3.3.7</w:t>
      </w:r>
    </w:p>
    <w:p>
      <w:pPr>
        <w:ind w:firstLine="420"/>
        <w:rPr>
          <w:highlight w:val="none"/>
        </w:rPr>
      </w:pPr>
      <w:r>
        <w:rPr>
          <w:rFonts w:hint="eastAsia" w:ascii="黑体" w:hAnsi="黑体" w:eastAsia="黑体"/>
          <w:highlight w:val="none"/>
        </w:rPr>
        <w:t>归档信息</w:t>
      </w:r>
      <w:r>
        <w:rPr>
          <w:b/>
          <w:bCs/>
          <w:highlight w:val="none"/>
        </w:rPr>
        <w:t>archived</w:t>
      </w:r>
      <w:r>
        <w:rPr>
          <w:rFonts w:hint="eastAsia"/>
          <w:b/>
          <w:bCs/>
          <w:highlight w:val="none"/>
        </w:rPr>
        <w:t xml:space="preserve"> information</w:t>
      </w:r>
    </w:p>
    <w:p>
      <w:pPr>
        <w:ind w:firstLine="420"/>
        <w:rPr>
          <w:highlight w:val="none"/>
        </w:rPr>
      </w:pPr>
      <w:r>
        <w:rPr>
          <w:rFonts w:hint="eastAsia"/>
          <w:highlight w:val="none"/>
        </w:rPr>
        <w:t>企业控制、保管和维护的信息及其媒介。</w:t>
      </w:r>
    </w:p>
    <w:p>
      <w:pPr>
        <w:ind w:left="181" w:leftChars="86" w:firstLine="420"/>
        <w:rPr>
          <w:rFonts w:hint="eastAsia"/>
          <w:highlight w:val="none"/>
        </w:rPr>
      </w:pPr>
      <w:r>
        <w:rPr>
          <w:rFonts w:hint="eastAsia"/>
          <w:highlight w:val="none"/>
        </w:rPr>
        <w:t>注：包括企业经营活动与成果的记录、管理体系文档等信息的任意样式与媒介的信息。</w:t>
      </w:r>
    </w:p>
    <w:p>
      <w:pPr>
        <w:ind w:firstLine="420"/>
        <w:rPr>
          <w:rFonts w:hint="eastAsia" w:ascii="黑体" w:hAnsi="黑体" w:eastAsia="黑体"/>
          <w:bCs/>
          <w:highlight w:val="none"/>
        </w:rPr>
      </w:pPr>
      <w:r>
        <w:rPr>
          <w:rFonts w:hint="eastAsia"/>
          <w:highlight w:val="none"/>
        </w:rPr>
        <w:t>[来源：ISO 37301:2021，3.10，</w:t>
      </w:r>
      <w:r>
        <w:rPr>
          <w:rFonts w:hint="eastAsia" w:ascii="宋体" w:hAnsi="宋体"/>
          <w:highlight w:val="none"/>
        </w:rPr>
        <w:t>有修改</w:t>
      </w:r>
      <w:r>
        <w:rPr>
          <w:rFonts w:hint="eastAsia"/>
          <w:highlight w:val="none"/>
        </w:rPr>
        <w:t>]</w:t>
      </w:r>
    </w:p>
    <w:p>
      <w:pPr>
        <w:pStyle w:val="2"/>
        <w:spacing w:before="120" w:after="120"/>
        <w:rPr>
          <w:rFonts w:ascii="黑体" w:hAnsi="黑体" w:eastAsia="黑体"/>
          <w:b w:val="0"/>
          <w:sz w:val="21"/>
          <w:szCs w:val="21"/>
          <w:highlight w:val="none"/>
        </w:rPr>
      </w:pPr>
      <w:bookmarkStart w:id="13" w:name="_Toc166611363"/>
      <w:r>
        <w:rPr>
          <w:rFonts w:hint="eastAsia" w:ascii="黑体" w:hAnsi="黑体" w:eastAsia="黑体"/>
          <w:b w:val="0"/>
          <w:sz w:val="21"/>
          <w:szCs w:val="21"/>
          <w:highlight w:val="none"/>
        </w:rPr>
        <w:t>4 碳信息披露原则</w:t>
      </w:r>
      <w:bookmarkEnd w:id="13"/>
    </w:p>
    <w:p>
      <w:pPr>
        <w:pStyle w:val="3"/>
        <w:spacing w:before="156" w:beforeLines="50" w:after="120" w:line="240" w:lineRule="auto"/>
        <w:rPr>
          <w:rFonts w:ascii="黑体" w:hAnsi="黑体" w:eastAsia="黑体"/>
          <w:b w:val="0"/>
          <w:sz w:val="21"/>
          <w:szCs w:val="21"/>
          <w:highlight w:val="none"/>
        </w:rPr>
      </w:pPr>
      <w:bookmarkStart w:id="14" w:name="_Toc166611364"/>
      <w:r>
        <w:rPr>
          <w:rFonts w:ascii="黑体" w:hAnsi="黑体" w:eastAsia="黑体"/>
          <w:b w:val="0"/>
          <w:sz w:val="21"/>
          <w:szCs w:val="21"/>
          <w:highlight w:val="none"/>
        </w:rPr>
        <w:t xml:space="preserve">4.1 </w:t>
      </w:r>
      <w:r>
        <w:rPr>
          <w:rFonts w:hint="eastAsia" w:ascii="黑体" w:hAnsi="黑体" w:eastAsia="黑体"/>
          <w:b w:val="0"/>
          <w:sz w:val="21"/>
          <w:szCs w:val="21"/>
          <w:highlight w:val="none"/>
        </w:rPr>
        <w:t>真实性</w:t>
      </w:r>
      <w:bookmarkEnd w:id="14"/>
    </w:p>
    <w:p>
      <w:pPr>
        <w:ind w:firstLine="420"/>
        <w:rPr>
          <w:sz w:val="18"/>
          <w:szCs w:val="18"/>
          <w:highlight w:val="none"/>
        </w:rPr>
      </w:pPr>
      <w:r>
        <w:rPr>
          <w:rFonts w:hint="eastAsia"/>
          <w:b/>
          <w:highlight w:val="none"/>
        </w:rPr>
        <w:t>应</w:t>
      </w:r>
      <w:r>
        <w:rPr>
          <w:rFonts w:hint="eastAsia"/>
          <w:highlight w:val="none"/>
        </w:rPr>
        <w:t>以客观事实或具有事实基础的判断和意见为依据，如实反映客观情况，</w:t>
      </w:r>
      <w:r>
        <w:rPr>
          <w:rFonts w:hint="eastAsia"/>
          <w:b/>
          <w:bCs/>
          <w:highlight w:val="none"/>
        </w:rPr>
        <w:t>不应</w:t>
      </w:r>
      <w:r>
        <w:rPr>
          <w:rFonts w:hint="eastAsia"/>
          <w:highlight w:val="none"/>
        </w:rPr>
        <w:t>陈述或暗示事实上不正确或不真实的事情，</w:t>
      </w:r>
      <w:r>
        <w:rPr>
          <w:rFonts w:hint="eastAsia"/>
          <w:b/>
          <w:bCs/>
          <w:highlight w:val="none"/>
        </w:rPr>
        <w:t>不应</w:t>
      </w:r>
      <w:r>
        <w:rPr>
          <w:rFonts w:hint="eastAsia"/>
          <w:highlight w:val="none"/>
        </w:rPr>
        <w:t>夸大企业、设施和资产、产品、服务对减缓气候变化的作用。</w:t>
      </w:r>
    </w:p>
    <w:p>
      <w:pPr>
        <w:pStyle w:val="3"/>
        <w:spacing w:before="156" w:beforeLines="50" w:after="120" w:line="240" w:lineRule="auto"/>
        <w:rPr>
          <w:rFonts w:ascii="黑体" w:hAnsi="黑体" w:eastAsia="黑体"/>
          <w:b w:val="0"/>
          <w:sz w:val="21"/>
          <w:szCs w:val="21"/>
          <w:highlight w:val="none"/>
        </w:rPr>
      </w:pPr>
      <w:bookmarkStart w:id="15" w:name="_Toc166611365"/>
      <w:r>
        <w:rPr>
          <w:rFonts w:ascii="黑体" w:hAnsi="黑体" w:eastAsia="黑体"/>
          <w:b w:val="0"/>
          <w:sz w:val="21"/>
          <w:szCs w:val="21"/>
          <w:highlight w:val="none"/>
        </w:rPr>
        <w:t xml:space="preserve">4.2 </w:t>
      </w:r>
      <w:r>
        <w:rPr>
          <w:rFonts w:hint="eastAsia" w:ascii="黑体" w:hAnsi="黑体" w:eastAsia="黑体"/>
          <w:b w:val="0"/>
          <w:sz w:val="21"/>
          <w:szCs w:val="21"/>
          <w:highlight w:val="none"/>
        </w:rPr>
        <w:t>明确性</w:t>
      </w:r>
      <w:bookmarkEnd w:id="15"/>
    </w:p>
    <w:p>
      <w:pPr>
        <w:ind w:firstLine="420"/>
        <w:rPr>
          <w:highlight w:val="none"/>
        </w:rPr>
      </w:pPr>
      <w:r>
        <w:rPr>
          <w:b/>
          <w:highlight w:val="none"/>
        </w:rPr>
        <w:t>应</w:t>
      </w:r>
      <w:r>
        <w:rPr>
          <w:rFonts w:hint="eastAsia"/>
          <w:highlight w:val="none"/>
        </w:rPr>
        <w:t>透明和直接，避免使用笼统或模糊表述。</w:t>
      </w:r>
    </w:p>
    <w:p>
      <w:pPr>
        <w:ind w:firstLine="420"/>
        <w:rPr>
          <w:b/>
          <w:sz w:val="18"/>
          <w:szCs w:val="18"/>
          <w:highlight w:val="none"/>
        </w:rPr>
      </w:pPr>
      <w:r>
        <w:rPr>
          <w:rFonts w:hint="eastAsia" w:ascii="黑体" w:hAnsi="黑体" w:eastAsia="黑体"/>
          <w:sz w:val="18"/>
          <w:szCs w:val="18"/>
          <w:highlight w:val="none"/>
        </w:rPr>
        <w:t>注：</w:t>
      </w:r>
      <w:r>
        <w:rPr>
          <w:rFonts w:hint="eastAsia"/>
          <w:sz w:val="18"/>
          <w:szCs w:val="18"/>
          <w:highlight w:val="none"/>
        </w:rPr>
        <w:t>传达特定的含义或效果，</w:t>
      </w:r>
      <w:r>
        <w:rPr>
          <w:b/>
          <w:sz w:val="18"/>
          <w:szCs w:val="18"/>
          <w:highlight w:val="none"/>
        </w:rPr>
        <w:t>应</w:t>
      </w:r>
      <w:r>
        <w:rPr>
          <w:rFonts w:hint="eastAsia"/>
          <w:sz w:val="18"/>
          <w:szCs w:val="18"/>
          <w:highlight w:val="none"/>
        </w:rPr>
        <w:t>使用特定的术语或包括解释。</w:t>
      </w:r>
    </w:p>
    <w:p>
      <w:pPr>
        <w:pStyle w:val="3"/>
        <w:spacing w:before="156" w:beforeLines="50" w:after="120" w:line="240" w:lineRule="auto"/>
        <w:rPr>
          <w:rFonts w:ascii="黑体" w:hAnsi="黑体" w:eastAsia="黑体"/>
          <w:b w:val="0"/>
          <w:sz w:val="21"/>
          <w:szCs w:val="21"/>
          <w:highlight w:val="none"/>
        </w:rPr>
      </w:pPr>
      <w:bookmarkStart w:id="16" w:name="_Toc166611366"/>
      <w:r>
        <w:rPr>
          <w:rFonts w:ascii="黑体" w:hAnsi="黑体" w:eastAsia="黑体"/>
          <w:b w:val="0"/>
          <w:sz w:val="21"/>
          <w:szCs w:val="21"/>
          <w:highlight w:val="none"/>
        </w:rPr>
        <w:t xml:space="preserve">4.3 </w:t>
      </w:r>
      <w:r>
        <w:rPr>
          <w:rFonts w:hint="eastAsia" w:ascii="黑体" w:hAnsi="黑体" w:eastAsia="黑体"/>
          <w:b w:val="0"/>
          <w:sz w:val="21"/>
          <w:szCs w:val="21"/>
          <w:highlight w:val="none"/>
        </w:rPr>
        <w:t>准确性</w:t>
      </w:r>
      <w:bookmarkEnd w:id="16"/>
    </w:p>
    <w:p>
      <w:pPr>
        <w:ind w:firstLine="420"/>
        <w:rPr>
          <w:b/>
          <w:sz w:val="18"/>
          <w:szCs w:val="18"/>
          <w:highlight w:val="none"/>
        </w:rPr>
      </w:pPr>
      <w:r>
        <w:rPr>
          <w:rFonts w:hint="eastAsia"/>
          <w:b/>
          <w:highlight w:val="none"/>
        </w:rPr>
        <w:t>应</w:t>
      </w:r>
      <w:r>
        <w:rPr>
          <w:rFonts w:hint="eastAsia"/>
          <w:bCs/>
          <w:highlight w:val="none"/>
        </w:rPr>
        <w:t>尽量保证在可知的范围内，计算出的温室气体排放量等数据不系统性地高于或低于实际排放量，并尽可能减少不确定性，以保证用户在决策时对报告信息完整性的信心。</w:t>
      </w:r>
    </w:p>
    <w:p>
      <w:pPr>
        <w:pStyle w:val="3"/>
        <w:spacing w:before="156" w:beforeLines="50" w:after="120" w:line="240" w:lineRule="auto"/>
        <w:rPr>
          <w:rFonts w:ascii="黑体" w:hAnsi="黑体" w:eastAsia="黑体"/>
          <w:b w:val="0"/>
          <w:sz w:val="21"/>
          <w:szCs w:val="21"/>
          <w:highlight w:val="none"/>
        </w:rPr>
      </w:pPr>
      <w:bookmarkStart w:id="17" w:name="_Toc166611367"/>
      <w:r>
        <w:rPr>
          <w:rFonts w:ascii="黑体" w:hAnsi="黑体" w:eastAsia="黑体"/>
          <w:b w:val="0"/>
          <w:sz w:val="21"/>
          <w:szCs w:val="21"/>
          <w:highlight w:val="none"/>
        </w:rPr>
        <w:t xml:space="preserve">4.4 </w:t>
      </w:r>
      <w:r>
        <w:rPr>
          <w:rFonts w:hint="eastAsia" w:ascii="黑体" w:hAnsi="黑体" w:eastAsia="黑体"/>
          <w:b w:val="0"/>
          <w:sz w:val="21"/>
          <w:szCs w:val="21"/>
          <w:highlight w:val="none"/>
        </w:rPr>
        <w:t>完整性</w:t>
      </w:r>
      <w:bookmarkEnd w:id="17"/>
    </w:p>
    <w:p>
      <w:pPr>
        <w:ind w:firstLine="420"/>
        <w:rPr>
          <w:highlight w:val="none"/>
        </w:rPr>
      </w:pPr>
      <w:r>
        <w:rPr>
          <w:rFonts w:hint="eastAsia"/>
          <w:b/>
          <w:bCs/>
          <w:highlight w:val="none"/>
        </w:rPr>
        <w:t>应</w:t>
      </w:r>
      <w:r>
        <w:rPr>
          <w:rFonts w:hint="eastAsia"/>
          <w:highlight w:val="none"/>
        </w:rPr>
        <w:t>确保披露信息是完整的，避免进行选择性披露。</w:t>
      </w:r>
      <w:r>
        <w:rPr>
          <w:rFonts w:hint="eastAsia"/>
          <w:b/>
          <w:bCs/>
          <w:highlight w:val="none"/>
        </w:rPr>
        <w:t>应</w:t>
      </w:r>
      <w:r>
        <w:rPr>
          <w:rFonts w:hint="eastAsia"/>
          <w:highlight w:val="none"/>
        </w:rPr>
        <w:t>提供全面的碳信息，而不是仅披露对其有利的一部分信息，以确保信息的全面性和客观性。</w:t>
      </w:r>
    </w:p>
    <w:p>
      <w:pPr>
        <w:pStyle w:val="3"/>
        <w:spacing w:before="156" w:beforeLines="50" w:after="120" w:line="240" w:lineRule="auto"/>
        <w:rPr>
          <w:rFonts w:ascii="黑体" w:hAnsi="黑体" w:eastAsia="黑体"/>
          <w:b w:val="0"/>
          <w:sz w:val="21"/>
          <w:szCs w:val="21"/>
          <w:highlight w:val="none"/>
        </w:rPr>
      </w:pPr>
      <w:bookmarkStart w:id="18" w:name="_Toc166611368"/>
      <w:r>
        <w:rPr>
          <w:rFonts w:ascii="黑体" w:hAnsi="黑体" w:eastAsia="黑体"/>
          <w:b w:val="0"/>
          <w:sz w:val="21"/>
          <w:szCs w:val="21"/>
          <w:highlight w:val="none"/>
        </w:rPr>
        <w:t>4.5</w:t>
      </w:r>
      <w:r>
        <w:rPr>
          <w:rFonts w:hint="eastAsia" w:ascii="黑体" w:hAnsi="黑体" w:eastAsia="黑体"/>
          <w:b w:val="0"/>
          <w:sz w:val="21"/>
          <w:szCs w:val="21"/>
          <w:highlight w:val="none"/>
        </w:rPr>
        <w:t xml:space="preserve"> 合理性</w:t>
      </w:r>
      <w:bookmarkEnd w:id="18"/>
    </w:p>
    <w:p>
      <w:pPr>
        <w:ind w:firstLine="420"/>
        <w:rPr>
          <w:highlight w:val="none"/>
        </w:rPr>
      </w:pPr>
      <w:r>
        <w:rPr>
          <w:rFonts w:hint="eastAsia"/>
          <w:b/>
          <w:bCs/>
          <w:highlight w:val="none"/>
        </w:rPr>
        <w:t>应</w:t>
      </w:r>
      <w:r>
        <w:rPr>
          <w:rFonts w:hint="eastAsia"/>
          <w:highlight w:val="none"/>
        </w:rPr>
        <w:t>基于科学的原则并尊重常识，使用可靠的科学方法和数据，确保披露信息的结果合理、合乎常识，并得到广泛认可。披露任何有关的假定，</w:t>
      </w:r>
      <w:r>
        <w:rPr>
          <w:rFonts w:hint="eastAsia"/>
          <w:b/>
          <w:bCs/>
          <w:highlight w:val="none"/>
        </w:rPr>
        <w:t>宜</w:t>
      </w:r>
      <w:r>
        <w:rPr>
          <w:rFonts w:hint="eastAsia"/>
          <w:highlight w:val="none"/>
        </w:rPr>
        <w:t>恰当指明所引用的方法学，以及数据来源。涉及对比性信息披露，应以明确、最新和客观的信息为基础。</w:t>
      </w:r>
    </w:p>
    <w:p>
      <w:pPr>
        <w:ind w:left="420" w:leftChars="200"/>
        <w:rPr>
          <w:sz w:val="18"/>
          <w:szCs w:val="18"/>
          <w:highlight w:val="none"/>
        </w:rPr>
      </w:pPr>
      <w:r>
        <w:rPr>
          <w:rFonts w:hint="eastAsia" w:ascii="黑体" w:hAnsi="黑体" w:eastAsia="黑体"/>
          <w:sz w:val="18"/>
          <w:szCs w:val="18"/>
          <w:highlight w:val="none"/>
        </w:rPr>
        <w:t>注：</w:t>
      </w:r>
      <w:r>
        <w:rPr>
          <w:rFonts w:hint="eastAsia"/>
          <w:sz w:val="18"/>
          <w:szCs w:val="18"/>
          <w:highlight w:val="none"/>
        </w:rPr>
        <w:t>对比</w:t>
      </w:r>
      <w:r>
        <w:rPr>
          <w:rFonts w:hint="eastAsia"/>
          <w:b/>
          <w:bCs/>
          <w:sz w:val="18"/>
          <w:szCs w:val="18"/>
          <w:highlight w:val="none"/>
        </w:rPr>
        <w:t>应</w:t>
      </w:r>
      <w:r>
        <w:rPr>
          <w:rFonts w:hint="eastAsia"/>
          <w:sz w:val="18"/>
          <w:szCs w:val="18"/>
          <w:highlight w:val="none"/>
        </w:rPr>
        <w:t>是客观的，特别是比较具有相同功能单元，使用共同的方法和共同的假设，并比较被比较产品的材料和可验证的特征。</w:t>
      </w:r>
    </w:p>
    <w:p>
      <w:pPr>
        <w:pStyle w:val="3"/>
        <w:spacing w:before="156" w:beforeLines="50" w:after="120" w:line="240" w:lineRule="auto"/>
        <w:rPr>
          <w:rFonts w:ascii="黑体" w:hAnsi="黑体" w:eastAsia="黑体"/>
          <w:b w:val="0"/>
          <w:sz w:val="21"/>
          <w:szCs w:val="21"/>
          <w:highlight w:val="none"/>
        </w:rPr>
      </w:pPr>
      <w:bookmarkStart w:id="19" w:name="_Toc166611369"/>
      <w:r>
        <w:rPr>
          <w:rFonts w:ascii="黑体" w:hAnsi="黑体" w:eastAsia="黑体"/>
          <w:b w:val="0"/>
          <w:sz w:val="21"/>
          <w:szCs w:val="21"/>
          <w:highlight w:val="none"/>
        </w:rPr>
        <w:t>4.</w:t>
      </w:r>
      <w:r>
        <w:rPr>
          <w:rFonts w:hint="eastAsia" w:ascii="黑体" w:hAnsi="黑体" w:eastAsia="黑体"/>
          <w:b w:val="0"/>
          <w:sz w:val="21"/>
          <w:szCs w:val="21"/>
          <w:highlight w:val="none"/>
        </w:rPr>
        <w:t>6</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实质性</w:t>
      </w:r>
      <w:bookmarkEnd w:id="19"/>
    </w:p>
    <w:p>
      <w:pPr>
        <w:ind w:firstLine="420"/>
        <w:rPr>
          <w:highlight w:val="none"/>
        </w:rPr>
      </w:pPr>
      <w:r>
        <w:rPr>
          <w:rFonts w:hint="eastAsia"/>
          <w:b/>
          <w:bCs/>
          <w:highlight w:val="none"/>
        </w:rPr>
        <w:t>应</w:t>
      </w:r>
      <w:r>
        <w:rPr>
          <w:rFonts w:hint="eastAsia"/>
          <w:highlight w:val="none"/>
        </w:rPr>
        <w:t>考虑企业行动对减缓气候变化、各个可持续发展目标影响，不</w:t>
      </w:r>
      <w:r>
        <w:rPr>
          <w:rFonts w:hint="eastAsia"/>
          <w:b/>
          <w:bCs/>
          <w:highlight w:val="none"/>
        </w:rPr>
        <w:t>应</w:t>
      </w:r>
      <w:r>
        <w:rPr>
          <w:rFonts w:hint="eastAsia"/>
          <w:highlight w:val="none"/>
        </w:rPr>
        <w:t>规避对利益相关方影响更显著的方面。</w:t>
      </w:r>
    </w:p>
    <w:p>
      <w:pPr>
        <w:ind w:firstLine="420"/>
        <w:rPr>
          <w:highlight w:val="none"/>
        </w:rPr>
      </w:pPr>
      <w:r>
        <w:rPr>
          <w:rFonts w:hint="eastAsia" w:ascii="黑体" w:hAnsi="黑体" w:eastAsia="黑体"/>
          <w:sz w:val="18"/>
          <w:szCs w:val="18"/>
          <w:highlight w:val="none"/>
        </w:rPr>
        <w:t>注：</w:t>
      </w:r>
      <w:r>
        <w:rPr>
          <w:rFonts w:hint="eastAsia"/>
          <w:sz w:val="18"/>
          <w:szCs w:val="18"/>
          <w:highlight w:val="none"/>
        </w:rPr>
        <w:t>在做出减缓气候变化贡献时，如果对其他可持续发展议题的影响更显著，则</w:t>
      </w:r>
      <w:r>
        <w:rPr>
          <w:rFonts w:hint="eastAsia"/>
          <w:b/>
          <w:bCs/>
          <w:sz w:val="18"/>
          <w:szCs w:val="18"/>
          <w:highlight w:val="none"/>
        </w:rPr>
        <w:t>不应</w:t>
      </w:r>
      <w:r>
        <w:rPr>
          <w:rFonts w:hint="eastAsia"/>
          <w:sz w:val="18"/>
          <w:szCs w:val="18"/>
          <w:highlight w:val="none"/>
        </w:rPr>
        <w:t>规避披露更重要的影响。</w:t>
      </w:r>
    </w:p>
    <w:p>
      <w:pPr>
        <w:pStyle w:val="3"/>
        <w:spacing w:before="156" w:beforeLines="50" w:after="120" w:line="240" w:lineRule="auto"/>
        <w:rPr>
          <w:rFonts w:ascii="黑体" w:hAnsi="黑体" w:eastAsia="黑体"/>
          <w:b w:val="0"/>
          <w:sz w:val="21"/>
          <w:szCs w:val="21"/>
          <w:highlight w:val="none"/>
        </w:rPr>
      </w:pPr>
      <w:bookmarkStart w:id="20" w:name="_Toc166611370"/>
      <w:r>
        <w:rPr>
          <w:rFonts w:ascii="黑体" w:hAnsi="黑体" w:eastAsia="黑体"/>
          <w:b w:val="0"/>
          <w:sz w:val="21"/>
          <w:szCs w:val="21"/>
          <w:highlight w:val="none"/>
        </w:rPr>
        <w:t>4.</w:t>
      </w:r>
      <w:r>
        <w:rPr>
          <w:rFonts w:hint="eastAsia" w:ascii="黑体" w:hAnsi="黑体" w:eastAsia="黑体"/>
          <w:b w:val="0"/>
          <w:sz w:val="21"/>
          <w:szCs w:val="21"/>
          <w:highlight w:val="none"/>
        </w:rPr>
        <w:t>7</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可验证性</w:t>
      </w:r>
      <w:bookmarkEnd w:id="20"/>
    </w:p>
    <w:p>
      <w:pPr>
        <w:ind w:left="453"/>
        <w:rPr>
          <w:rFonts w:ascii="宋体" w:hAnsi="宋体"/>
          <w:sz w:val="18"/>
          <w:szCs w:val="18"/>
          <w:highlight w:val="none"/>
        </w:rPr>
      </w:pPr>
      <w:r>
        <w:rPr>
          <w:rFonts w:hint="eastAsia"/>
          <w:b/>
          <w:highlight w:val="none"/>
        </w:rPr>
        <w:t>应</w:t>
      </w:r>
      <w:r>
        <w:rPr>
          <w:rFonts w:hint="eastAsia"/>
          <w:highlight w:val="none"/>
        </w:rPr>
        <w:t>有相关证据以支持宣称是可验证和可保证的。</w:t>
      </w:r>
    </w:p>
    <w:p>
      <w:pPr>
        <w:pStyle w:val="2"/>
        <w:spacing w:before="240" w:after="240" w:line="240" w:lineRule="auto"/>
        <w:rPr>
          <w:rFonts w:ascii="黑体" w:hAnsi="黑体" w:eastAsia="黑体"/>
          <w:b w:val="0"/>
          <w:sz w:val="21"/>
          <w:szCs w:val="21"/>
          <w:highlight w:val="none"/>
        </w:rPr>
      </w:pPr>
      <w:bookmarkStart w:id="21" w:name="_Toc166611371"/>
      <w:r>
        <w:rPr>
          <w:rFonts w:hint="eastAsia" w:ascii="黑体" w:hAnsi="黑体" w:eastAsia="黑体"/>
          <w:b w:val="0"/>
          <w:sz w:val="21"/>
          <w:szCs w:val="21"/>
          <w:highlight w:val="none"/>
        </w:rPr>
        <w:t>5. 碳信息披露内容</w:t>
      </w:r>
      <w:bookmarkEnd w:id="21"/>
    </w:p>
    <w:p>
      <w:pPr>
        <w:pStyle w:val="3"/>
        <w:spacing w:before="120" w:beforeLines="50" w:after="120" w:afterLines="50" w:line="240" w:lineRule="auto"/>
        <w:rPr>
          <w:rFonts w:ascii="黑体" w:hAnsi="黑体" w:eastAsia="黑体"/>
          <w:b w:val="0"/>
          <w:sz w:val="21"/>
          <w:szCs w:val="21"/>
          <w:highlight w:val="none"/>
        </w:rPr>
      </w:pPr>
      <w:bookmarkStart w:id="22" w:name="heading_34"/>
      <w:bookmarkStart w:id="23" w:name="_Toc166611373"/>
      <w:r>
        <w:rPr>
          <w:rFonts w:ascii="黑体" w:hAnsi="黑体" w:eastAsia="黑体"/>
          <w:b w:val="0"/>
          <w:sz w:val="21"/>
          <w:szCs w:val="21"/>
          <w:highlight w:val="none"/>
        </w:rPr>
        <w:t>5.</w:t>
      </w:r>
      <w:r>
        <w:rPr>
          <w:rFonts w:hint="eastAsia" w:ascii="黑体" w:hAnsi="黑体" w:eastAsia="黑体"/>
          <w:b w:val="0"/>
          <w:sz w:val="21"/>
          <w:szCs w:val="21"/>
          <w:highlight w:val="none"/>
        </w:rPr>
        <w:t>1</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描述对象</w:t>
      </w:r>
      <w:bookmarkEnd w:id="22"/>
      <w:bookmarkEnd w:id="23"/>
      <w:r>
        <w:rPr>
          <w:rFonts w:hint="eastAsia" w:ascii="黑体" w:hAnsi="黑体" w:eastAsia="黑体"/>
          <w:b w:val="0"/>
          <w:sz w:val="21"/>
          <w:szCs w:val="21"/>
          <w:highlight w:val="none"/>
        </w:rPr>
        <w:t>类型</w:t>
      </w:r>
    </w:p>
    <w:p>
      <w:pPr>
        <w:spacing w:before="156" w:beforeLines="50" w:after="156" w:afterLines="50"/>
        <w:rPr>
          <w:rFonts w:ascii="黑体" w:hAnsi="黑体" w:eastAsia="黑体"/>
          <w:highlight w:val="none"/>
        </w:rPr>
      </w:pPr>
      <w:bookmarkStart w:id="24" w:name="heading_35"/>
      <w:r>
        <w:rPr>
          <w:rFonts w:ascii="黑体" w:hAnsi="黑体" w:eastAsia="黑体"/>
          <w:highlight w:val="none"/>
        </w:rPr>
        <w:t>5.</w:t>
      </w:r>
      <w:r>
        <w:rPr>
          <w:rFonts w:hint="eastAsia" w:ascii="黑体" w:hAnsi="黑体" w:eastAsia="黑体"/>
          <w:highlight w:val="none"/>
        </w:rPr>
        <w:t>1</w:t>
      </w:r>
      <w:r>
        <w:rPr>
          <w:rFonts w:ascii="黑体" w:hAnsi="黑体" w:eastAsia="黑体"/>
          <w:highlight w:val="none"/>
        </w:rPr>
        <w:t xml:space="preserve">.1 </w:t>
      </w:r>
      <w:r>
        <w:rPr>
          <w:rFonts w:hint="eastAsia" w:ascii="黑体" w:hAnsi="黑体" w:eastAsia="黑体"/>
          <w:highlight w:val="none"/>
        </w:rPr>
        <w:t>企业及价值链层面</w:t>
      </w:r>
      <w:bookmarkEnd w:id="24"/>
    </w:p>
    <w:p>
      <w:pPr>
        <w:ind w:firstLine="420"/>
        <w:rPr>
          <w:highlight w:val="none"/>
        </w:rPr>
      </w:pPr>
      <w:r>
        <w:rPr>
          <w:rFonts w:hint="eastAsia"/>
          <w:highlight w:val="none"/>
        </w:rPr>
        <w:t>企业及价值链层面披露涉及披露主体自身运营与围绕企业运营的所有上游和下游活动的碳信息。</w:t>
      </w:r>
    </w:p>
    <w:p>
      <w:pPr>
        <w:ind w:left="453"/>
        <w:rPr>
          <w:rFonts w:ascii="宋体" w:hAnsi="宋体"/>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1</w:t>
      </w:r>
      <w:r>
        <w:rPr>
          <w:rFonts w:hint="eastAsia" w:ascii="黑体" w:hAnsi="黑体" w:eastAsia="黑体"/>
          <w:sz w:val="18"/>
          <w:szCs w:val="18"/>
          <w:highlight w:val="none"/>
        </w:rPr>
        <w:t>：</w:t>
      </w:r>
      <w:r>
        <w:rPr>
          <w:rFonts w:hint="eastAsia" w:ascii="宋体" w:hAnsi="宋体"/>
          <w:sz w:val="18"/>
          <w:szCs w:val="18"/>
          <w:highlight w:val="none"/>
        </w:rPr>
        <w:t>基于温室气体核算体系，价值链温室气体排放包括范围</w:t>
      </w:r>
      <w:r>
        <w:rPr>
          <w:rFonts w:ascii="宋体" w:hAnsi="宋体"/>
          <w:sz w:val="18"/>
          <w:szCs w:val="18"/>
          <w:highlight w:val="none"/>
        </w:rPr>
        <w:t>1</w:t>
      </w:r>
      <w:r>
        <w:rPr>
          <w:rFonts w:hint="eastAsia" w:ascii="宋体" w:hAnsi="宋体"/>
          <w:sz w:val="18"/>
          <w:szCs w:val="18"/>
          <w:highlight w:val="none"/>
        </w:rPr>
        <w:t>排放、范围</w:t>
      </w:r>
      <w:r>
        <w:rPr>
          <w:rFonts w:ascii="宋体" w:hAnsi="宋体"/>
          <w:sz w:val="18"/>
          <w:szCs w:val="18"/>
          <w:highlight w:val="none"/>
        </w:rPr>
        <w:t>2</w:t>
      </w:r>
      <w:r>
        <w:rPr>
          <w:rFonts w:hint="eastAsia" w:ascii="宋体" w:hAnsi="宋体"/>
          <w:sz w:val="18"/>
          <w:szCs w:val="18"/>
          <w:highlight w:val="none"/>
        </w:rPr>
        <w:t>排放和范围</w:t>
      </w:r>
      <w:r>
        <w:rPr>
          <w:rFonts w:ascii="宋体" w:hAnsi="宋体"/>
          <w:sz w:val="18"/>
          <w:szCs w:val="18"/>
          <w:highlight w:val="none"/>
        </w:rPr>
        <w:t>3</w:t>
      </w:r>
      <w:r>
        <w:rPr>
          <w:rFonts w:hint="eastAsia" w:ascii="宋体" w:hAnsi="宋体"/>
          <w:sz w:val="18"/>
          <w:szCs w:val="18"/>
          <w:highlight w:val="none"/>
        </w:rPr>
        <w:t>排放。</w:t>
      </w:r>
    </w:p>
    <w:p>
      <w:pPr>
        <w:ind w:left="453"/>
        <w:rPr>
          <w:rFonts w:ascii="宋体" w:hAnsi="宋体"/>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2</w:t>
      </w:r>
      <w:r>
        <w:rPr>
          <w:rFonts w:hint="eastAsia" w:ascii="黑体" w:hAnsi="黑体" w:eastAsia="黑体"/>
          <w:sz w:val="18"/>
          <w:szCs w:val="18"/>
          <w:highlight w:val="none"/>
        </w:rPr>
        <w:t>：</w:t>
      </w:r>
      <w:r>
        <w:rPr>
          <w:rFonts w:hint="eastAsia" w:ascii="宋体" w:hAnsi="宋体"/>
          <w:sz w:val="18"/>
          <w:szCs w:val="18"/>
          <w:highlight w:val="none"/>
        </w:rPr>
        <w:t>价值链包括其他企业（如供</w:t>
      </w:r>
      <w:r>
        <w:rPr>
          <w:rFonts w:ascii="宋体" w:hAnsi="宋体"/>
          <w:bCs/>
          <w:sz w:val="18"/>
          <w:szCs w:val="18"/>
          <w:highlight w:val="none"/>
        </w:rPr>
        <w:t>应</w:t>
      </w:r>
      <w:r>
        <w:rPr>
          <w:rFonts w:hint="eastAsia" w:ascii="宋体" w:hAnsi="宋体"/>
          <w:sz w:val="18"/>
          <w:szCs w:val="18"/>
          <w:highlight w:val="none"/>
        </w:rPr>
        <w:t>商、零售商、服务提供商）以及产品和服务的最终用户，如客户或公众。</w:t>
      </w:r>
    </w:p>
    <w:p>
      <w:pPr>
        <w:spacing w:before="156" w:beforeLines="50" w:after="156" w:afterLines="50"/>
        <w:rPr>
          <w:rFonts w:ascii="黑体" w:hAnsi="黑体" w:eastAsia="黑体"/>
          <w:highlight w:val="none"/>
        </w:rPr>
      </w:pPr>
      <w:bookmarkStart w:id="25" w:name="heading_36"/>
      <w:r>
        <w:rPr>
          <w:rFonts w:ascii="黑体" w:hAnsi="黑体" w:eastAsia="黑体"/>
          <w:highlight w:val="none"/>
        </w:rPr>
        <w:t>5.</w:t>
      </w:r>
      <w:r>
        <w:rPr>
          <w:rFonts w:hint="eastAsia" w:ascii="黑体" w:hAnsi="黑体" w:eastAsia="黑体"/>
          <w:highlight w:val="none"/>
        </w:rPr>
        <w:t>1</w:t>
      </w:r>
      <w:r>
        <w:rPr>
          <w:rFonts w:ascii="黑体" w:hAnsi="黑体" w:eastAsia="黑体"/>
          <w:highlight w:val="none"/>
        </w:rPr>
        <w:t xml:space="preserve">.2 </w:t>
      </w:r>
      <w:r>
        <w:rPr>
          <w:rFonts w:hint="eastAsia" w:ascii="黑体" w:hAnsi="黑体" w:eastAsia="黑体"/>
          <w:highlight w:val="none"/>
        </w:rPr>
        <w:t>设施或资产层面</w:t>
      </w:r>
      <w:bookmarkEnd w:id="25"/>
    </w:p>
    <w:p>
      <w:pPr>
        <w:ind w:firstLine="420"/>
        <w:rPr>
          <w:highlight w:val="none"/>
        </w:rPr>
      </w:pPr>
      <w:r>
        <w:rPr>
          <w:rFonts w:hint="eastAsia"/>
          <w:highlight w:val="none"/>
        </w:rPr>
        <w:t>设施或资产层面涉及披露主体拥有或运营的单个设施或资产的碳信息。</w:t>
      </w:r>
    </w:p>
    <w:p>
      <w:pPr>
        <w:ind w:left="453"/>
        <w:rPr>
          <w:rFonts w:ascii="宋体" w:hAnsi="宋体"/>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1</w:t>
      </w:r>
      <w:r>
        <w:rPr>
          <w:rFonts w:hint="eastAsia" w:ascii="黑体" w:hAnsi="黑体" w:eastAsia="黑体"/>
          <w:sz w:val="18"/>
          <w:szCs w:val="18"/>
          <w:highlight w:val="none"/>
        </w:rPr>
        <w:t>：</w:t>
      </w:r>
      <w:r>
        <w:rPr>
          <w:rFonts w:hint="eastAsia" w:ascii="宋体" w:hAnsi="宋体"/>
          <w:sz w:val="18"/>
          <w:szCs w:val="18"/>
          <w:highlight w:val="none"/>
        </w:rPr>
        <w:t>基于</w:t>
      </w:r>
      <w:r>
        <w:rPr>
          <w:sz w:val="18"/>
          <w:szCs w:val="18"/>
          <w:highlight w:val="none"/>
        </w:rPr>
        <w:t xml:space="preserve">ISO </w:t>
      </w:r>
      <w:r>
        <w:rPr>
          <w:rFonts w:ascii="Times New Roman" w:hAnsi="Times New Roman"/>
          <w:sz w:val="18"/>
          <w:szCs w:val="18"/>
          <w:highlight w:val="none"/>
        </w:rPr>
        <w:t>14068-1</w:t>
      </w:r>
      <w:r>
        <w:rPr>
          <w:rFonts w:hint="eastAsia"/>
          <w:sz w:val="18"/>
          <w:szCs w:val="18"/>
          <w:highlight w:val="none"/>
        </w:rPr>
        <w:t>:</w:t>
      </w:r>
      <w:r>
        <w:rPr>
          <w:rFonts w:ascii="Times New Roman" w:hAnsi="Times New Roman"/>
          <w:sz w:val="18"/>
          <w:szCs w:val="18"/>
          <w:highlight w:val="none"/>
        </w:rPr>
        <w:t>2018</w:t>
      </w:r>
      <w:r>
        <w:rPr>
          <w:rFonts w:hint="eastAsia" w:ascii="宋体" w:hAnsi="宋体"/>
          <w:sz w:val="18"/>
          <w:szCs w:val="18"/>
          <w:highlight w:val="none"/>
        </w:rPr>
        <w:t>，设施为单一装置，一套装置或生产过程</w:t>
      </w:r>
      <w:r>
        <w:rPr>
          <w:rFonts w:ascii="宋体" w:hAnsi="宋体"/>
          <w:sz w:val="18"/>
          <w:szCs w:val="18"/>
          <w:highlight w:val="none"/>
        </w:rPr>
        <w:t>(</w:t>
      </w:r>
      <w:r>
        <w:rPr>
          <w:rFonts w:hint="eastAsia" w:ascii="宋体" w:hAnsi="宋体"/>
          <w:sz w:val="18"/>
          <w:szCs w:val="18"/>
          <w:highlight w:val="none"/>
        </w:rPr>
        <w:t>固定或移动</w:t>
      </w:r>
      <w:r>
        <w:rPr>
          <w:rFonts w:ascii="宋体" w:hAnsi="宋体"/>
          <w:sz w:val="18"/>
          <w:szCs w:val="18"/>
          <w:highlight w:val="none"/>
        </w:rPr>
        <w:t>)</w:t>
      </w:r>
      <w:r>
        <w:rPr>
          <w:rFonts w:hint="eastAsia" w:ascii="宋体" w:hAnsi="宋体"/>
          <w:sz w:val="18"/>
          <w:szCs w:val="18"/>
          <w:highlight w:val="none"/>
        </w:rPr>
        <w:t>，可以在单一地理边界，企业单位或生产过程中定义。</w:t>
      </w:r>
    </w:p>
    <w:p>
      <w:pPr>
        <w:ind w:left="453"/>
        <w:rPr>
          <w:rFonts w:ascii="宋体" w:hAnsi="宋体"/>
          <w:sz w:val="18"/>
          <w:szCs w:val="18"/>
          <w:highlight w:val="none"/>
        </w:rPr>
      </w:pPr>
      <w:r>
        <w:rPr>
          <w:rFonts w:hint="eastAsia" w:ascii="黑体" w:hAnsi="黑体" w:eastAsia="黑体"/>
          <w:sz w:val="18"/>
          <w:szCs w:val="18"/>
          <w:highlight w:val="none"/>
        </w:rPr>
        <w:t>注</w:t>
      </w:r>
      <w:r>
        <w:rPr>
          <w:rFonts w:ascii="黑体" w:hAnsi="黑体" w:eastAsia="黑体"/>
          <w:sz w:val="18"/>
          <w:szCs w:val="18"/>
          <w:highlight w:val="none"/>
        </w:rPr>
        <w:t>2</w:t>
      </w:r>
      <w:r>
        <w:rPr>
          <w:rFonts w:hint="eastAsia" w:ascii="黑体" w:hAnsi="黑体" w:eastAsia="黑体"/>
          <w:sz w:val="18"/>
          <w:szCs w:val="18"/>
          <w:highlight w:val="none"/>
        </w:rPr>
        <w:t>：</w:t>
      </w:r>
      <w:r>
        <w:rPr>
          <w:rFonts w:hint="eastAsia" w:ascii="宋体" w:hAnsi="宋体"/>
          <w:sz w:val="18"/>
          <w:szCs w:val="18"/>
          <w:highlight w:val="none"/>
        </w:rPr>
        <w:t>基于</w:t>
      </w:r>
      <w:r>
        <w:rPr>
          <w:sz w:val="18"/>
          <w:szCs w:val="18"/>
          <w:highlight w:val="none"/>
        </w:rPr>
        <w:t xml:space="preserve">ISO </w:t>
      </w:r>
      <w:r>
        <w:rPr>
          <w:rFonts w:hint="eastAsia" w:ascii="宋体" w:hAnsi="宋体"/>
          <w:sz w:val="18"/>
          <w:szCs w:val="18"/>
          <w:highlight w:val="none"/>
        </w:rPr>
        <w:t>净零指南，资产层面碳排放为物理意义单元的生命周期排放（如建筑物）。</w:t>
      </w:r>
    </w:p>
    <w:p>
      <w:pPr>
        <w:spacing w:before="0" w:beforeLines="-2147483648" w:after="0" w:afterLines="-2147483648"/>
        <w:ind w:left="453"/>
        <w:rPr>
          <w:rFonts w:ascii="黑体" w:hAnsi="黑体" w:eastAsia="黑体"/>
          <w:highlight w:val="none"/>
        </w:rPr>
      </w:pPr>
      <w:r>
        <w:rPr>
          <w:rFonts w:hint="eastAsia" w:ascii="黑体" w:hAnsi="黑体" w:eastAsia="黑体"/>
          <w:sz w:val="18"/>
          <w:szCs w:val="18"/>
          <w:highlight w:val="none"/>
        </w:rPr>
        <w:t>注</w:t>
      </w:r>
      <w:r>
        <w:rPr>
          <w:rFonts w:ascii="黑体" w:hAnsi="黑体" w:eastAsia="黑体"/>
          <w:sz w:val="18"/>
          <w:szCs w:val="18"/>
          <w:highlight w:val="none"/>
        </w:rPr>
        <w:t>3</w:t>
      </w:r>
      <w:r>
        <w:rPr>
          <w:rFonts w:hint="eastAsia" w:ascii="黑体" w:hAnsi="黑体" w:eastAsia="黑体"/>
          <w:sz w:val="18"/>
          <w:szCs w:val="18"/>
          <w:highlight w:val="none"/>
        </w:rPr>
        <w:t>：</w:t>
      </w:r>
      <w:r>
        <w:rPr>
          <w:rFonts w:hint="eastAsia" w:ascii="宋体" w:hAnsi="宋体"/>
          <w:sz w:val="18"/>
          <w:szCs w:val="18"/>
          <w:highlight w:val="none"/>
        </w:rPr>
        <w:t>设施碳排放包含但不限于运营中能源消耗的直接排放，能源消耗的间接碳排放，逸散排放等。</w:t>
      </w:r>
      <w:bookmarkStart w:id="26" w:name="heading_37"/>
    </w:p>
    <w:p>
      <w:pPr>
        <w:spacing w:before="156" w:beforeLines="50" w:after="156" w:afterLines="50"/>
        <w:rPr>
          <w:rFonts w:ascii="黑体" w:hAnsi="黑体" w:eastAsia="黑体"/>
          <w:highlight w:val="none"/>
        </w:rPr>
      </w:pPr>
      <w:r>
        <w:rPr>
          <w:rFonts w:ascii="黑体" w:hAnsi="黑体" w:eastAsia="黑体"/>
          <w:highlight w:val="none"/>
        </w:rPr>
        <w:t>5.</w:t>
      </w:r>
      <w:r>
        <w:rPr>
          <w:rFonts w:hint="eastAsia" w:ascii="黑体" w:hAnsi="黑体" w:eastAsia="黑体"/>
          <w:highlight w:val="none"/>
        </w:rPr>
        <w:t>1</w:t>
      </w:r>
      <w:r>
        <w:rPr>
          <w:rFonts w:ascii="黑体" w:hAnsi="黑体" w:eastAsia="黑体"/>
          <w:highlight w:val="none"/>
        </w:rPr>
        <w:t xml:space="preserve">.3 </w:t>
      </w:r>
      <w:r>
        <w:rPr>
          <w:rFonts w:hint="eastAsia" w:ascii="黑体" w:hAnsi="黑体" w:eastAsia="黑体"/>
          <w:highlight w:val="none"/>
        </w:rPr>
        <w:t>产品或活动或事件层面</w:t>
      </w:r>
      <w:bookmarkEnd w:id="26"/>
    </w:p>
    <w:p>
      <w:pPr>
        <w:ind w:firstLine="420"/>
        <w:rPr>
          <w:highlight w:val="none"/>
        </w:rPr>
      </w:pPr>
      <w:r>
        <w:rPr>
          <w:rFonts w:hint="eastAsia"/>
          <w:highlight w:val="none"/>
        </w:rPr>
        <w:t>产品或活动层面涉及披露主体的直接或最终产品，或披露主体策划的活动</w:t>
      </w:r>
      <w:r>
        <w:rPr>
          <w:highlight w:val="none"/>
        </w:rPr>
        <w:t>/</w:t>
      </w:r>
      <w:r>
        <w:rPr>
          <w:rFonts w:hint="eastAsia"/>
          <w:highlight w:val="none"/>
        </w:rPr>
        <w:t>事件的碳信息。</w:t>
      </w:r>
    </w:p>
    <w:p>
      <w:pPr>
        <w:widowControl/>
        <w:ind w:left="420" w:leftChars="200"/>
        <w:jc w:val="left"/>
        <w:rPr>
          <w:rFonts w:ascii="宋体" w:hAnsi="宋体" w:eastAsia="宋体"/>
          <w:sz w:val="18"/>
          <w:szCs w:val="18"/>
          <w:highlight w:val="none"/>
        </w:rPr>
      </w:pPr>
      <w:r>
        <w:rPr>
          <w:rFonts w:hint="eastAsia" w:ascii="黑体" w:hAnsi="黑体" w:eastAsia="黑体"/>
          <w:sz w:val="18"/>
          <w:szCs w:val="18"/>
          <w:highlight w:val="none"/>
        </w:rPr>
        <w:t>注1：</w:t>
      </w:r>
      <w:r>
        <w:rPr>
          <w:rFonts w:hint="eastAsia" w:ascii="宋体" w:hAnsi="宋体" w:eastAsia="宋体"/>
          <w:sz w:val="18"/>
          <w:szCs w:val="18"/>
          <w:highlight w:val="none"/>
        </w:rPr>
        <w:t>基于</w:t>
      </w:r>
      <w:r>
        <w:rPr>
          <w:rFonts w:ascii="Times New Roman" w:hAnsi="Times New Roman" w:eastAsia="宋体"/>
          <w:sz w:val="18"/>
          <w:szCs w:val="18"/>
          <w:highlight w:val="none"/>
        </w:rPr>
        <w:t>ISO 14067:2018</w:t>
      </w:r>
      <w:r>
        <w:rPr>
          <w:rFonts w:hint="eastAsia" w:ascii="宋体" w:hAnsi="宋体"/>
          <w:sz w:val="18"/>
          <w:szCs w:val="18"/>
          <w:highlight w:val="none"/>
        </w:rPr>
        <w:t>，</w:t>
      </w:r>
      <w:r>
        <w:rPr>
          <w:rFonts w:hint="eastAsia" w:ascii="宋体" w:hAnsi="宋体" w:eastAsia="宋体"/>
          <w:sz w:val="18"/>
          <w:szCs w:val="18"/>
          <w:highlight w:val="none"/>
        </w:rPr>
        <w:t>产品包含商品和服务。</w:t>
      </w:r>
    </w:p>
    <w:p>
      <w:pPr>
        <w:widowControl/>
        <w:ind w:left="420" w:leftChars="200" w:firstLine="0"/>
        <w:jc w:val="left"/>
        <w:rPr>
          <w:rFonts w:ascii="黑体" w:hAnsi="黑体" w:eastAsia="黑体"/>
          <w:sz w:val="18"/>
          <w:szCs w:val="18"/>
          <w:highlight w:val="none"/>
        </w:rPr>
      </w:pPr>
      <w:r>
        <w:rPr>
          <w:rFonts w:hint="eastAsia" w:ascii="黑体" w:hAnsi="黑体" w:eastAsia="黑体"/>
          <w:sz w:val="18"/>
          <w:szCs w:val="18"/>
          <w:highlight w:val="none"/>
        </w:rPr>
        <w:t>注2：</w:t>
      </w:r>
      <w:r>
        <w:rPr>
          <w:rFonts w:ascii="宋体" w:hAnsi="宋体" w:cs="Times New Roman"/>
          <w:kern w:val="2"/>
          <w:sz w:val="18"/>
          <w:szCs w:val="18"/>
          <w:highlight w:val="none"/>
        </w:rPr>
        <w:t>基于《大型活动碳中和指南》，大型活动是指在特定时间和场所内开展的较大规模聚集行动，包括演出、赛事、会议、论坛、展览等。</w:t>
      </w:r>
    </w:p>
    <w:p>
      <w:pPr>
        <w:pStyle w:val="3"/>
        <w:spacing w:before="120" w:after="120"/>
        <w:rPr>
          <w:rFonts w:ascii="黑体" w:hAnsi="黑体" w:eastAsia="黑体"/>
          <w:b w:val="0"/>
          <w:sz w:val="21"/>
          <w:szCs w:val="21"/>
          <w:highlight w:val="none"/>
        </w:rPr>
      </w:pPr>
      <w:bookmarkStart w:id="27" w:name="_Toc166611374"/>
      <w:r>
        <w:rPr>
          <w:rFonts w:ascii="黑体" w:hAnsi="黑体" w:eastAsia="黑体"/>
          <w:b w:val="0"/>
          <w:sz w:val="21"/>
          <w:szCs w:val="21"/>
          <w:highlight w:val="none"/>
        </w:rPr>
        <w:t>5.</w:t>
      </w:r>
      <w:r>
        <w:rPr>
          <w:rFonts w:hint="eastAsia" w:ascii="黑体" w:hAnsi="黑体" w:eastAsia="黑体"/>
          <w:b w:val="0"/>
          <w:sz w:val="21"/>
          <w:szCs w:val="21"/>
          <w:highlight w:val="none"/>
          <w:lang w:val="en-US" w:eastAsia="zh-CN"/>
        </w:rPr>
        <w:t>2</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信息内容类型</w:t>
      </w:r>
      <w:bookmarkEnd w:id="27"/>
    </w:p>
    <w:p>
      <w:pPr>
        <w:spacing w:before="156" w:beforeLines="50" w:after="156" w:afterLines="50"/>
        <w:rPr>
          <w:rFonts w:ascii="黑体" w:hAnsi="黑体" w:eastAsia="黑体"/>
          <w:highlight w:val="none"/>
        </w:rPr>
      </w:pPr>
      <w:r>
        <w:rPr>
          <w:rFonts w:hint="eastAsia" w:ascii="黑体" w:hAnsi="黑体" w:eastAsia="黑体"/>
          <w:highlight w:val="none"/>
        </w:rPr>
        <w:t>5.</w:t>
      </w:r>
      <w:r>
        <w:rPr>
          <w:rFonts w:hint="eastAsia" w:ascii="黑体" w:hAnsi="黑体" w:eastAsia="黑体"/>
          <w:highlight w:val="none"/>
          <w:lang w:val="en-US" w:eastAsia="zh-CN"/>
        </w:rPr>
        <w:t>2</w:t>
      </w:r>
      <w:r>
        <w:rPr>
          <w:rFonts w:hint="eastAsia" w:ascii="黑体" w:hAnsi="黑体" w:eastAsia="黑体"/>
          <w:highlight w:val="none"/>
        </w:rPr>
        <w:t>.1 碳信息内涵</w:t>
      </w:r>
    </w:p>
    <w:p>
      <w:pPr>
        <w:spacing w:before="156" w:beforeLines="50" w:after="156" w:afterLines="50"/>
        <w:rPr>
          <w:rFonts w:ascii="黑体" w:hAnsi="黑体" w:eastAsia="黑体"/>
          <w:highlight w:val="none"/>
        </w:rPr>
      </w:pPr>
      <w:bookmarkStart w:id="28" w:name="heading_41"/>
      <w:r>
        <w:rPr>
          <w:rFonts w:ascii="黑体" w:hAnsi="黑体" w:eastAsia="黑体"/>
          <w:highlight w:val="none"/>
        </w:rPr>
        <w:t>5.</w:t>
      </w:r>
      <w:r>
        <w:rPr>
          <w:rFonts w:hint="eastAsia" w:ascii="黑体" w:hAnsi="黑体" w:eastAsia="黑体"/>
          <w:highlight w:val="none"/>
          <w:lang w:val="en-US" w:eastAsia="zh-CN"/>
        </w:rPr>
        <w:t>2</w:t>
      </w:r>
      <w:r>
        <w:rPr>
          <w:rFonts w:ascii="黑体" w:hAnsi="黑体" w:eastAsia="黑体"/>
          <w:highlight w:val="none"/>
        </w:rPr>
        <w:t>.</w:t>
      </w:r>
      <w:r>
        <w:rPr>
          <w:rFonts w:hint="eastAsia" w:ascii="黑体" w:hAnsi="黑体" w:eastAsia="黑体"/>
          <w:highlight w:val="none"/>
        </w:rPr>
        <w:t>1.1</w:t>
      </w:r>
      <w:r>
        <w:rPr>
          <w:rFonts w:ascii="黑体" w:hAnsi="黑体" w:eastAsia="黑体"/>
          <w:highlight w:val="none"/>
        </w:rPr>
        <w:t xml:space="preserve"> </w:t>
      </w:r>
      <w:r>
        <w:rPr>
          <w:rFonts w:hint="eastAsia" w:ascii="黑体" w:hAnsi="黑体" w:eastAsia="黑体"/>
          <w:highlight w:val="none"/>
        </w:rPr>
        <w:t>目标类</w:t>
      </w:r>
    </w:p>
    <w:p>
      <w:pPr>
        <w:ind w:firstLine="420"/>
        <w:rPr>
          <w:highlight w:val="none"/>
        </w:rPr>
      </w:pPr>
      <w:r>
        <w:rPr>
          <w:rFonts w:hint="eastAsia"/>
          <w:highlight w:val="none"/>
        </w:rPr>
        <w:t>描述披露主体和对象为减缓气候变化的行动目标。</w:t>
      </w:r>
    </w:p>
    <w:p>
      <w:pPr>
        <w:ind w:firstLine="420"/>
        <w:rPr>
          <w:highlight w:val="none"/>
        </w:rPr>
      </w:pPr>
      <w:r>
        <w:rPr>
          <w:rFonts w:hint="eastAsia"/>
          <w:highlight w:val="none"/>
        </w:rPr>
        <w:t>利用有专门含义的概念描述目标时，</w:t>
      </w:r>
      <w:r>
        <w:rPr>
          <w:rFonts w:hint="eastAsia"/>
          <w:b/>
          <w:bCs/>
          <w:highlight w:val="none"/>
        </w:rPr>
        <w:t>应</w:t>
      </w:r>
      <w:r>
        <w:rPr>
          <w:rFonts w:hint="eastAsia"/>
          <w:highlight w:val="none"/>
        </w:rPr>
        <w:t>符合相关技术规范或政策法规中的定义。</w:t>
      </w:r>
    </w:p>
    <w:p>
      <w:pPr>
        <w:ind w:left="453"/>
        <w:rPr>
          <w:rFonts w:ascii="宋体" w:hAnsi="宋体"/>
          <w:sz w:val="18"/>
          <w:szCs w:val="18"/>
          <w:highlight w:val="none"/>
        </w:rPr>
      </w:pPr>
      <w:r>
        <w:rPr>
          <w:rStyle w:val="181"/>
          <w:rFonts w:hint="eastAsia"/>
          <w:highlight w:val="none"/>
        </w:rPr>
        <w:t>注</w:t>
      </w:r>
      <w:r>
        <w:rPr>
          <w:rFonts w:hint="eastAsia" w:ascii="黑体" w:hAnsi="黑体" w:eastAsia="黑体"/>
          <w:sz w:val="18"/>
          <w:szCs w:val="18"/>
          <w:highlight w:val="none"/>
        </w:rPr>
        <w:t>：</w:t>
      </w:r>
      <w:r>
        <w:rPr>
          <w:rFonts w:hint="eastAsia" w:ascii="宋体" w:hAnsi="宋体"/>
          <w:sz w:val="18"/>
          <w:szCs w:val="18"/>
          <w:highlight w:val="none"/>
        </w:rPr>
        <w:t>目标通常具有明确的时间和范围信息，以定量和/或定性方式表达。</w:t>
      </w:r>
    </w:p>
    <w:p>
      <w:pPr>
        <w:ind w:left="453"/>
        <w:rPr>
          <w:rFonts w:ascii="Times New Roman" w:hAnsi="Times New Roman" w:eastAsia="宋体"/>
          <w:highlight w:val="none"/>
        </w:rPr>
      </w:pPr>
      <w:r>
        <w:rPr>
          <w:rStyle w:val="181"/>
          <w:rFonts w:hint="eastAsia"/>
          <w:highlight w:val="none"/>
        </w:rPr>
        <w:t>示例</w:t>
      </w:r>
      <w:r>
        <w:rPr>
          <w:rFonts w:hint="eastAsia" w:ascii="黑体" w:hAnsi="黑体" w:eastAsia="黑体"/>
          <w:sz w:val="18"/>
          <w:szCs w:val="18"/>
          <w:highlight w:val="none"/>
        </w:rPr>
        <w:t>：</w:t>
      </w:r>
      <w:r>
        <w:rPr>
          <w:rFonts w:hint="eastAsia" w:ascii="宋体" w:hAnsi="宋体"/>
          <w:sz w:val="18"/>
          <w:szCs w:val="18"/>
          <w:highlight w:val="none"/>
        </w:rPr>
        <w:t>企业承诺将在2050年达到净零排放状态，即遵循</w:t>
      </w:r>
      <w:r>
        <w:rPr>
          <w:sz w:val="18"/>
          <w:szCs w:val="18"/>
          <w:highlight w:val="none"/>
        </w:rPr>
        <w:t xml:space="preserve">ISO IWA </w:t>
      </w:r>
      <w:r>
        <w:rPr>
          <w:rFonts w:ascii="宋体" w:hAnsi="宋体"/>
          <w:sz w:val="18"/>
          <w:szCs w:val="18"/>
          <w:highlight w:val="none"/>
        </w:rPr>
        <w:t>42:2022</w:t>
      </w:r>
      <w:r>
        <w:rPr>
          <w:rFonts w:hint="eastAsia" w:ascii="宋体" w:hAnsi="宋体"/>
          <w:sz w:val="18"/>
          <w:szCs w:val="18"/>
          <w:highlight w:val="none"/>
        </w:rPr>
        <w:t>有关净零排放的定义。</w:t>
      </w:r>
    </w:p>
    <w:p>
      <w:pPr>
        <w:spacing w:before="156" w:beforeLines="50" w:after="156" w:afterLines="50"/>
        <w:rPr>
          <w:rFonts w:ascii="黑体" w:hAnsi="黑体" w:eastAsia="黑体"/>
          <w:highlight w:val="none"/>
        </w:rPr>
      </w:pPr>
      <w:r>
        <w:rPr>
          <w:rFonts w:ascii="黑体" w:hAnsi="黑体" w:eastAsia="黑体"/>
          <w:highlight w:val="none"/>
        </w:rPr>
        <w:t>5.</w:t>
      </w:r>
      <w:r>
        <w:rPr>
          <w:rFonts w:hint="eastAsia" w:ascii="黑体" w:hAnsi="黑体" w:eastAsia="黑体"/>
          <w:highlight w:val="none"/>
          <w:lang w:val="en-US" w:eastAsia="zh-CN"/>
        </w:rPr>
        <w:t>2</w:t>
      </w:r>
      <w:r>
        <w:rPr>
          <w:rFonts w:ascii="黑体" w:hAnsi="黑体" w:eastAsia="黑体"/>
          <w:highlight w:val="none"/>
        </w:rPr>
        <w:t>.</w:t>
      </w:r>
      <w:r>
        <w:rPr>
          <w:rFonts w:hint="eastAsia" w:ascii="黑体" w:hAnsi="黑体" w:eastAsia="黑体"/>
          <w:highlight w:val="none"/>
        </w:rPr>
        <w:t>1.2 举措类</w:t>
      </w:r>
    </w:p>
    <w:p>
      <w:pPr>
        <w:ind w:firstLine="420"/>
        <w:rPr>
          <w:highlight w:val="none"/>
        </w:rPr>
      </w:pPr>
      <w:r>
        <w:rPr>
          <w:rFonts w:hint="eastAsia"/>
          <w:highlight w:val="none"/>
        </w:rPr>
        <w:t>描述披露主体和对象为减缓气候变化的行动举措，通常服务于特定行动目标。</w:t>
      </w:r>
    </w:p>
    <w:p>
      <w:pPr>
        <w:ind w:firstLine="420"/>
        <w:rPr>
          <w:highlight w:val="none"/>
        </w:rPr>
      </w:pPr>
      <w:r>
        <w:rPr>
          <w:rFonts w:hint="eastAsia"/>
          <w:highlight w:val="none"/>
        </w:rPr>
        <w:t>利用专业术语描述具体行动方式时，</w:t>
      </w:r>
      <w:r>
        <w:rPr>
          <w:rFonts w:hint="eastAsia"/>
          <w:b/>
          <w:bCs/>
          <w:highlight w:val="none"/>
        </w:rPr>
        <w:t>应</w:t>
      </w:r>
      <w:r>
        <w:rPr>
          <w:rFonts w:hint="eastAsia"/>
          <w:highlight w:val="none"/>
        </w:rPr>
        <w:t>符合相关技术规范或政策法规中的定义，且举措被认定为减缓气候变化的行动之一。</w:t>
      </w:r>
    </w:p>
    <w:p>
      <w:pPr>
        <w:ind w:left="453"/>
        <w:rPr>
          <w:rFonts w:ascii="宋体" w:hAnsi="宋体"/>
          <w:sz w:val="18"/>
          <w:szCs w:val="18"/>
          <w:highlight w:val="none"/>
        </w:rPr>
      </w:pPr>
      <w:r>
        <w:rPr>
          <w:rStyle w:val="181"/>
          <w:rFonts w:hint="eastAsia"/>
          <w:highlight w:val="none"/>
        </w:rPr>
        <w:t>示例</w:t>
      </w:r>
      <w:r>
        <w:rPr>
          <w:rFonts w:hint="eastAsia" w:ascii="黑体" w:hAnsi="黑体" w:eastAsia="黑体"/>
          <w:sz w:val="18"/>
          <w:szCs w:val="18"/>
          <w:highlight w:val="none"/>
        </w:rPr>
        <w:t>：</w:t>
      </w:r>
      <w:r>
        <w:rPr>
          <w:rFonts w:hint="eastAsia" w:ascii="宋体" w:hAnsi="宋体"/>
          <w:sz w:val="18"/>
          <w:szCs w:val="18"/>
          <w:highlight w:val="none"/>
        </w:rPr>
        <w:t>企业通过安装分布式光伏发电设施为企业供电、并通过市场化手段提升可再生电力消费量占比，以降低企业外购电力产生的间接排放。</w:t>
      </w:r>
    </w:p>
    <w:p>
      <w:pPr>
        <w:ind w:left="453"/>
        <w:rPr>
          <w:highlight w:val="none"/>
        </w:rPr>
      </w:pPr>
      <w:r>
        <w:rPr>
          <w:rStyle w:val="181"/>
          <w:rFonts w:hint="eastAsia"/>
          <w:highlight w:val="none"/>
        </w:rPr>
        <w:t>注</w:t>
      </w:r>
      <w:r>
        <w:rPr>
          <w:rFonts w:hint="eastAsia" w:ascii="黑体" w:hAnsi="黑体" w:eastAsia="黑体"/>
          <w:sz w:val="18"/>
          <w:szCs w:val="18"/>
          <w:highlight w:val="none"/>
        </w:rPr>
        <w:t>：</w:t>
      </w:r>
      <w:r>
        <w:rPr>
          <w:rFonts w:hint="eastAsia" w:ascii="宋体" w:hAnsi="宋体"/>
          <w:sz w:val="18"/>
          <w:szCs w:val="18"/>
          <w:highlight w:val="none"/>
        </w:rPr>
        <w:t>举措包括改变资源/能源获取和利用方式、优化生产经营活动的效率、增加温室气体消除等特定行动方式，以及行动所投入的资源。</w:t>
      </w:r>
    </w:p>
    <w:p>
      <w:pPr>
        <w:spacing w:before="156" w:beforeLines="50" w:after="156" w:afterLines="50"/>
        <w:rPr>
          <w:rFonts w:ascii="黑体" w:hAnsi="黑体" w:eastAsia="黑体"/>
          <w:highlight w:val="none"/>
        </w:rPr>
      </w:pPr>
      <w:r>
        <w:rPr>
          <w:rFonts w:ascii="黑体" w:hAnsi="黑体" w:eastAsia="黑体"/>
          <w:highlight w:val="none"/>
        </w:rPr>
        <w:t>5.</w:t>
      </w:r>
      <w:r>
        <w:rPr>
          <w:rFonts w:hint="eastAsia" w:ascii="黑体" w:hAnsi="黑体" w:eastAsia="黑体"/>
          <w:highlight w:val="none"/>
          <w:lang w:val="en-US" w:eastAsia="zh-CN"/>
        </w:rPr>
        <w:t>2</w:t>
      </w:r>
      <w:r>
        <w:rPr>
          <w:rFonts w:ascii="黑体" w:hAnsi="黑体" w:eastAsia="黑体"/>
          <w:highlight w:val="none"/>
        </w:rPr>
        <w:t>.</w:t>
      </w:r>
      <w:r>
        <w:rPr>
          <w:rFonts w:hint="eastAsia" w:ascii="黑体" w:hAnsi="黑体" w:eastAsia="黑体"/>
          <w:highlight w:val="none"/>
        </w:rPr>
        <w:t>1.3 绩效类</w:t>
      </w:r>
    </w:p>
    <w:p>
      <w:pPr>
        <w:ind w:firstLine="420"/>
        <w:rPr>
          <w:highlight w:val="none"/>
        </w:rPr>
      </w:pPr>
      <w:r>
        <w:rPr>
          <w:rFonts w:hint="eastAsia"/>
          <w:highlight w:val="none"/>
        </w:rPr>
        <w:t>描述披露主体和对象为减缓气候变化的行动成效，通常用于说明特定举措产生的量化影响。</w:t>
      </w:r>
    </w:p>
    <w:p>
      <w:pPr>
        <w:ind w:firstLine="420"/>
        <w:rPr>
          <w:highlight w:val="none"/>
        </w:rPr>
      </w:pPr>
      <w:r>
        <w:rPr>
          <w:rFonts w:hint="eastAsia"/>
          <w:highlight w:val="none"/>
        </w:rPr>
        <w:t>利用专业术语描述绩效时，</w:t>
      </w:r>
      <w:r>
        <w:rPr>
          <w:rFonts w:hint="eastAsia"/>
          <w:b/>
          <w:bCs/>
          <w:highlight w:val="none"/>
        </w:rPr>
        <w:t>应</w:t>
      </w:r>
      <w:r>
        <w:rPr>
          <w:rFonts w:hint="eastAsia"/>
          <w:highlight w:val="none"/>
        </w:rPr>
        <w:t>符合相关技术规范或政策法规中的定义。</w:t>
      </w:r>
    </w:p>
    <w:p>
      <w:pPr>
        <w:ind w:firstLine="420"/>
        <w:rPr>
          <w:highlight w:val="none"/>
        </w:rPr>
      </w:pPr>
      <w:r>
        <w:rPr>
          <w:rFonts w:hint="eastAsia"/>
          <w:highlight w:val="none"/>
        </w:rPr>
        <w:t>此类信息</w:t>
      </w:r>
      <w:r>
        <w:rPr>
          <w:rFonts w:hint="eastAsia"/>
          <w:b/>
          <w:bCs/>
          <w:highlight w:val="none"/>
        </w:rPr>
        <w:t>不应</w:t>
      </w:r>
      <w:r>
        <w:rPr>
          <w:rFonts w:hint="eastAsia"/>
          <w:highlight w:val="none"/>
        </w:rPr>
        <w:t>通过与其他特定对象对比结论表达。</w:t>
      </w:r>
    </w:p>
    <w:p>
      <w:pPr>
        <w:ind w:left="420" w:leftChars="200"/>
        <w:rPr>
          <w:rFonts w:ascii="宋体" w:hAnsi="宋体"/>
          <w:sz w:val="18"/>
          <w:szCs w:val="18"/>
          <w:highlight w:val="none"/>
        </w:rPr>
      </w:pPr>
      <w:r>
        <w:rPr>
          <w:rStyle w:val="181"/>
          <w:rFonts w:hint="eastAsia"/>
          <w:highlight w:val="none"/>
        </w:rPr>
        <w:t>注</w:t>
      </w:r>
      <w:r>
        <w:rPr>
          <w:rFonts w:hint="eastAsia" w:ascii="黑体" w:hAnsi="黑体" w:eastAsia="黑体"/>
          <w:sz w:val="18"/>
          <w:szCs w:val="18"/>
          <w:highlight w:val="none"/>
        </w:rPr>
        <w:t>：</w:t>
      </w:r>
      <w:r>
        <w:rPr>
          <w:rFonts w:hint="eastAsia" w:ascii="宋体" w:hAnsi="宋体"/>
          <w:sz w:val="18"/>
          <w:szCs w:val="18"/>
          <w:highlight w:val="none"/>
        </w:rPr>
        <w:t>绩效，通常用与自身基准年（3.2.9）排放或基准线排放水平（3.2.10）对比后，一段时间内减少排放（3.2.4）、避免排放、清除排放（3.2.5）和抵消排放（3.2.6）的量化表达。</w:t>
      </w:r>
      <w:bookmarkEnd w:id="28"/>
    </w:p>
    <w:p>
      <w:pPr>
        <w:ind w:left="420" w:leftChars="200"/>
        <w:rPr>
          <w:rFonts w:ascii="宋体" w:hAnsi="宋体"/>
          <w:sz w:val="18"/>
          <w:szCs w:val="18"/>
          <w:highlight w:val="none"/>
        </w:rPr>
      </w:pPr>
      <w:r>
        <w:rPr>
          <w:rFonts w:hint="eastAsia" w:ascii="黑体" w:hAnsi="黑体" w:eastAsia="黑体"/>
          <w:sz w:val="18"/>
          <w:szCs w:val="18"/>
          <w:highlight w:val="none"/>
        </w:rPr>
        <w:t>示例1：</w:t>
      </w:r>
      <w:r>
        <w:rPr>
          <w:rFonts w:hint="eastAsia" w:ascii="宋体" w:hAnsi="宋体"/>
          <w:sz w:val="18"/>
          <w:szCs w:val="18"/>
          <w:highlight w:val="none"/>
        </w:rPr>
        <w:t>减少排放，相比基准年，边界以内排放数量的下降。</w:t>
      </w:r>
    </w:p>
    <w:p>
      <w:pPr>
        <w:ind w:left="420" w:leftChars="200"/>
        <w:rPr>
          <w:rFonts w:ascii="宋体" w:hAnsi="宋体"/>
          <w:sz w:val="18"/>
          <w:szCs w:val="18"/>
          <w:highlight w:val="none"/>
        </w:rPr>
      </w:pPr>
      <w:r>
        <w:rPr>
          <w:rFonts w:hint="eastAsia" w:ascii="黑体" w:hAnsi="黑体" w:eastAsia="黑体"/>
          <w:sz w:val="18"/>
          <w:szCs w:val="18"/>
          <w:highlight w:val="none"/>
        </w:rPr>
        <w:t>示例2：</w:t>
      </w:r>
      <w:r>
        <w:rPr>
          <w:rFonts w:hint="eastAsia" w:ascii="宋体" w:hAnsi="宋体"/>
          <w:sz w:val="18"/>
          <w:szCs w:val="18"/>
          <w:highlight w:val="none"/>
        </w:rPr>
        <w:t>避免排放，相比基准线，边界以外因特定行动而避免的排数量。</w:t>
      </w:r>
    </w:p>
    <w:p>
      <w:pPr>
        <w:ind w:left="420" w:leftChars="200"/>
        <w:rPr>
          <w:rFonts w:ascii="宋体" w:hAnsi="宋体"/>
          <w:sz w:val="18"/>
          <w:szCs w:val="18"/>
          <w:highlight w:val="none"/>
        </w:rPr>
      </w:pPr>
      <w:r>
        <w:rPr>
          <w:rFonts w:hint="eastAsia" w:ascii="黑体" w:hAnsi="黑体" w:eastAsia="黑体"/>
          <w:sz w:val="18"/>
          <w:szCs w:val="18"/>
          <w:highlight w:val="none"/>
        </w:rPr>
        <w:t>示例3：</w:t>
      </w:r>
      <w:r>
        <w:rPr>
          <w:rFonts w:hint="eastAsia" w:ascii="宋体" w:hAnsi="宋体"/>
          <w:sz w:val="18"/>
          <w:szCs w:val="18"/>
          <w:highlight w:val="none"/>
        </w:rPr>
        <w:t>清除排放，在边界内通过直接空气碳捕获和封存，从大气中消除温室气体数量。</w:t>
      </w:r>
    </w:p>
    <w:p>
      <w:pPr>
        <w:ind w:left="420" w:leftChars="200"/>
        <w:rPr>
          <w:rFonts w:ascii="宋体" w:hAnsi="宋体"/>
          <w:sz w:val="18"/>
          <w:szCs w:val="18"/>
          <w:highlight w:val="none"/>
        </w:rPr>
      </w:pPr>
      <w:r>
        <w:rPr>
          <w:rFonts w:hint="eastAsia" w:ascii="黑体" w:hAnsi="黑体" w:eastAsia="黑体"/>
          <w:sz w:val="18"/>
          <w:szCs w:val="18"/>
          <w:highlight w:val="none"/>
        </w:rPr>
        <w:t>示例4：</w:t>
      </w:r>
      <w:r>
        <w:rPr>
          <w:rFonts w:hint="eastAsia" w:ascii="宋体" w:hAnsi="宋体"/>
          <w:sz w:val="18"/>
          <w:szCs w:val="18"/>
          <w:highlight w:val="none"/>
        </w:rPr>
        <w:t>抵消排放，在边界以通过购买并注销一定数量的碳信用，抵消边界内对应数量的剩余排放。</w:t>
      </w:r>
    </w:p>
    <w:p>
      <w:pPr>
        <w:spacing w:before="156" w:beforeLines="50" w:after="156" w:afterLines="50"/>
        <w:rPr>
          <w:rFonts w:ascii="黑体" w:hAnsi="黑体" w:eastAsia="黑体"/>
          <w:highlight w:val="none"/>
        </w:rPr>
      </w:pPr>
      <w:bookmarkStart w:id="29" w:name="heading_42"/>
      <w:r>
        <w:rPr>
          <w:rFonts w:ascii="黑体" w:hAnsi="黑体" w:eastAsia="黑体"/>
          <w:highlight w:val="none"/>
        </w:rPr>
        <w:t>5.</w:t>
      </w:r>
      <w:r>
        <w:rPr>
          <w:rFonts w:hint="eastAsia" w:ascii="黑体" w:hAnsi="黑体" w:eastAsia="黑体"/>
          <w:highlight w:val="none"/>
          <w:lang w:val="en-US" w:eastAsia="zh-CN"/>
        </w:rPr>
        <w:t>2</w:t>
      </w:r>
      <w:r>
        <w:rPr>
          <w:rFonts w:ascii="黑体" w:hAnsi="黑体" w:eastAsia="黑体"/>
          <w:highlight w:val="none"/>
        </w:rPr>
        <w:t>.</w:t>
      </w:r>
      <w:r>
        <w:rPr>
          <w:rFonts w:hint="eastAsia" w:ascii="黑体" w:hAnsi="黑体" w:eastAsia="黑体"/>
          <w:highlight w:val="none"/>
        </w:rPr>
        <w:t>1.</w:t>
      </w:r>
      <w:r>
        <w:rPr>
          <w:rFonts w:ascii="黑体" w:hAnsi="黑体" w:eastAsia="黑体"/>
          <w:highlight w:val="none"/>
        </w:rPr>
        <w:t>4</w:t>
      </w:r>
      <w:r>
        <w:rPr>
          <w:rFonts w:hint="eastAsia" w:ascii="黑体" w:hAnsi="黑体" w:eastAsia="黑体"/>
          <w:highlight w:val="none"/>
        </w:rPr>
        <w:t xml:space="preserve"> 特性类</w:t>
      </w:r>
      <w:bookmarkEnd w:id="29"/>
    </w:p>
    <w:p>
      <w:pPr>
        <w:ind w:left="424" w:leftChars="199" w:hanging="6"/>
        <w:rPr>
          <w:highlight w:val="none"/>
        </w:rPr>
      </w:pPr>
      <w:r>
        <w:rPr>
          <w:rFonts w:hint="eastAsia"/>
          <w:highlight w:val="none"/>
        </w:rPr>
        <w:t>描述披露主体和对象因减缓气候变化行动效果而具备的特性。</w:t>
      </w:r>
    </w:p>
    <w:p>
      <w:pPr>
        <w:ind w:left="430" w:leftChars="202" w:hanging="6"/>
        <w:rPr>
          <w:highlight w:val="none"/>
        </w:rPr>
      </w:pPr>
      <w:r>
        <w:rPr>
          <w:rFonts w:hint="eastAsia"/>
          <w:highlight w:val="none"/>
        </w:rPr>
        <w:t>此类信息通常需要与其他对象的比较而体现相对优势，或根据其满足特定标准要求而具备某种优势，需要基于特定语境表达，</w:t>
      </w:r>
      <w:r>
        <w:rPr>
          <w:rFonts w:hint="eastAsia"/>
          <w:b/>
          <w:bCs/>
          <w:highlight w:val="none"/>
        </w:rPr>
        <w:t>不应</w:t>
      </w:r>
      <w:r>
        <w:rPr>
          <w:rFonts w:hint="eastAsia"/>
          <w:highlight w:val="none"/>
        </w:rPr>
        <w:t>作为一般性声明披露。</w:t>
      </w:r>
    </w:p>
    <w:p>
      <w:pPr>
        <w:ind w:left="453"/>
        <w:rPr>
          <w:rFonts w:ascii="宋体" w:hAnsi="宋体"/>
          <w:sz w:val="18"/>
          <w:szCs w:val="18"/>
          <w:highlight w:val="none"/>
        </w:rPr>
      </w:pPr>
      <w:r>
        <w:rPr>
          <w:rStyle w:val="186"/>
          <w:rFonts w:hint="eastAsia"/>
          <w:highlight w:val="none"/>
        </w:rPr>
        <w:t>示例</w:t>
      </w:r>
      <w:r>
        <w:rPr>
          <w:rStyle w:val="186"/>
          <w:highlight w:val="none"/>
        </w:rPr>
        <w:t>1</w:t>
      </w:r>
      <w:r>
        <w:rPr>
          <w:rStyle w:val="186"/>
          <w:rFonts w:hint="eastAsia"/>
          <w:highlight w:val="none"/>
        </w:rPr>
        <w:t>：</w:t>
      </w:r>
      <w:r>
        <w:rPr>
          <w:rFonts w:hint="eastAsia" w:ascii="宋体" w:hAnsi="宋体"/>
          <w:sz w:val="18"/>
          <w:szCs w:val="18"/>
          <w:highlight w:val="none"/>
        </w:rPr>
        <w:t>低碳，例如企业在产品宣传中对产品的宣称为低碳产品。</w:t>
      </w:r>
    </w:p>
    <w:p>
      <w:pPr>
        <w:ind w:left="453"/>
        <w:rPr>
          <w:rFonts w:ascii="宋体" w:hAnsi="宋体"/>
          <w:sz w:val="18"/>
          <w:szCs w:val="18"/>
          <w:highlight w:val="none"/>
        </w:rPr>
      </w:pPr>
      <w:r>
        <w:rPr>
          <w:rStyle w:val="186"/>
          <w:rFonts w:hint="eastAsia"/>
          <w:highlight w:val="none"/>
        </w:rPr>
        <w:t>示例</w:t>
      </w:r>
      <w:r>
        <w:rPr>
          <w:rStyle w:val="186"/>
          <w:highlight w:val="none"/>
        </w:rPr>
        <w:t>2</w:t>
      </w:r>
      <w:r>
        <w:rPr>
          <w:rStyle w:val="186"/>
          <w:rFonts w:hint="eastAsia"/>
          <w:highlight w:val="none"/>
        </w:rPr>
        <w:t>：</w:t>
      </w:r>
      <w:r>
        <w:rPr>
          <w:rFonts w:hint="eastAsia" w:ascii="宋体" w:hAnsi="宋体"/>
          <w:sz w:val="18"/>
          <w:szCs w:val="18"/>
          <w:highlight w:val="none"/>
        </w:rPr>
        <w:t>碳中和，例如企业实现运营碳中和、产品为碳中和产品。</w:t>
      </w:r>
    </w:p>
    <w:p>
      <w:pPr>
        <w:ind w:left="453"/>
        <w:rPr>
          <w:rFonts w:ascii="宋体" w:hAnsi="宋体"/>
          <w:sz w:val="18"/>
          <w:szCs w:val="18"/>
          <w:highlight w:val="none"/>
        </w:rPr>
      </w:pPr>
      <w:r>
        <w:rPr>
          <w:rStyle w:val="181"/>
          <w:rFonts w:hint="eastAsia"/>
          <w:highlight w:val="none"/>
        </w:rPr>
        <w:t>注：</w:t>
      </w:r>
      <w:r>
        <w:rPr>
          <w:rFonts w:hint="eastAsia" w:ascii="宋体" w:hAnsi="宋体"/>
          <w:sz w:val="18"/>
          <w:szCs w:val="21"/>
          <w:highlight w:val="none"/>
        </w:rPr>
        <w:t>特性，包括但不限于“净零”、“零碳”、“碳中和”、“低碳”等词汇或“减碳路径符合</w:t>
      </w:r>
      <w:r>
        <w:rPr>
          <w:rFonts w:ascii="宋体" w:hAnsi="宋体"/>
          <w:sz w:val="18"/>
          <w:szCs w:val="21"/>
          <w:highlight w:val="none"/>
        </w:rPr>
        <w:t>1.5</w:t>
      </w:r>
      <w:r>
        <w:rPr>
          <w:rFonts w:hint="eastAsia" w:ascii="宋体" w:hAnsi="宋体"/>
          <w:sz w:val="18"/>
          <w:szCs w:val="21"/>
          <w:highlight w:val="none"/>
        </w:rPr>
        <w:t>℃目标要求”等描述，宜参考附录A。</w:t>
      </w:r>
    </w:p>
    <w:p>
      <w:pPr>
        <w:spacing w:before="156" w:beforeLines="50" w:after="156" w:afterLines="50"/>
        <w:ind w:firstLine="0"/>
        <w:rPr>
          <w:rFonts w:ascii="黑体" w:hAnsi="黑体" w:eastAsia="黑体"/>
          <w:highlight w:val="none"/>
        </w:rPr>
      </w:pPr>
      <w:r>
        <w:rPr>
          <w:rFonts w:hint="eastAsia" w:ascii="黑体" w:hAnsi="黑体" w:eastAsia="黑体"/>
          <w:highlight w:val="none"/>
        </w:rPr>
        <w:t>5.</w:t>
      </w:r>
      <w:r>
        <w:rPr>
          <w:rFonts w:hint="eastAsia" w:ascii="黑体" w:hAnsi="黑体" w:eastAsia="黑体"/>
          <w:highlight w:val="none"/>
          <w:lang w:val="en-US" w:eastAsia="zh-CN"/>
        </w:rPr>
        <w:t>2</w:t>
      </w:r>
      <w:r>
        <w:rPr>
          <w:rFonts w:hint="eastAsia" w:ascii="黑体" w:hAnsi="黑体" w:eastAsia="黑体"/>
          <w:highlight w:val="none"/>
        </w:rPr>
        <w:t xml:space="preserve">.2 </w:t>
      </w:r>
      <w:r>
        <w:rPr>
          <w:rFonts w:hint="eastAsia" w:ascii="黑体" w:hAnsi="黑体" w:eastAsia="黑体"/>
          <w:sz w:val="21"/>
          <w:szCs w:val="24"/>
          <w:highlight w:val="none"/>
        </w:rPr>
        <w:t>碳信息披露时序</w:t>
      </w:r>
    </w:p>
    <w:p>
      <w:pPr>
        <w:spacing w:before="156" w:beforeLines="50" w:after="156" w:afterLines="50"/>
        <w:rPr>
          <w:rFonts w:ascii="黑体" w:hAnsi="黑体" w:eastAsia="黑体"/>
          <w:highlight w:val="none"/>
        </w:rPr>
      </w:pPr>
      <w:r>
        <w:rPr>
          <w:rFonts w:ascii="黑体" w:hAnsi="黑体" w:eastAsia="黑体"/>
          <w:highlight w:val="none"/>
        </w:rPr>
        <w:t>5.</w:t>
      </w:r>
      <w:r>
        <w:rPr>
          <w:rFonts w:hint="eastAsia" w:ascii="黑体" w:hAnsi="黑体" w:eastAsia="黑体"/>
          <w:highlight w:val="none"/>
          <w:lang w:val="en-US" w:eastAsia="zh-CN"/>
        </w:rPr>
        <w:t>2</w:t>
      </w:r>
      <w:r>
        <w:rPr>
          <w:rFonts w:ascii="黑体" w:hAnsi="黑体" w:eastAsia="黑体"/>
          <w:highlight w:val="none"/>
        </w:rPr>
        <w:t>.</w:t>
      </w:r>
      <w:r>
        <w:rPr>
          <w:rFonts w:hint="eastAsia" w:ascii="黑体" w:hAnsi="黑体" w:eastAsia="黑体"/>
          <w:highlight w:val="none"/>
        </w:rPr>
        <w:t>2.1</w:t>
      </w:r>
      <w:r>
        <w:rPr>
          <w:rFonts w:ascii="黑体" w:hAnsi="黑体" w:eastAsia="黑体"/>
          <w:highlight w:val="none"/>
        </w:rPr>
        <w:t xml:space="preserve"> </w:t>
      </w:r>
      <w:r>
        <w:rPr>
          <w:rFonts w:hint="eastAsia" w:ascii="黑体" w:hAnsi="黑体" w:eastAsia="黑体"/>
          <w:highlight w:val="none"/>
        </w:rPr>
        <w:t>时序-回顾过去的</w:t>
      </w:r>
    </w:p>
    <w:p>
      <w:pPr>
        <w:ind w:firstLine="420"/>
        <w:rPr>
          <w:highlight w:val="none"/>
        </w:rPr>
      </w:pPr>
      <w:r>
        <w:rPr>
          <w:rFonts w:hint="eastAsia"/>
          <w:highlight w:val="none"/>
        </w:rPr>
        <w:t>在披露时间已经具备或达成的内容，是基于既有现实的描述。</w:t>
      </w:r>
    </w:p>
    <w:p>
      <w:pPr>
        <w:spacing w:before="156" w:beforeLines="50" w:after="156" w:afterLines="50"/>
        <w:rPr>
          <w:rFonts w:ascii="黑体" w:hAnsi="黑体" w:eastAsia="黑体"/>
          <w:highlight w:val="none"/>
        </w:rPr>
      </w:pPr>
      <w:r>
        <w:rPr>
          <w:rFonts w:ascii="黑体" w:hAnsi="黑体" w:eastAsia="黑体"/>
          <w:highlight w:val="none"/>
        </w:rPr>
        <w:t>5.</w:t>
      </w:r>
      <w:r>
        <w:rPr>
          <w:rFonts w:hint="eastAsia" w:ascii="黑体" w:hAnsi="黑体" w:eastAsia="黑体"/>
          <w:highlight w:val="none"/>
          <w:lang w:val="en-US" w:eastAsia="zh-CN"/>
        </w:rPr>
        <w:t>2</w:t>
      </w:r>
      <w:r>
        <w:rPr>
          <w:rFonts w:ascii="黑体" w:hAnsi="黑体" w:eastAsia="黑体"/>
          <w:highlight w:val="none"/>
        </w:rPr>
        <w:t>.</w:t>
      </w:r>
      <w:r>
        <w:rPr>
          <w:rFonts w:hint="eastAsia" w:ascii="黑体" w:hAnsi="黑体" w:eastAsia="黑体"/>
          <w:highlight w:val="none"/>
        </w:rPr>
        <w:t>2.2 时序-面向将来的</w:t>
      </w:r>
    </w:p>
    <w:p>
      <w:pPr>
        <w:ind w:firstLine="420"/>
        <w:rPr>
          <w:highlight w:val="none"/>
        </w:rPr>
      </w:pPr>
      <w:r>
        <w:rPr>
          <w:rFonts w:hint="eastAsia"/>
          <w:highlight w:val="none"/>
        </w:rPr>
        <w:t>在披露时间尚未达成，但计划在将来一段时间内开展或达成的预期。</w:t>
      </w:r>
    </w:p>
    <w:p>
      <w:pPr>
        <w:spacing w:before="156" w:beforeLines="50" w:after="156" w:afterLines="50"/>
        <w:rPr>
          <w:rFonts w:ascii="黑体" w:hAnsi="黑体" w:eastAsia="黑体"/>
          <w:highlight w:val="none"/>
        </w:rPr>
      </w:pPr>
      <w:r>
        <w:rPr>
          <w:rFonts w:ascii="黑体" w:hAnsi="黑体" w:eastAsia="黑体"/>
          <w:highlight w:val="none"/>
        </w:rPr>
        <w:t>5.</w:t>
      </w:r>
      <w:r>
        <w:rPr>
          <w:rFonts w:hint="eastAsia" w:ascii="黑体" w:hAnsi="黑体" w:eastAsia="黑体"/>
          <w:highlight w:val="none"/>
          <w:lang w:val="en-US" w:eastAsia="zh-CN"/>
        </w:rPr>
        <w:t>2</w:t>
      </w:r>
      <w:r>
        <w:rPr>
          <w:rFonts w:ascii="黑体" w:hAnsi="黑体" w:eastAsia="黑体"/>
          <w:highlight w:val="none"/>
        </w:rPr>
        <w:t>.</w:t>
      </w:r>
      <w:r>
        <w:rPr>
          <w:rFonts w:hint="eastAsia" w:ascii="黑体" w:hAnsi="黑体" w:eastAsia="黑体"/>
          <w:highlight w:val="none"/>
        </w:rPr>
        <w:t>3</w:t>
      </w:r>
      <w:r>
        <w:rPr>
          <w:rFonts w:ascii="黑体" w:hAnsi="黑体" w:eastAsia="黑体"/>
          <w:highlight w:val="none"/>
        </w:rPr>
        <w:t xml:space="preserve"> </w:t>
      </w:r>
      <w:r>
        <w:rPr>
          <w:rFonts w:hint="eastAsia" w:ascii="黑体" w:hAnsi="黑体" w:eastAsia="黑体"/>
          <w:highlight w:val="none"/>
        </w:rPr>
        <w:t>碳信息组合</w:t>
      </w:r>
    </w:p>
    <w:p>
      <w:pPr>
        <w:ind w:firstLine="420"/>
        <w:rPr>
          <w:highlight w:val="none"/>
        </w:rPr>
      </w:pPr>
      <w:r>
        <w:rPr>
          <w:rFonts w:hint="eastAsia"/>
          <w:highlight w:val="none"/>
        </w:rPr>
        <w:t>表1中给出了碳信息内涵与披露时序的组合，构成了企业可披露的碳信息具体类型。</w:t>
      </w:r>
    </w:p>
    <w:p>
      <w:pPr>
        <w:spacing w:before="120" w:after="120"/>
        <w:jc w:val="center"/>
        <w:rPr>
          <w:rFonts w:ascii="黑体" w:hAnsi="黑体" w:eastAsia="黑体" w:cs="Arial"/>
          <w:bCs/>
          <w:sz w:val="21"/>
          <w:szCs w:val="21"/>
          <w:highlight w:val="none"/>
        </w:rPr>
      </w:pPr>
      <w:r>
        <w:rPr>
          <w:rFonts w:hint="eastAsia" w:ascii="黑体" w:hAnsi="黑体" w:eastAsia="黑体" w:cs="Arial"/>
          <w:bCs/>
          <w:sz w:val="21"/>
          <w:szCs w:val="21"/>
          <w:highlight w:val="none"/>
        </w:rPr>
        <w:t>表</w:t>
      </w:r>
      <w:r>
        <w:rPr>
          <w:rFonts w:ascii="黑体" w:hAnsi="黑体" w:eastAsia="黑体" w:cs="Arial"/>
          <w:bCs/>
          <w:sz w:val="21"/>
          <w:szCs w:val="21"/>
          <w:highlight w:val="none"/>
        </w:rPr>
        <w:t xml:space="preserve"> 1 </w:t>
      </w:r>
      <w:r>
        <w:rPr>
          <w:rFonts w:hint="eastAsia" w:ascii="黑体" w:hAnsi="黑体" w:eastAsia="黑体" w:cs="Arial"/>
          <w:bCs/>
          <w:sz w:val="21"/>
          <w:szCs w:val="21"/>
          <w:highlight w:val="none"/>
        </w:rPr>
        <w:t>时序性信息与碳信息内涵的组合方式</w:t>
      </w:r>
    </w:p>
    <w:tbl>
      <w:tblPr>
        <w:tblStyle w:val="41"/>
        <w:tblW w:w="0" w:type="auto"/>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988"/>
        <w:gridCol w:w="4110"/>
        <w:gridCol w:w="4246"/>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PrEx>
        <w:tc>
          <w:tcPr>
            <w:tcW w:w="988" w:type="dxa"/>
            <w:vMerge w:val="restart"/>
            <w:tcBorders>
              <w:top w:val="single" w:color="auto" w:sz="8" w:space="0"/>
              <w:bottom w:val="single" w:color="auto" w:sz="6" w:space="0"/>
              <w:right w:val="single" w:color="auto" w:sz="6" w:space="0"/>
            </w:tcBorders>
            <w:vAlign w:val="center"/>
          </w:tcPr>
          <w:p>
            <w:pPr>
              <w:ind w:left="181" w:leftChars="86"/>
              <w:jc w:val="center"/>
              <w:rPr>
                <w:rFonts w:ascii="宋体" w:hAnsi="宋体"/>
                <w:sz w:val="18"/>
                <w:szCs w:val="18"/>
                <w:highlight w:val="none"/>
              </w:rPr>
            </w:pPr>
            <w:r>
              <w:rPr>
                <w:rFonts w:hint="eastAsia" w:ascii="宋体" w:hAnsi="宋体"/>
                <w:sz w:val="18"/>
                <w:szCs w:val="18"/>
                <w:highlight w:val="none"/>
              </w:rPr>
              <w:t>碳信息</w:t>
            </w:r>
          </w:p>
          <w:p>
            <w:pPr>
              <w:ind w:left="181" w:leftChars="86"/>
              <w:jc w:val="center"/>
              <w:rPr>
                <w:rFonts w:ascii="宋体" w:hAnsi="宋体"/>
                <w:sz w:val="18"/>
                <w:szCs w:val="18"/>
                <w:highlight w:val="none"/>
              </w:rPr>
            </w:pPr>
            <w:r>
              <w:rPr>
                <w:rFonts w:hint="eastAsia" w:ascii="宋体" w:hAnsi="宋体"/>
                <w:sz w:val="18"/>
                <w:szCs w:val="18"/>
                <w:highlight w:val="none"/>
              </w:rPr>
              <w:t>内涵</w:t>
            </w:r>
          </w:p>
        </w:tc>
        <w:tc>
          <w:tcPr>
            <w:tcW w:w="8356" w:type="dxa"/>
            <w:gridSpan w:val="2"/>
            <w:tcBorders>
              <w:top w:val="single" w:color="auto" w:sz="8" w:space="0"/>
              <w:left w:val="single" w:color="auto" w:sz="6" w:space="0"/>
              <w:bottom w:val="single" w:color="auto" w:sz="6" w:space="0"/>
            </w:tcBorders>
            <w:vAlign w:val="center"/>
          </w:tcPr>
          <w:p>
            <w:pPr>
              <w:ind w:left="181" w:leftChars="86"/>
              <w:jc w:val="center"/>
              <w:rPr>
                <w:rFonts w:ascii="宋体" w:hAnsi="宋体"/>
                <w:sz w:val="18"/>
                <w:szCs w:val="18"/>
                <w:highlight w:val="none"/>
              </w:rPr>
            </w:pPr>
            <w:r>
              <w:rPr>
                <w:rFonts w:hint="eastAsia" w:ascii="宋体" w:hAnsi="宋体"/>
                <w:sz w:val="18"/>
                <w:szCs w:val="18"/>
                <w:highlight w:val="none"/>
              </w:rPr>
              <w:t>碳信息披露时序</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988" w:type="dxa"/>
            <w:vMerge w:val="continue"/>
            <w:tcBorders>
              <w:top w:val="single" w:color="auto" w:sz="6" w:space="0"/>
              <w:bottom w:val="single" w:color="auto" w:sz="8" w:space="0"/>
              <w:right w:val="single" w:color="auto" w:sz="6" w:space="0"/>
            </w:tcBorders>
          </w:tcPr>
          <w:p>
            <w:pPr>
              <w:ind w:left="181" w:leftChars="86"/>
              <w:jc w:val="center"/>
              <w:rPr>
                <w:rFonts w:ascii="宋体" w:hAnsi="宋体"/>
                <w:sz w:val="18"/>
                <w:szCs w:val="18"/>
                <w:highlight w:val="none"/>
              </w:rPr>
            </w:pPr>
          </w:p>
        </w:tc>
        <w:tc>
          <w:tcPr>
            <w:tcW w:w="4110" w:type="dxa"/>
            <w:tcBorders>
              <w:top w:val="single" w:color="auto" w:sz="6" w:space="0"/>
              <w:left w:val="single" w:color="auto" w:sz="6" w:space="0"/>
              <w:bottom w:val="single" w:color="auto" w:sz="8" w:space="0"/>
              <w:right w:val="single" w:color="auto" w:sz="6" w:space="0"/>
            </w:tcBorders>
            <w:vAlign w:val="center"/>
          </w:tcPr>
          <w:p>
            <w:pPr>
              <w:ind w:left="181" w:leftChars="86"/>
              <w:jc w:val="center"/>
              <w:rPr>
                <w:rFonts w:ascii="宋体"/>
                <w:highlight w:val="none"/>
              </w:rPr>
            </w:pPr>
            <w:r>
              <w:rPr>
                <w:rFonts w:hint="eastAsia" w:ascii="宋体" w:hAnsi="宋体"/>
                <w:sz w:val="18"/>
                <w:szCs w:val="18"/>
                <w:highlight w:val="none"/>
              </w:rPr>
              <w:t>披露时间之前（回顾过去的）</w:t>
            </w:r>
          </w:p>
        </w:tc>
        <w:tc>
          <w:tcPr>
            <w:tcW w:w="4246" w:type="dxa"/>
            <w:tcBorders>
              <w:top w:val="single" w:color="auto" w:sz="6" w:space="0"/>
              <w:left w:val="single" w:color="auto" w:sz="6" w:space="0"/>
              <w:bottom w:val="single" w:color="auto" w:sz="8" w:space="0"/>
            </w:tcBorders>
            <w:vAlign w:val="center"/>
          </w:tcPr>
          <w:p>
            <w:pPr>
              <w:ind w:left="181" w:leftChars="86"/>
              <w:jc w:val="center"/>
              <w:rPr>
                <w:rFonts w:ascii="宋体"/>
                <w:highlight w:val="none"/>
              </w:rPr>
            </w:pPr>
            <w:r>
              <w:rPr>
                <w:rFonts w:hint="eastAsia" w:ascii="宋体" w:hAnsi="宋体"/>
                <w:sz w:val="18"/>
                <w:szCs w:val="18"/>
                <w:highlight w:val="none"/>
              </w:rPr>
              <w:t>披露时间之后（面向将来的）</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988" w:type="dxa"/>
            <w:tcBorders>
              <w:top w:val="single" w:color="auto" w:sz="8" w:space="0"/>
              <w:bottom w:val="single" w:color="auto" w:sz="6" w:space="0"/>
              <w:right w:val="single" w:color="auto" w:sz="6" w:space="0"/>
            </w:tcBorders>
            <w:vAlign w:val="center"/>
          </w:tcPr>
          <w:p>
            <w:pPr>
              <w:ind w:left="181" w:leftChars="86"/>
              <w:jc w:val="center"/>
              <w:rPr>
                <w:rFonts w:ascii="宋体"/>
                <w:highlight w:val="none"/>
              </w:rPr>
            </w:pPr>
            <w:r>
              <w:rPr>
                <w:rFonts w:hint="eastAsia" w:ascii="宋体" w:hAnsi="宋体"/>
                <w:sz w:val="18"/>
                <w:szCs w:val="18"/>
                <w:highlight w:val="none"/>
              </w:rPr>
              <w:t>目标类</w:t>
            </w:r>
          </w:p>
        </w:tc>
        <w:tc>
          <w:tcPr>
            <w:tcW w:w="4110" w:type="dxa"/>
            <w:tcBorders>
              <w:top w:val="single" w:color="auto" w:sz="8" w:space="0"/>
              <w:left w:val="single" w:color="auto" w:sz="6" w:space="0"/>
              <w:bottom w:val="single" w:color="auto" w:sz="6" w:space="0"/>
              <w:right w:val="single" w:color="auto" w:sz="6" w:space="0"/>
            </w:tcBorders>
            <w:vAlign w:val="center"/>
          </w:tcPr>
          <w:p>
            <w:pPr>
              <w:ind w:left="181" w:leftChars="86"/>
              <w:jc w:val="left"/>
              <w:rPr>
                <w:rFonts w:ascii="宋体" w:hAnsi="宋体"/>
                <w:sz w:val="18"/>
                <w:szCs w:val="18"/>
                <w:highlight w:val="none"/>
              </w:rPr>
            </w:pPr>
            <w:r>
              <w:rPr>
                <w:rFonts w:hint="eastAsia" w:ascii="宋体" w:hAnsi="宋体"/>
                <w:sz w:val="18"/>
                <w:szCs w:val="18"/>
                <w:highlight w:val="none"/>
              </w:rPr>
              <w:t>回顾过去的目标：过去某个时间设定、实现或未能实现的特定行动目标信息。</w:t>
            </w:r>
          </w:p>
          <w:p>
            <w:pPr>
              <w:autoSpaceDE/>
              <w:autoSpaceDN/>
              <w:ind w:left="181" w:leftChars="86"/>
              <w:jc w:val="left"/>
              <w:rPr>
                <w:rFonts w:ascii="宋体" w:hAnsi="宋体"/>
                <w:sz w:val="18"/>
                <w:szCs w:val="18"/>
                <w:highlight w:val="none"/>
              </w:rPr>
            </w:pPr>
            <w:r>
              <w:rPr>
                <w:rFonts w:hint="eastAsia" w:ascii="黑体" w:hAnsi="黑体" w:eastAsia="黑体"/>
                <w:sz w:val="18"/>
                <w:szCs w:val="18"/>
                <w:highlight w:val="none"/>
              </w:rPr>
              <w:t>示例1：</w:t>
            </w:r>
            <w:r>
              <w:rPr>
                <w:rFonts w:hint="eastAsia" w:ascii="宋体" w:hAnsi="宋体"/>
                <w:sz w:val="18"/>
                <w:szCs w:val="18"/>
                <w:highlight w:val="none"/>
              </w:rPr>
              <w:t>3年前设定的企业碳减排目标，或净零排放目标。</w:t>
            </w:r>
          </w:p>
        </w:tc>
        <w:tc>
          <w:tcPr>
            <w:tcW w:w="4246" w:type="dxa"/>
            <w:tcBorders>
              <w:top w:val="single" w:color="auto" w:sz="8" w:space="0"/>
              <w:left w:val="single" w:color="auto" w:sz="6" w:space="0"/>
              <w:bottom w:val="single" w:color="auto" w:sz="6" w:space="0"/>
            </w:tcBorders>
            <w:vAlign w:val="center"/>
          </w:tcPr>
          <w:p>
            <w:pPr>
              <w:ind w:left="181" w:leftChars="86"/>
              <w:jc w:val="left"/>
              <w:rPr>
                <w:rFonts w:ascii="宋体" w:hAnsi="宋体"/>
                <w:sz w:val="18"/>
                <w:szCs w:val="18"/>
                <w:highlight w:val="none"/>
              </w:rPr>
            </w:pPr>
            <w:r>
              <w:rPr>
                <w:rFonts w:hint="eastAsia" w:ascii="宋体" w:hAnsi="宋体"/>
                <w:sz w:val="18"/>
                <w:szCs w:val="18"/>
                <w:highlight w:val="none"/>
              </w:rPr>
              <w:t>面向将来的目标：将来某个时间要达成的特定行动目标信息。</w:t>
            </w:r>
          </w:p>
          <w:p>
            <w:pPr>
              <w:ind w:left="181" w:leftChars="86"/>
              <w:jc w:val="left"/>
              <w:rPr>
                <w:rFonts w:ascii="宋体" w:hAnsi="宋体"/>
                <w:sz w:val="18"/>
                <w:szCs w:val="18"/>
                <w:highlight w:val="none"/>
              </w:rPr>
            </w:pPr>
            <w:r>
              <w:rPr>
                <w:rFonts w:hint="eastAsia" w:ascii="黑体" w:hAnsi="黑体" w:eastAsia="黑体"/>
                <w:sz w:val="18"/>
                <w:szCs w:val="18"/>
                <w:highlight w:val="none"/>
              </w:rPr>
              <w:t>示例</w:t>
            </w:r>
            <w:r>
              <w:rPr>
                <w:rFonts w:ascii="黑体" w:hAnsi="黑体" w:eastAsia="黑体"/>
                <w:sz w:val="18"/>
                <w:szCs w:val="18"/>
                <w:highlight w:val="none"/>
              </w:rPr>
              <w:t>2</w:t>
            </w:r>
            <w:r>
              <w:rPr>
                <w:rFonts w:hint="eastAsia" w:ascii="黑体" w:hAnsi="黑体" w:eastAsia="黑体"/>
                <w:sz w:val="18"/>
                <w:szCs w:val="18"/>
                <w:highlight w:val="none"/>
              </w:rPr>
              <w:t>：</w:t>
            </w:r>
            <w:r>
              <w:rPr>
                <w:rFonts w:hint="eastAsia" w:ascii="宋体" w:hAnsi="宋体"/>
                <w:sz w:val="18"/>
                <w:szCs w:val="18"/>
                <w:highlight w:val="none"/>
              </w:rPr>
              <w:t>将在10年后实现的企业碳减排目标，或净零排放目标。</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988" w:type="dxa"/>
            <w:tcBorders>
              <w:top w:val="single" w:color="auto" w:sz="6" w:space="0"/>
              <w:bottom w:val="single" w:color="auto" w:sz="6" w:space="0"/>
              <w:right w:val="single" w:color="auto" w:sz="6" w:space="0"/>
            </w:tcBorders>
            <w:vAlign w:val="center"/>
          </w:tcPr>
          <w:p>
            <w:pPr>
              <w:ind w:left="181" w:leftChars="86"/>
              <w:jc w:val="center"/>
              <w:rPr>
                <w:rFonts w:ascii="宋体" w:hAnsi="宋体"/>
                <w:sz w:val="18"/>
                <w:szCs w:val="18"/>
                <w:highlight w:val="none"/>
              </w:rPr>
            </w:pPr>
            <w:r>
              <w:rPr>
                <w:rFonts w:hint="eastAsia" w:ascii="宋体" w:hAnsi="宋体"/>
                <w:sz w:val="18"/>
                <w:szCs w:val="18"/>
                <w:highlight w:val="none"/>
              </w:rPr>
              <w:t>举措类</w:t>
            </w:r>
          </w:p>
        </w:tc>
        <w:tc>
          <w:tcPr>
            <w:tcW w:w="4110" w:type="dxa"/>
            <w:tcBorders>
              <w:top w:val="single" w:color="auto" w:sz="6" w:space="0"/>
              <w:left w:val="single" w:color="auto" w:sz="6" w:space="0"/>
              <w:bottom w:val="single" w:color="auto" w:sz="6" w:space="0"/>
              <w:right w:val="single" w:color="auto" w:sz="6" w:space="0"/>
            </w:tcBorders>
            <w:vAlign w:val="center"/>
          </w:tcPr>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宋体" w:hAnsi="宋体"/>
                <w:sz w:val="18"/>
                <w:szCs w:val="18"/>
                <w:highlight w:val="none"/>
              </w:rPr>
              <w:t>回顾过去的举措：为达成某个特定行动目标，在过去一段时间已经被采取的举措类型与内容，且并不直接作减缓气候变化成效表达的信息。</w:t>
            </w:r>
          </w:p>
          <w:p>
            <w:pPr>
              <w:tabs>
                <w:tab w:val="center" w:pos="4201"/>
                <w:tab w:val="right" w:leader="dot" w:pos="9298"/>
              </w:tabs>
              <w:autoSpaceDE w:val="0"/>
              <w:autoSpaceDN w:val="0"/>
              <w:ind w:left="181" w:leftChars="86"/>
              <w:jc w:val="left"/>
              <w:rPr>
                <w:rFonts w:ascii="黑体" w:hAnsi="黑体" w:eastAsia="黑体"/>
                <w:sz w:val="18"/>
                <w:szCs w:val="18"/>
                <w:highlight w:val="none"/>
              </w:rPr>
            </w:pPr>
            <w:r>
              <w:rPr>
                <w:rFonts w:hint="eastAsia" w:ascii="黑体" w:hAnsi="黑体" w:eastAsia="黑体"/>
                <w:sz w:val="18"/>
                <w:szCs w:val="18"/>
                <w:highlight w:val="none"/>
              </w:rPr>
              <w:t>示例3：</w:t>
            </w:r>
            <w:r>
              <w:rPr>
                <w:rFonts w:hint="eastAsia" w:ascii="宋体" w:hAnsi="宋体"/>
                <w:sz w:val="18"/>
                <w:szCs w:val="18"/>
                <w:highlight w:val="none"/>
              </w:rPr>
              <w:t>过去3年中提高了可再生能源消费占比和能效</w:t>
            </w:r>
            <w:r>
              <w:rPr>
                <w:rFonts w:hint="eastAsia" w:ascii="Times New Roman" w:hAnsi="宋体" w:eastAsia="宋体"/>
                <w:sz w:val="18"/>
                <w:szCs w:val="18"/>
                <w:highlight w:val="none"/>
              </w:rPr>
              <w:t>。</w:t>
            </w:r>
          </w:p>
        </w:tc>
        <w:tc>
          <w:tcPr>
            <w:tcW w:w="4246" w:type="dxa"/>
            <w:tcBorders>
              <w:top w:val="single" w:color="auto" w:sz="6" w:space="0"/>
              <w:left w:val="single" w:color="auto" w:sz="6" w:space="0"/>
              <w:bottom w:val="single" w:color="auto" w:sz="6" w:space="0"/>
            </w:tcBorders>
            <w:vAlign w:val="center"/>
          </w:tcPr>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宋体" w:hAnsi="宋体"/>
                <w:sz w:val="18"/>
                <w:szCs w:val="18"/>
                <w:highlight w:val="none"/>
              </w:rPr>
              <w:t>面向将来的举措：为达成特定行动目标，将要在将来一段时间内采取的举措类型与内容（计划），且并不直接作减缓气候变化成效表达的信息。</w:t>
            </w:r>
          </w:p>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黑体" w:hAnsi="黑体" w:eastAsia="黑体"/>
                <w:sz w:val="18"/>
                <w:szCs w:val="18"/>
                <w:highlight w:val="none"/>
              </w:rPr>
              <w:t>示例</w:t>
            </w:r>
            <w:r>
              <w:rPr>
                <w:rFonts w:ascii="黑体" w:hAnsi="黑体" w:eastAsia="黑体"/>
                <w:sz w:val="18"/>
                <w:szCs w:val="18"/>
                <w:highlight w:val="none"/>
              </w:rPr>
              <w:t>4</w:t>
            </w:r>
            <w:r>
              <w:rPr>
                <w:rFonts w:hint="eastAsia" w:ascii="黑体" w:hAnsi="黑体" w:eastAsia="黑体"/>
                <w:sz w:val="18"/>
                <w:szCs w:val="18"/>
                <w:highlight w:val="none"/>
              </w:rPr>
              <w:t>：</w:t>
            </w:r>
            <w:r>
              <w:rPr>
                <w:rFonts w:hint="eastAsia" w:ascii="宋体" w:hAnsi="宋体"/>
                <w:sz w:val="18"/>
                <w:szCs w:val="18"/>
                <w:highlight w:val="none"/>
              </w:rPr>
              <w:t>计划在将来10年内提升企业能效、提升可再生能源消费占比。</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988" w:type="dxa"/>
            <w:tcBorders>
              <w:top w:val="single" w:color="auto" w:sz="6" w:space="0"/>
              <w:bottom w:val="single" w:color="auto" w:sz="6" w:space="0"/>
              <w:right w:val="single" w:color="auto" w:sz="6" w:space="0"/>
            </w:tcBorders>
            <w:vAlign w:val="center"/>
          </w:tcPr>
          <w:p>
            <w:pPr>
              <w:ind w:left="181" w:leftChars="86"/>
              <w:jc w:val="center"/>
              <w:rPr>
                <w:rFonts w:ascii="宋体" w:hAnsi="宋体"/>
                <w:sz w:val="18"/>
                <w:szCs w:val="18"/>
                <w:highlight w:val="none"/>
              </w:rPr>
            </w:pPr>
            <w:r>
              <w:rPr>
                <w:rFonts w:ascii="宋体" w:hAnsi="宋体"/>
                <w:sz w:val="18"/>
                <w:szCs w:val="18"/>
                <w:highlight w:val="none"/>
              </w:rPr>
              <w:t>绩效类</w:t>
            </w:r>
          </w:p>
        </w:tc>
        <w:tc>
          <w:tcPr>
            <w:tcW w:w="4110" w:type="dxa"/>
            <w:tcBorders>
              <w:top w:val="single" w:color="auto" w:sz="6" w:space="0"/>
              <w:left w:val="single" w:color="auto" w:sz="6" w:space="0"/>
              <w:bottom w:val="single" w:color="auto" w:sz="6" w:space="0"/>
              <w:right w:val="single" w:color="auto" w:sz="6" w:space="0"/>
            </w:tcBorders>
            <w:vAlign w:val="center"/>
          </w:tcPr>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宋体" w:hAnsi="宋体"/>
                <w:sz w:val="18"/>
                <w:szCs w:val="18"/>
                <w:highlight w:val="none"/>
              </w:rPr>
              <w:t>回顾过去的绩效：与自身基准年排放或基准线排放水平对比后，主张在过去一段时间内实现减缓气候变化行动成效的量化表达。</w:t>
            </w:r>
          </w:p>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黑体" w:hAnsi="黑体" w:eastAsia="黑体"/>
                <w:sz w:val="18"/>
                <w:szCs w:val="18"/>
                <w:highlight w:val="none"/>
              </w:rPr>
              <w:t>示例5：</w:t>
            </w:r>
            <w:r>
              <w:rPr>
                <w:rFonts w:hint="eastAsia" w:ascii="宋体" w:hAnsi="宋体"/>
                <w:sz w:val="18"/>
                <w:szCs w:val="18"/>
                <w:highlight w:val="none"/>
              </w:rPr>
              <w:t>过去3年间企业碳排放减少了10%。</w:t>
            </w:r>
          </w:p>
        </w:tc>
        <w:tc>
          <w:tcPr>
            <w:tcW w:w="4246" w:type="dxa"/>
            <w:tcBorders>
              <w:top w:val="single" w:color="auto" w:sz="6" w:space="0"/>
              <w:left w:val="single" w:color="auto" w:sz="6" w:space="0"/>
              <w:bottom w:val="single" w:color="auto" w:sz="6" w:space="0"/>
            </w:tcBorders>
            <w:vAlign w:val="center"/>
          </w:tcPr>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宋体" w:hAnsi="宋体"/>
                <w:sz w:val="18"/>
                <w:szCs w:val="18"/>
                <w:highlight w:val="none"/>
              </w:rPr>
              <w:t>面向将来的绩效：与自身基准年排放或基准线排放水平对比后，计划在将来一段时间内实现减缓气候变化行动成效的量化表达。</w:t>
            </w:r>
          </w:p>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黑体" w:hAnsi="黑体" w:eastAsia="黑体"/>
                <w:sz w:val="18"/>
                <w:szCs w:val="18"/>
                <w:highlight w:val="none"/>
              </w:rPr>
              <w:t>示例6：</w:t>
            </w:r>
            <w:r>
              <w:rPr>
                <w:rFonts w:hint="eastAsia" w:ascii="宋体" w:hAnsi="宋体"/>
                <w:sz w:val="18"/>
                <w:szCs w:val="18"/>
                <w:highlight w:val="none"/>
              </w:rPr>
              <w:t>将在将来10年内将企业排放减少10%。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988" w:type="dxa"/>
            <w:tcBorders>
              <w:top w:val="single" w:color="auto" w:sz="6" w:space="0"/>
              <w:bottom w:val="single" w:color="auto" w:sz="8" w:space="0"/>
              <w:right w:val="single" w:color="auto" w:sz="6" w:space="0"/>
            </w:tcBorders>
            <w:vAlign w:val="center"/>
          </w:tcPr>
          <w:p>
            <w:pPr>
              <w:ind w:left="181" w:leftChars="86"/>
              <w:jc w:val="center"/>
              <w:rPr>
                <w:rFonts w:ascii="宋体"/>
                <w:highlight w:val="none"/>
              </w:rPr>
            </w:pPr>
            <w:r>
              <w:rPr>
                <w:rFonts w:ascii="宋体" w:hAnsi="宋体"/>
                <w:sz w:val="18"/>
                <w:szCs w:val="18"/>
                <w:highlight w:val="none"/>
              </w:rPr>
              <w:t>特性类</w:t>
            </w:r>
          </w:p>
        </w:tc>
        <w:tc>
          <w:tcPr>
            <w:tcW w:w="4110" w:type="dxa"/>
            <w:tcBorders>
              <w:top w:val="single" w:color="auto" w:sz="6" w:space="0"/>
              <w:left w:val="single" w:color="auto" w:sz="6" w:space="0"/>
              <w:bottom w:val="single" w:color="auto" w:sz="8" w:space="0"/>
              <w:right w:val="single" w:color="auto" w:sz="6" w:space="0"/>
            </w:tcBorders>
            <w:vAlign w:val="center"/>
          </w:tcPr>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宋体" w:hAnsi="宋体"/>
                <w:sz w:val="18"/>
                <w:szCs w:val="18"/>
                <w:highlight w:val="none"/>
              </w:rPr>
              <w:t>回顾过去的特性：与其他对象既有水平比较，或已经满足特定标准而体现出的、或具备的优势的定性表达。</w:t>
            </w:r>
          </w:p>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黑体" w:hAnsi="黑体" w:eastAsia="黑体"/>
                <w:sz w:val="18"/>
                <w:szCs w:val="18"/>
                <w:highlight w:val="none"/>
              </w:rPr>
              <w:t>示例7：</w:t>
            </w:r>
            <w:r>
              <w:rPr>
                <w:rFonts w:hint="eastAsia" w:ascii="宋体" w:hAnsi="宋体"/>
                <w:sz w:val="18"/>
                <w:szCs w:val="18"/>
                <w:highlight w:val="none"/>
              </w:rPr>
              <w:t>已经达成碳中和/净零排放状态，或成为符合特定标准的低碳产品。</w:t>
            </w:r>
          </w:p>
        </w:tc>
        <w:tc>
          <w:tcPr>
            <w:tcW w:w="4246" w:type="dxa"/>
            <w:tcBorders>
              <w:top w:val="single" w:color="auto" w:sz="6" w:space="0"/>
              <w:left w:val="single" w:color="auto" w:sz="6" w:space="0"/>
              <w:bottom w:val="single" w:color="auto" w:sz="8" w:space="0"/>
            </w:tcBorders>
            <w:vAlign w:val="center"/>
          </w:tcPr>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宋体" w:hAnsi="宋体"/>
                <w:sz w:val="18"/>
                <w:szCs w:val="18"/>
                <w:highlight w:val="none"/>
              </w:rPr>
              <w:t>面向将来的特性：与其他对象既有或潜在水平比较，或将能满足特定标准而体现出的、或具备的优势的定性表达。</w:t>
            </w:r>
          </w:p>
          <w:p>
            <w:pPr>
              <w:tabs>
                <w:tab w:val="center" w:pos="4201"/>
                <w:tab w:val="right" w:leader="dot" w:pos="9298"/>
              </w:tabs>
              <w:autoSpaceDE w:val="0"/>
              <w:autoSpaceDN w:val="0"/>
              <w:ind w:left="181" w:leftChars="86"/>
              <w:jc w:val="left"/>
              <w:rPr>
                <w:rFonts w:ascii="宋体" w:hAnsi="宋体"/>
                <w:sz w:val="18"/>
                <w:szCs w:val="18"/>
                <w:highlight w:val="none"/>
              </w:rPr>
            </w:pPr>
            <w:r>
              <w:rPr>
                <w:rFonts w:hint="eastAsia" w:ascii="黑体" w:hAnsi="黑体" w:eastAsia="黑体"/>
                <w:sz w:val="18"/>
                <w:szCs w:val="18"/>
                <w:highlight w:val="none"/>
              </w:rPr>
              <w:t>示例8：</w:t>
            </w:r>
            <w:r>
              <w:rPr>
                <w:rFonts w:hint="eastAsia" w:ascii="宋体" w:hAnsi="宋体"/>
                <w:sz w:val="18"/>
                <w:szCs w:val="18"/>
                <w:highlight w:val="none"/>
              </w:rPr>
              <w:t>将在将来10年内达到碳中和/净零排放状态，或成为符合特定标准的低碳产品。</w:t>
            </w:r>
          </w:p>
        </w:tc>
      </w:tr>
    </w:tbl>
    <w:p>
      <w:pPr>
        <w:pStyle w:val="3"/>
        <w:spacing w:before="120" w:beforeLines="50" w:after="120" w:afterLines="50" w:line="240" w:lineRule="auto"/>
        <w:rPr>
          <w:rFonts w:ascii="黑体" w:hAnsi="黑体" w:eastAsia="黑体"/>
          <w:b w:val="0"/>
          <w:sz w:val="21"/>
          <w:szCs w:val="21"/>
          <w:highlight w:val="none"/>
        </w:rPr>
      </w:pPr>
      <w:bookmarkStart w:id="30" w:name="_Toc166611375"/>
      <w:bookmarkStart w:id="31" w:name="heading_44"/>
      <w:r>
        <w:rPr>
          <w:rFonts w:ascii="黑体" w:hAnsi="黑体" w:eastAsia="黑体"/>
          <w:b w:val="0"/>
          <w:sz w:val="21"/>
          <w:szCs w:val="21"/>
          <w:highlight w:val="none"/>
        </w:rPr>
        <w:t>5.</w:t>
      </w:r>
      <w:r>
        <w:rPr>
          <w:rFonts w:hint="eastAsia" w:ascii="黑体" w:hAnsi="黑体" w:eastAsia="黑体"/>
          <w:b w:val="0"/>
          <w:sz w:val="21"/>
          <w:szCs w:val="21"/>
          <w:highlight w:val="none"/>
          <w:lang w:val="en-US" w:eastAsia="zh-CN"/>
        </w:rPr>
        <w:t>3</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披露与声明情形</w:t>
      </w:r>
      <w:bookmarkEnd w:id="30"/>
      <w:bookmarkEnd w:id="31"/>
    </w:p>
    <w:p>
      <w:pPr>
        <w:spacing w:before="156" w:beforeLines="50" w:after="156" w:afterLines="50"/>
        <w:rPr>
          <w:rFonts w:ascii="黑体" w:hAnsi="黑体" w:eastAsia="黑体"/>
          <w:highlight w:val="none"/>
        </w:rPr>
      </w:pPr>
      <w:r>
        <w:rPr>
          <w:rFonts w:ascii="黑体" w:hAnsi="黑体" w:eastAsia="黑体"/>
          <w:highlight w:val="none"/>
        </w:rPr>
        <w:t>5.</w:t>
      </w:r>
      <w:r>
        <w:rPr>
          <w:rFonts w:hint="eastAsia" w:ascii="黑体" w:hAnsi="黑体" w:eastAsia="黑体"/>
          <w:highlight w:val="none"/>
          <w:lang w:val="en-US" w:eastAsia="zh-CN"/>
        </w:rPr>
        <w:t>3</w:t>
      </w:r>
      <w:r>
        <w:rPr>
          <w:rFonts w:ascii="黑体" w:hAnsi="黑体" w:eastAsia="黑体"/>
          <w:highlight w:val="none"/>
        </w:rPr>
        <w:t xml:space="preserve">.1 </w:t>
      </w:r>
      <w:r>
        <w:rPr>
          <w:rFonts w:hint="eastAsia" w:ascii="黑体" w:hAnsi="黑体" w:eastAsia="黑体"/>
          <w:highlight w:val="none"/>
        </w:rPr>
        <w:t>面向消费市场或一般大众的公开披露</w:t>
      </w:r>
    </w:p>
    <w:p>
      <w:pPr>
        <w:ind w:firstLine="420"/>
        <w:rPr>
          <w:rFonts w:ascii="宋体" w:hAnsi="宋体"/>
          <w:highlight w:val="none"/>
        </w:rPr>
      </w:pPr>
      <w:r>
        <w:rPr>
          <w:rFonts w:hint="eastAsia" w:ascii="宋体" w:hAnsi="宋体"/>
          <w:highlight w:val="none"/>
        </w:rPr>
        <w:t>企业向社会大众公开有关其碳排放和与气候变化相关的信息的做法。这种披露旨在提供透明度，让公众了解企业在缓解气候变化方面的表现和承诺，回应社会期望并展示其在气候责任方面的努力，也包括企业通过商业广告、公共传媒、企业宣传册或产品包装披露企业、产品或服务相关的碳信息。</w:t>
      </w:r>
    </w:p>
    <w:p>
      <w:pPr>
        <w:ind w:left="453"/>
        <w:rPr>
          <w:rStyle w:val="181"/>
          <w:highlight w:val="none"/>
        </w:rPr>
      </w:pPr>
      <w:r>
        <w:rPr>
          <w:rStyle w:val="181"/>
          <w:rFonts w:hint="eastAsia" w:ascii="黑体" w:hAnsi="黑体"/>
          <w:highlight w:val="none"/>
        </w:rPr>
        <w:t>示例</w:t>
      </w:r>
      <w:r>
        <w:rPr>
          <w:rStyle w:val="181"/>
          <w:rFonts w:ascii="黑体" w:hAnsi="黑体"/>
          <w:highlight w:val="none"/>
        </w:rPr>
        <w:t>1</w:t>
      </w:r>
      <w:r>
        <w:rPr>
          <w:rStyle w:val="181"/>
          <w:rFonts w:hint="eastAsia" w:ascii="黑体" w:hAnsi="黑体"/>
          <w:highlight w:val="none"/>
        </w:rPr>
        <w:t>：</w:t>
      </w:r>
      <w:r>
        <w:rPr>
          <w:rStyle w:val="181"/>
          <w:rFonts w:hint="eastAsia" w:ascii="宋体" w:hAnsi="宋体" w:eastAsia="宋体"/>
          <w:highlight w:val="none"/>
        </w:rPr>
        <w:t>企业在广告和宣传物料中披露与其产品或服务相关的碳足迹信息，例如绿色产品声明。</w:t>
      </w:r>
    </w:p>
    <w:p>
      <w:pPr>
        <w:ind w:left="453"/>
        <w:rPr>
          <w:rFonts w:ascii="黑体" w:hAnsi="黑体" w:eastAsia="黑体"/>
          <w:highlight w:val="none"/>
        </w:rPr>
      </w:pPr>
      <w:r>
        <w:rPr>
          <w:rStyle w:val="181"/>
          <w:rFonts w:hint="eastAsia" w:ascii="黑体" w:hAnsi="黑体"/>
          <w:highlight w:val="none"/>
        </w:rPr>
        <w:t>示例2：</w:t>
      </w:r>
      <w:r>
        <w:rPr>
          <w:rStyle w:val="181"/>
          <w:rFonts w:hint="eastAsia" w:ascii="宋体" w:hAnsi="宋体" w:eastAsia="宋体"/>
          <w:highlight w:val="none"/>
        </w:rPr>
        <w:t>企业在宣传材料中将</w:t>
      </w:r>
      <w:r>
        <w:rPr>
          <w:rStyle w:val="181"/>
          <w:rFonts w:hint="eastAsia" w:ascii="宋体" w:hAnsi="宋体"/>
          <w:highlight w:val="none"/>
          <w:lang w:val="en-US" w:eastAsia="zh-CN"/>
        </w:rPr>
        <w:t>其</w:t>
      </w:r>
      <w:r>
        <w:rPr>
          <w:rStyle w:val="181"/>
          <w:rFonts w:hint="eastAsia" w:ascii="宋体" w:hAnsi="宋体" w:eastAsia="宋体"/>
          <w:highlight w:val="none"/>
        </w:rPr>
        <w:t>工厂描述为“零碳工厂”。</w:t>
      </w:r>
    </w:p>
    <w:p>
      <w:pPr>
        <w:spacing w:before="156" w:beforeLines="50" w:after="156" w:afterLines="50"/>
        <w:rPr>
          <w:rFonts w:ascii="黑体" w:hAnsi="黑体" w:eastAsia="黑体"/>
          <w:highlight w:val="none"/>
        </w:rPr>
      </w:pPr>
      <w:r>
        <w:rPr>
          <w:rFonts w:ascii="黑体" w:hAnsi="黑体" w:eastAsia="黑体"/>
          <w:highlight w:val="none"/>
        </w:rPr>
        <w:t>5.</w:t>
      </w:r>
      <w:r>
        <w:rPr>
          <w:rFonts w:hint="eastAsia" w:ascii="黑体" w:hAnsi="黑体" w:eastAsia="黑体"/>
          <w:highlight w:val="none"/>
          <w:lang w:val="en-US" w:eastAsia="zh-CN"/>
        </w:rPr>
        <w:t>3</w:t>
      </w:r>
      <w:r>
        <w:rPr>
          <w:rFonts w:ascii="黑体" w:hAnsi="黑体" w:eastAsia="黑体"/>
          <w:highlight w:val="none"/>
        </w:rPr>
        <w:t xml:space="preserve">.2 </w:t>
      </w:r>
      <w:r>
        <w:rPr>
          <w:rFonts w:hint="eastAsia" w:ascii="黑体" w:hAnsi="黑体" w:eastAsia="黑体"/>
          <w:highlight w:val="none"/>
        </w:rPr>
        <w:t>面向资本市场或特定利益相关方的公开披露</w:t>
      </w:r>
    </w:p>
    <w:p>
      <w:pPr>
        <w:ind w:firstLine="420"/>
        <w:rPr>
          <w:rFonts w:ascii="宋体" w:hAnsi="宋体"/>
          <w:highlight w:val="none"/>
        </w:rPr>
      </w:pPr>
      <w:r>
        <w:rPr>
          <w:rFonts w:hint="eastAsia" w:ascii="宋体" w:hAnsi="宋体"/>
          <w:highlight w:val="none"/>
        </w:rPr>
        <w:t>企业在公开披露其有关可持续发展的非财务信息，并包含碳信息的情形。这种披露旨在向投资者、利益相关方和公众传达企业在应对气候变化方面的承诺、策略、行动和绩效。</w:t>
      </w:r>
    </w:p>
    <w:p>
      <w:pPr>
        <w:ind w:left="453"/>
        <w:rPr>
          <w:rFonts w:ascii="宋体" w:hAnsi="宋体"/>
          <w:highlight w:val="none"/>
        </w:rPr>
      </w:pPr>
      <w:r>
        <w:rPr>
          <w:rStyle w:val="181"/>
          <w:rFonts w:hint="eastAsia"/>
          <w:highlight w:val="none"/>
        </w:rPr>
        <w:t>示例：</w:t>
      </w:r>
      <w:r>
        <w:rPr>
          <w:rStyle w:val="181"/>
          <w:rFonts w:hint="eastAsia" w:ascii="宋体" w:hAnsi="宋体" w:eastAsia="宋体"/>
          <w:highlight w:val="none"/>
        </w:rPr>
        <w:t>企业在其企业社会责任报告（</w:t>
      </w:r>
      <w:r>
        <w:rPr>
          <w:rStyle w:val="181"/>
          <w:rFonts w:eastAsia="宋体"/>
          <w:highlight w:val="none"/>
        </w:rPr>
        <w:t>CSR</w:t>
      </w:r>
      <w:r>
        <w:rPr>
          <w:rStyle w:val="181"/>
          <w:rFonts w:hint="eastAsia" w:ascii="宋体" w:hAnsi="宋体" w:eastAsia="宋体"/>
          <w:highlight w:val="none"/>
        </w:rPr>
        <w:t>）或环境、社会与治理（</w:t>
      </w:r>
      <w:r>
        <w:rPr>
          <w:rStyle w:val="181"/>
          <w:rFonts w:eastAsia="宋体"/>
          <w:highlight w:val="none"/>
        </w:rPr>
        <w:t>ESG</w:t>
      </w:r>
      <w:r>
        <w:rPr>
          <w:rStyle w:val="181"/>
          <w:rFonts w:hint="eastAsia" w:ascii="宋体" w:hAnsi="宋体" w:eastAsia="宋体"/>
          <w:highlight w:val="none"/>
        </w:rPr>
        <w:t>）报告、可持续发展报告以及其他类似信息披露途径中披露与碳相关的信息。</w:t>
      </w:r>
    </w:p>
    <w:p>
      <w:pPr>
        <w:spacing w:before="156" w:beforeLines="50" w:after="156" w:afterLines="50"/>
        <w:rPr>
          <w:rFonts w:ascii="黑体" w:hAnsi="黑体" w:eastAsia="黑体"/>
          <w:highlight w:val="none"/>
        </w:rPr>
      </w:pPr>
      <w:r>
        <w:rPr>
          <w:rFonts w:ascii="黑体" w:hAnsi="黑体" w:eastAsia="黑体"/>
          <w:highlight w:val="none"/>
        </w:rPr>
        <w:t>5.</w:t>
      </w:r>
      <w:r>
        <w:rPr>
          <w:rFonts w:hint="eastAsia" w:ascii="黑体" w:hAnsi="黑体" w:eastAsia="黑体"/>
          <w:highlight w:val="none"/>
          <w:lang w:val="en-US" w:eastAsia="zh-CN"/>
        </w:rPr>
        <w:t>3</w:t>
      </w:r>
      <w:r>
        <w:rPr>
          <w:rFonts w:ascii="黑体" w:hAnsi="黑体" w:eastAsia="黑体"/>
          <w:highlight w:val="none"/>
        </w:rPr>
        <w:t xml:space="preserve">.3 </w:t>
      </w:r>
      <w:r>
        <w:rPr>
          <w:rFonts w:hint="eastAsia" w:ascii="黑体" w:hAnsi="黑体" w:eastAsia="黑体"/>
          <w:highlight w:val="none"/>
        </w:rPr>
        <w:t>面向商业活动特定对象的正式非公开披露</w:t>
      </w:r>
    </w:p>
    <w:p>
      <w:pPr>
        <w:ind w:firstLine="420"/>
        <w:rPr>
          <w:rFonts w:ascii="黑体" w:hAnsi="黑体" w:eastAsia="黑体"/>
          <w:highlight w:val="none"/>
        </w:rPr>
      </w:pPr>
      <w:r>
        <w:rPr>
          <w:rFonts w:hint="eastAsia" w:ascii="宋体" w:hAnsi="宋体"/>
          <w:highlight w:val="none"/>
        </w:rPr>
        <w:t>企业在寻求签署交易协议或达成商业交易的活动中，面向交易对象或其他相关方披露碳相关信息并做出声明，包括企业为满足客户要求，在供货方案、服务协议中以保证、承诺等方式披露的企业、产品或服务相关的碳信息。</w:t>
      </w:r>
    </w:p>
    <w:p>
      <w:pPr>
        <w:ind w:left="453"/>
        <w:rPr>
          <w:rStyle w:val="181"/>
          <w:rFonts w:ascii="宋体" w:hAnsi="宋体" w:eastAsia="宋体"/>
          <w:highlight w:val="none"/>
        </w:rPr>
      </w:pPr>
      <w:r>
        <w:rPr>
          <w:rStyle w:val="181"/>
          <w:rFonts w:hint="eastAsia"/>
          <w:highlight w:val="none"/>
        </w:rPr>
        <w:t>示例</w:t>
      </w:r>
      <w:r>
        <w:rPr>
          <w:rStyle w:val="181"/>
          <w:rFonts w:ascii="黑体" w:hAnsi="黑体"/>
          <w:highlight w:val="none"/>
        </w:rPr>
        <w:t>1</w:t>
      </w:r>
      <w:r>
        <w:rPr>
          <w:rStyle w:val="181"/>
          <w:rFonts w:hint="eastAsia" w:ascii="黑体" w:hAnsi="黑体"/>
          <w:highlight w:val="none"/>
        </w:rPr>
        <w:t>：</w:t>
      </w:r>
      <w:r>
        <w:rPr>
          <w:rStyle w:val="181"/>
          <w:rFonts w:hint="eastAsia" w:ascii="宋体" w:hAnsi="宋体" w:eastAsia="宋体"/>
          <w:highlight w:val="none"/>
        </w:rPr>
        <w:t>企业在</w:t>
      </w:r>
      <w:r>
        <w:rPr>
          <w:rStyle w:val="181"/>
          <w:rFonts w:eastAsia="宋体"/>
          <w:highlight w:val="none"/>
        </w:rPr>
        <w:t>交易活动附带的披露情形，如供应商竞标、合同签署或其他商业谈判</w:t>
      </w:r>
      <w:r>
        <w:rPr>
          <w:rStyle w:val="181"/>
          <w:rFonts w:hint="eastAsia" w:eastAsia="宋体"/>
          <w:highlight w:val="none"/>
        </w:rPr>
        <w:t>中</w:t>
      </w:r>
      <w:r>
        <w:rPr>
          <w:rStyle w:val="181"/>
          <w:rFonts w:hint="eastAsia" w:ascii="宋体" w:hAnsi="宋体" w:eastAsia="宋体"/>
          <w:highlight w:val="none"/>
        </w:rPr>
        <w:t>向客户提供的产品碳足迹信息、企业碳排放信息。</w:t>
      </w:r>
    </w:p>
    <w:p>
      <w:pPr>
        <w:ind w:left="453"/>
        <w:rPr>
          <w:rFonts w:ascii="宋体" w:hAnsi="宋体"/>
          <w:sz w:val="18"/>
          <w:highlight w:val="none"/>
        </w:rPr>
      </w:pPr>
      <w:r>
        <w:rPr>
          <w:rStyle w:val="181"/>
          <w:rFonts w:hint="eastAsia"/>
          <w:highlight w:val="none"/>
        </w:rPr>
        <w:t>示例</w:t>
      </w:r>
      <w:r>
        <w:rPr>
          <w:rStyle w:val="181"/>
          <w:rFonts w:ascii="黑体" w:hAnsi="黑体"/>
          <w:highlight w:val="none"/>
        </w:rPr>
        <w:t>2</w:t>
      </w:r>
      <w:r>
        <w:rPr>
          <w:rStyle w:val="181"/>
          <w:rFonts w:hint="eastAsia" w:ascii="黑体" w:hAnsi="黑体"/>
          <w:highlight w:val="none"/>
        </w:rPr>
        <w:t>：</w:t>
      </w:r>
      <w:r>
        <w:rPr>
          <w:rStyle w:val="181"/>
          <w:rFonts w:hint="eastAsia" w:ascii="宋体" w:hAnsi="宋体" w:eastAsia="宋体"/>
          <w:highlight w:val="none"/>
        </w:rPr>
        <w:t>企业在产品说明中陈述，其已经抵消了用户使用过程一定数量的碳足迹。</w:t>
      </w:r>
    </w:p>
    <w:p>
      <w:pPr>
        <w:pStyle w:val="2"/>
        <w:spacing w:before="120" w:beforeLines="100" w:after="120" w:afterLines="100" w:line="240" w:lineRule="auto"/>
        <w:rPr>
          <w:rFonts w:ascii="黑体" w:hAnsi="黑体" w:eastAsia="黑体"/>
          <w:b w:val="0"/>
          <w:sz w:val="21"/>
          <w:szCs w:val="21"/>
          <w:highlight w:val="none"/>
        </w:rPr>
      </w:pPr>
      <w:bookmarkStart w:id="32" w:name="heading_45"/>
      <w:bookmarkStart w:id="33" w:name="_Toc166611376"/>
      <w:r>
        <w:rPr>
          <w:rFonts w:ascii="黑体" w:hAnsi="黑体" w:eastAsia="黑体"/>
          <w:b w:val="0"/>
          <w:sz w:val="21"/>
          <w:szCs w:val="21"/>
          <w:highlight w:val="none"/>
        </w:rPr>
        <w:t xml:space="preserve">6. </w:t>
      </w:r>
      <w:r>
        <w:rPr>
          <w:rFonts w:hint="eastAsia" w:ascii="黑体" w:hAnsi="黑体" w:eastAsia="黑体"/>
          <w:b w:val="0"/>
          <w:sz w:val="21"/>
          <w:szCs w:val="21"/>
          <w:highlight w:val="none"/>
        </w:rPr>
        <w:t>碳信息披露合规要求</w:t>
      </w:r>
      <w:bookmarkEnd w:id="32"/>
      <w:bookmarkEnd w:id="33"/>
    </w:p>
    <w:p>
      <w:pPr>
        <w:pStyle w:val="3"/>
        <w:spacing w:before="120" w:after="120"/>
        <w:rPr>
          <w:rFonts w:ascii="黑体" w:hAnsi="黑体" w:eastAsia="黑体"/>
          <w:b w:val="0"/>
          <w:sz w:val="21"/>
          <w:szCs w:val="21"/>
          <w:highlight w:val="none"/>
        </w:rPr>
      </w:pPr>
      <w:bookmarkStart w:id="34" w:name="heading_46"/>
      <w:bookmarkStart w:id="35" w:name="_Toc166611377"/>
      <w:r>
        <w:rPr>
          <w:rFonts w:ascii="黑体" w:hAnsi="黑体" w:eastAsia="黑体"/>
          <w:b w:val="0"/>
          <w:sz w:val="21"/>
          <w:szCs w:val="21"/>
          <w:highlight w:val="none"/>
        </w:rPr>
        <w:t xml:space="preserve">6.1 </w:t>
      </w:r>
      <w:r>
        <w:rPr>
          <w:rFonts w:hint="eastAsia" w:ascii="黑体" w:hAnsi="黑体" w:eastAsia="黑体"/>
          <w:b w:val="0"/>
          <w:sz w:val="21"/>
          <w:szCs w:val="21"/>
          <w:highlight w:val="none"/>
        </w:rPr>
        <w:t>合规要求</w:t>
      </w:r>
      <w:bookmarkEnd w:id="34"/>
      <w:bookmarkEnd w:id="35"/>
    </w:p>
    <w:p>
      <w:pPr>
        <w:ind w:firstLine="360"/>
        <w:rPr>
          <w:highlight w:val="none"/>
        </w:rPr>
      </w:pPr>
      <w:r>
        <w:rPr>
          <w:rFonts w:hint="eastAsia"/>
          <w:highlight w:val="none"/>
        </w:rPr>
        <w:t>企业</w:t>
      </w:r>
      <w:r>
        <w:rPr>
          <w:b/>
          <w:highlight w:val="none"/>
        </w:rPr>
        <w:t>应</w:t>
      </w:r>
      <w:r>
        <w:rPr>
          <w:rFonts w:hint="eastAsia"/>
          <w:bCs/>
          <w:highlight w:val="none"/>
        </w:rPr>
        <w:t>充分</w:t>
      </w:r>
      <w:r>
        <w:rPr>
          <w:rFonts w:hint="eastAsia"/>
          <w:highlight w:val="none"/>
        </w:rPr>
        <w:t>理解其披露信息含义，</w:t>
      </w:r>
      <w:r>
        <w:rPr>
          <w:b/>
          <w:highlight w:val="none"/>
        </w:rPr>
        <w:t>应</w:t>
      </w:r>
      <w:r>
        <w:rPr>
          <w:rFonts w:hint="eastAsia"/>
          <w:highlight w:val="none"/>
        </w:rPr>
        <w:t>尽力遵循适用的有关标准要求，向利益相关方、监管机构和公众提供准确、透明和全面的碳信息，并</w:t>
      </w:r>
      <w:r>
        <w:rPr>
          <w:rFonts w:hint="eastAsia"/>
          <w:b/>
          <w:bCs/>
          <w:highlight w:val="none"/>
        </w:rPr>
        <w:t>应</w:t>
      </w:r>
      <w:r>
        <w:rPr>
          <w:rFonts w:hint="eastAsia"/>
          <w:highlight w:val="none"/>
        </w:rPr>
        <w:t>尽力避免进行不公允或无实质意义的比较，</w:t>
      </w:r>
      <w:r>
        <w:rPr>
          <w:rFonts w:hint="eastAsia"/>
          <w:b/>
          <w:bCs/>
          <w:highlight w:val="none"/>
        </w:rPr>
        <w:t>应</w:t>
      </w:r>
      <w:r>
        <w:rPr>
          <w:rFonts w:hint="eastAsia"/>
          <w:highlight w:val="none"/>
        </w:rPr>
        <w:t>避免做出选择性的、虚假或具有误导性的披露。</w:t>
      </w:r>
    </w:p>
    <w:p>
      <w:pPr>
        <w:pStyle w:val="3"/>
        <w:spacing w:before="120" w:after="120"/>
        <w:rPr>
          <w:rFonts w:ascii="黑体" w:hAnsi="黑体" w:eastAsia="黑体"/>
          <w:b w:val="0"/>
          <w:sz w:val="21"/>
          <w:szCs w:val="21"/>
          <w:highlight w:val="none"/>
        </w:rPr>
      </w:pPr>
      <w:bookmarkStart w:id="36" w:name="_Toc166611378"/>
      <w:r>
        <w:rPr>
          <w:rFonts w:ascii="黑体" w:hAnsi="黑体" w:eastAsia="黑体"/>
          <w:b w:val="0"/>
          <w:sz w:val="21"/>
          <w:szCs w:val="21"/>
          <w:highlight w:val="none"/>
        </w:rPr>
        <w:t>6.2 披露主体</w:t>
      </w:r>
      <w:bookmarkEnd w:id="36"/>
    </w:p>
    <w:p>
      <w:pPr>
        <w:rPr>
          <w:highlight w:val="none"/>
        </w:rPr>
      </w:pPr>
      <w:r>
        <w:rPr>
          <w:rFonts w:ascii="黑体" w:hAnsi="黑体" w:eastAsia="黑体"/>
          <w:highlight w:val="none"/>
        </w:rPr>
        <w:t xml:space="preserve">6.2.1 </w:t>
      </w:r>
      <w:r>
        <w:rPr>
          <w:rFonts w:hint="eastAsia"/>
          <w:highlight w:val="none"/>
        </w:rPr>
        <w:t>在披露信息前，披露主体</w:t>
      </w:r>
      <w:r>
        <w:rPr>
          <w:rFonts w:hint="eastAsia"/>
          <w:b/>
          <w:highlight w:val="none"/>
        </w:rPr>
        <w:t>应</w:t>
      </w:r>
      <w:r>
        <w:rPr>
          <w:rFonts w:hint="eastAsia"/>
          <w:highlight w:val="none"/>
        </w:rPr>
        <w:t>确保披露信息的有效性，</w:t>
      </w:r>
      <w:r>
        <w:rPr>
          <w:rFonts w:hint="eastAsia"/>
          <w:b/>
          <w:bCs/>
          <w:highlight w:val="none"/>
        </w:rPr>
        <w:t>应</w:t>
      </w:r>
      <w:r>
        <w:rPr>
          <w:rFonts w:hint="eastAsia"/>
          <w:highlight w:val="none"/>
        </w:rPr>
        <w:t>具备以下条件：</w:t>
      </w:r>
    </w:p>
    <w:p>
      <w:pPr>
        <w:pStyle w:val="175"/>
        <w:numPr>
          <w:ilvl w:val="0"/>
          <w:numId w:val="21"/>
        </w:numPr>
        <w:ind w:firstLineChars="0"/>
        <w:rPr>
          <w:rFonts w:asciiTheme="minorEastAsia" w:hAnsiTheme="minorEastAsia" w:eastAsiaTheme="minorEastAsia"/>
          <w:highlight w:val="none"/>
        </w:rPr>
      </w:pPr>
      <w:r>
        <w:rPr>
          <w:rFonts w:hint="eastAsia" w:asciiTheme="minorEastAsia" w:hAnsiTheme="minorEastAsia" w:eastAsiaTheme="minorEastAsia"/>
          <w:highlight w:val="none"/>
        </w:rPr>
        <w:t>披露信息能代表企业高级管理层特别是董事会</w:t>
      </w:r>
      <w:r>
        <w:rPr>
          <w:rFonts w:asciiTheme="minorEastAsia" w:hAnsiTheme="minorEastAsia" w:eastAsiaTheme="minorEastAsia"/>
          <w:highlight w:val="none"/>
        </w:rPr>
        <w:t xml:space="preserve"> / </w:t>
      </w:r>
      <w:r>
        <w:rPr>
          <w:rFonts w:hint="eastAsia" w:asciiTheme="minorEastAsia" w:hAnsiTheme="minorEastAsia" w:eastAsiaTheme="minorEastAsia"/>
          <w:highlight w:val="none"/>
        </w:rPr>
        <w:t>首席执行官层面的决定；</w:t>
      </w:r>
    </w:p>
    <w:p>
      <w:pPr>
        <w:pStyle w:val="175"/>
        <w:numPr>
          <w:ilvl w:val="0"/>
          <w:numId w:val="21"/>
        </w:numPr>
        <w:ind w:firstLineChars="0"/>
        <w:rPr>
          <w:rFonts w:asciiTheme="minorEastAsia" w:hAnsiTheme="minorEastAsia" w:eastAsiaTheme="minorEastAsia"/>
          <w:highlight w:val="none"/>
        </w:rPr>
      </w:pPr>
      <w:r>
        <w:rPr>
          <w:rFonts w:hint="eastAsia" w:asciiTheme="minorEastAsia" w:hAnsiTheme="minorEastAsia" w:eastAsiaTheme="minorEastAsia"/>
          <w:highlight w:val="none"/>
        </w:rPr>
        <w:t>拥有验证其回顾过去的信息的能力，和</w:t>
      </w:r>
      <w:r>
        <w:rPr>
          <w:rFonts w:asciiTheme="minorEastAsia" w:hAnsiTheme="minorEastAsia" w:eastAsiaTheme="minorEastAsia"/>
          <w:highlight w:val="none"/>
        </w:rPr>
        <w:t>/</w:t>
      </w:r>
      <w:r>
        <w:rPr>
          <w:rFonts w:hint="eastAsia" w:asciiTheme="minorEastAsia" w:hAnsiTheme="minorEastAsia" w:eastAsiaTheme="minorEastAsia"/>
          <w:highlight w:val="none"/>
        </w:rPr>
        <w:t>或实现其面向将来的信息的必要资源；</w:t>
      </w:r>
    </w:p>
    <w:p>
      <w:pPr>
        <w:pStyle w:val="175"/>
        <w:numPr>
          <w:ilvl w:val="0"/>
          <w:numId w:val="21"/>
        </w:numPr>
        <w:ind w:firstLineChars="0"/>
        <w:rPr>
          <w:rFonts w:asciiTheme="minorEastAsia" w:hAnsiTheme="minorEastAsia" w:eastAsiaTheme="minorEastAsia"/>
          <w:highlight w:val="none"/>
        </w:rPr>
      </w:pPr>
      <w:r>
        <w:rPr>
          <w:rFonts w:hint="eastAsia" w:asciiTheme="minorEastAsia" w:hAnsiTheme="minorEastAsia" w:eastAsiaTheme="minorEastAsia"/>
          <w:highlight w:val="none"/>
        </w:rPr>
        <w:t>有计划或已完成企业内部、价值链成员和其他利益相关者沟通，并知晓披露信息对减缓气候变化的意义。</w:t>
      </w:r>
    </w:p>
    <w:p>
      <w:pPr>
        <w:pStyle w:val="175"/>
        <w:widowControl/>
        <w:numPr>
          <w:ilvl w:val="2"/>
          <w:numId w:val="22"/>
        </w:numPr>
        <w:spacing w:before="156" w:beforeLines="50"/>
        <w:ind w:firstLineChars="0"/>
        <w:jc w:val="left"/>
        <w:rPr>
          <w:rFonts w:ascii="宋体" w:hAnsi="宋体"/>
          <w:highlight w:val="none"/>
        </w:rPr>
      </w:pPr>
      <w:r>
        <w:rPr>
          <w:rFonts w:hint="eastAsia" w:ascii="宋体" w:hAnsi="宋体"/>
          <w:highlight w:val="none"/>
        </w:rPr>
        <w:t>在披露信息后，企业</w:t>
      </w:r>
      <w:r>
        <w:rPr>
          <w:rFonts w:hint="eastAsia" w:ascii="宋体" w:hAnsi="宋体"/>
          <w:b/>
          <w:bCs/>
          <w:highlight w:val="none"/>
        </w:rPr>
        <w:t>宜</w:t>
      </w:r>
      <w:r>
        <w:rPr>
          <w:rFonts w:hint="eastAsia" w:ascii="宋体" w:hAnsi="宋体"/>
          <w:highlight w:val="none"/>
        </w:rPr>
        <w:t>建立保障合规披露的内部管理体系，提升碳信息管理能力以及减缓气候变化的能力，包括</w:t>
      </w:r>
      <w:r>
        <w:rPr>
          <w:rFonts w:ascii="宋体" w:hAnsi="宋体"/>
          <w:highlight w:val="none"/>
        </w:rPr>
        <w:t>：</w:t>
      </w:r>
    </w:p>
    <w:p>
      <w:pPr>
        <w:pStyle w:val="175"/>
        <w:numPr>
          <w:ilvl w:val="0"/>
          <w:numId w:val="23"/>
        </w:numPr>
        <w:ind w:left="420" w:leftChars="20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企业最高管理层参与的碳信息管理组织架构；</w:t>
      </w:r>
    </w:p>
    <w:p>
      <w:pPr>
        <w:ind w:left="420"/>
        <w:rPr>
          <w:sz w:val="18"/>
          <w:szCs w:val="21"/>
          <w:highlight w:val="none"/>
        </w:rPr>
      </w:pPr>
      <w:r>
        <w:rPr>
          <w:rFonts w:hint="eastAsia" w:ascii="黑体" w:hAnsi="黑体" w:eastAsia="黑体"/>
          <w:sz w:val="18"/>
          <w:szCs w:val="21"/>
          <w:highlight w:val="none"/>
        </w:rPr>
        <w:t>注1：</w:t>
      </w:r>
      <w:r>
        <w:rPr>
          <w:rFonts w:hint="eastAsia"/>
          <w:sz w:val="18"/>
          <w:szCs w:val="21"/>
          <w:highlight w:val="none"/>
        </w:rPr>
        <w:t>可参考</w:t>
      </w:r>
      <w:r>
        <w:rPr>
          <w:sz w:val="18"/>
          <w:szCs w:val="21"/>
          <w:highlight w:val="none"/>
        </w:rPr>
        <w:t xml:space="preserve"> ISO 37301: 2021 </w:t>
      </w:r>
      <w:r>
        <w:rPr>
          <w:rFonts w:hint="eastAsia"/>
          <w:sz w:val="18"/>
          <w:szCs w:val="21"/>
          <w:highlight w:val="none"/>
        </w:rPr>
        <w:t>合规管理体系</w:t>
      </w:r>
      <w:r>
        <w:rPr>
          <w:sz w:val="18"/>
          <w:szCs w:val="21"/>
          <w:highlight w:val="none"/>
        </w:rPr>
        <w:t xml:space="preserve"> </w:t>
      </w:r>
      <w:r>
        <w:rPr>
          <w:rFonts w:hint="eastAsia"/>
          <w:sz w:val="18"/>
          <w:szCs w:val="21"/>
          <w:highlight w:val="none"/>
        </w:rPr>
        <w:t>要求及使用指南</w:t>
      </w:r>
    </w:p>
    <w:p>
      <w:pPr>
        <w:pStyle w:val="175"/>
        <w:numPr>
          <w:ilvl w:val="0"/>
          <w:numId w:val="23"/>
        </w:numPr>
        <w:ind w:left="420" w:leftChars="20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制定企业合规信息披露的行为准则；</w:t>
      </w:r>
    </w:p>
    <w:p>
      <w:pPr>
        <w:pStyle w:val="175"/>
        <w:numPr>
          <w:ilvl w:val="0"/>
          <w:numId w:val="23"/>
        </w:numPr>
        <w:ind w:left="420" w:leftChars="20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温室气体排放清单质量管理和报告体系；</w:t>
      </w:r>
    </w:p>
    <w:p>
      <w:pPr>
        <w:pStyle w:val="175"/>
        <w:numPr>
          <w:ilvl w:val="0"/>
          <w:numId w:val="23"/>
        </w:numPr>
        <w:ind w:left="420" w:leftChars="20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碳信息披露监测、跟踪与更新机制；</w:t>
      </w:r>
    </w:p>
    <w:p>
      <w:pPr>
        <w:pStyle w:val="175"/>
        <w:numPr>
          <w:ilvl w:val="0"/>
          <w:numId w:val="23"/>
        </w:numPr>
        <w:ind w:left="420" w:leftChars="20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碳信息内外部沟通、报告的流程和机制；</w:t>
      </w:r>
    </w:p>
    <w:p>
      <w:pPr>
        <w:pStyle w:val="175"/>
        <w:numPr>
          <w:ilvl w:val="0"/>
          <w:numId w:val="23"/>
        </w:numPr>
        <w:ind w:left="420" w:leftChars="20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企业自定义其他有助于提升碳信息管理与合规披露能力的举措和制度。</w:t>
      </w:r>
    </w:p>
    <w:p>
      <w:pPr>
        <w:ind w:left="420" w:leftChars="200"/>
        <w:rPr>
          <w:sz w:val="18"/>
          <w:szCs w:val="21"/>
          <w:highlight w:val="none"/>
        </w:rPr>
      </w:pPr>
      <w:r>
        <w:rPr>
          <w:rFonts w:ascii="黑体" w:hAnsi="黑体" w:eastAsia="黑体"/>
          <w:sz w:val="18"/>
          <w:szCs w:val="21"/>
          <w:highlight w:val="none"/>
        </w:rPr>
        <w:t>注2：</w:t>
      </w:r>
      <w:r>
        <w:rPr>
          <w:sz w:val="18"/>
          <w:szCs w:val="21"/>
          <w:highlight w:val="none"/>
        </w:rPr>
        <w:t>关于内部管理体系的拓展性内容</w:t>
      </w:r>
      <w:r>
        <w:rPr>
          <w:rFonts w:hint="eastAsia"/>
          <w:sz w:val="18"/>
          <w:szCs w:val="21"/>
          <w:highlight w:val="none"/>
        </w:rPr>
        <w:t>可参考附录E。</w:t>
      </w:r>
    </w:p>
    <w:p>
      <w:pPr>
        <w:pStyle w:val="3"/>
        <w:spacing w:before="120" w:after="120"/>
        <w:rPr>
          <w:rFonts w:ascii="黑体" w:hAnsi="黑体" w:eastAsia="黑体"/>
          <w:b w:val="0"/>
          <w:sz w:val="21"/>
          <w:szCs w:val="21"/>
          <w:highlight w:val="none"/>
        </w:rPr>
      </w:pPr>
      <w:bookmarkStart w:id="37" w:name="_Toc166611379"/>
      <w:bookmarkStart w:id="38" w:name="heading_48"/>
      <w:r>
        <w:rPr>
          <w:rFonts w:ascii="黑体" w:hAnsi="黑体" w:eastAsia="黑体"/>
          <w:b w:val="0"/>
          <w:sz w:val="21"/>
          <w:szCs w:val="21"/>
          <w:highlight w:val="none"/>
        </w:rPr>
        <w:t>6.</w:t>
      </w:r>
      <w:r>
        <w:rPr>
          <w:rFonts w:hint="eastAsia" w:ascii="黑体" w:hAnsi="黑体" w:eastAsia="黑体"/>
          <w:b w:val="0"/>
          <w:sz w:val="21"/>
          <w:szCs w:val="21"/>
          <w:highlight w:val="none"/>
        </w:rPr>
        <w:t>3</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描述对象</w:t>
      </w:r>
      <w:bookmarkEnd w:id="37"/>
      <w:bookmarkEnd w:id="38"/>
    </w:p>
    <w:p>
      <w:pPr>
        <w:spacing w:before="0" w:beforeLines="-2147483648" w:after="0" w:afterLines="-2147483648"/>
        <w:ind w:firstLine="420"/>
        <w:jc w:val="both"/>
        <w:rPr>
          <w:rFonts w:ascii="黑体" w:hAnsi="黑体" w:eastAsia="黑体" w:cs="Arial"/>
          <w:bCs/>
          <w:szCs w:val="21"/>
          <w:highlight w:val="none"/>
        </w:rPr>
      </w:pPr>
      <w:r>
        <w:rPr>
          <w:rFonts w:hint="eastAsia" w:ascii="宋体" w:hAnsi="宋体"/>
          <w:highlight w:val="none"/>
        </w:rPr>
        <w:t>披露主体对所披露的描述对象涉及如下内容，并</w:t>
      </w:r>
      <w:r>
        <w:rPr>
          <w:rFonts w:hint="eastAsia" w:ascii="宋体" w:hAnsi="宋体"/>
          <w:b/>
          <w:highlight w:val="none"/>
        </w:rPr>
        <w:t>应</w:t>
      </w:r>
      <w:r>
        <w:rPr>
          <w:rFonts w:hint="eastAsia" w:ascii="宋体" w:hAnsi="宋体"/>
          <w:highlight w:val="none"/>
        </w:rPr>
        <w:t>重点遵循的相关披露原则，</w:t>
      </w:r>
      <w:r>
        <w:rPr>
          <w:rFonts w:hint="eastAsia" w:ascii="宋体" w:hAnsi="宋体"/>
          <w:b/>
          <w:highlight w:val="none"/>
        </w:rPr>
        <w:t>应</w:t>
      </w:r>
      <w:r>
        <w:rPr>
          <w:rFonts w:hint="eastAsia" w:ascii="宋体" w:hAnsi="宋体"/>
          <w:highlight w:val="none"/>
        </w:rPr>
        <w:t>符合表2的规定。</w:t>
      </w:r>
    </w:p>
    <w:p>
      <w:pPr>
        <w:spacing w:before="156" w:beforeLines="50" w:after="156" w:afterLines="50"/>
        <w:jc w:val="center"/>
        <w:rPr>
          <w:rFonts w:ascii="黑体" w:hAnsi="黑体" w:eastAsia="黑体" w:cs="Arial"/>
          <w:bCs/>
          <w:sz w:val="21"/>
          <w:szCs w:val="21"/>
          <w:highlight w:val="none"/>
        </w:rPr>
      </w:pPr>
      <w:r>
        <w:rPr>
          <w:rFonts w:ascii="黑体" w:hAnsi="黑体" w:eastAsia="黑体" w:cs="Arial"/>
          <w:bCs/>
          <w:sz w:val="21"/>
          <w:szCs w:val="21"/>
          <w:highlight w:val="none"/>
        </w:rPr>
        <w:t xml:space="preserve">表 2 </w:t>
      </w:r>
      <w:r>
        <w:rPr>
          <w:rFonts w:hint="eastAsia" w:ascii="黑体" w:hAnsi="黑体" w:eastAsia="黑体" w:cs="Arial"/>
          <w:bCs/>
          <w:sz w:val="21"/>
          <w:szCs w:val="21"/>
          <w:highlight w:val="none"/>
        </w:rPr>
        <w:t>描述披露对象的内容类型及遵循原则</w:t>
      </w:r>
    </w:p>
    <w:tbl>
      <w:tblPr>
        <w:tblStyle w:val="41"/>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2117"/>
        <w:gridCol w:w="5670"/>
        <w:gridCol w:w="154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117" w:type="dxa"/>
            <w:tcBorders>
              <w:top w:val="single" w:color="auto" w:sz="8" w:space="0"/>
              <w:bottom w:val="single" w:color="auto" w:sz="8" w:space="0"/>
            </w:tcBorders>
          </w:tcPr>
          <w:p>
            <w:pPr>
              <w:jc w:val="center"/>
              <w:rPr>
                <w:rFonts w:ascii="宋体" w:hAnsi="宋体"/>
                <w:bCs/>
                <w:highlight w:val="none"/>
              </w:rPr>
            </w:pPr>
            <w:r>
              <w:rPr>
                <w:rFonts w:hint="eastAsia" w:ascii="宋体"/>
                <w:bCs/>
                <w:color w:val="000000"/>
                <w:kern w:val="0"/>
                <w:sz w:val="18"/>
                <w:szCs w:val="18"/>
                <w:highlight w:val="none"/>
              </w:rPr>
              <w:t>关于描述对象的信息</w:t>
            </w:r>
          </w:p>
        </w:tc>
        <w:tc>
          <w:tcPr>
            <w:tcW w:w="5670" w:type="dxa"/>
            <w:tcBorders>
              <w:top w:val="single" w:color="auto" w:sz="8" w:space="0"/>
              <w:bottom w:val="single" w:color="auto" w:sz="8" w:space="0"/>
            </w:tcBorders>
          </w:tcPr>
          <w:p>
            <w:pPr>
              <w:jc w:val="center"/>
              <w:rPr>
                <w:rFonts w:ascii="宋体" w:hAnsi="宋体"/>
                <w:bCs/>
                <w:highlight w:val="none"/>
              </w:rPr>
            </w:pPr>
            <w:r>
              <w:rPr>
                <w:rFonts w:hint="eastAsia" w:ascii="宋体"/>
                <w:bCs/>
                <w:color w:val="000000"/>
                <w:kern w:val="0"/>
                <w:sz w:val="18"/>
                <w:szCs w:val="18"/>
                <w:highlight w:val="none"/>
              </w:rPr>
              <w:t>信息应表达含义</w:t>
            </w:r>
          </w:p>
        </w:tc>
        <w:tc>
          <w:tcPr>
            <w:tcW w:w="1547" w:type="dxa"/>
            <w:tcBorders>
              <w:top w:val="single" w:color="auto" w:sz="8" w:space="0"/>
              <w:bottom w:val="single" w:color="auto" w:sz="8" w:space="0"/>
            </w:tcBorders>
          </w:tcPr>
          <w:p>
            <w:pPr>
              <w:jc w:val="center"/>
              <w:rPr>
                <w:rFonts w:ascii="宋体" w:hAnsi="宋体"/>
                <w:bCs/>
                <w:highlight w:val="none"/>
              </w:rPr>
            </w:pPr>
            <w:r>
              <w:rPr>
                <w:rFonts w:hint="eastAsia" w:ascii="宋体"/>
                <w:b/>
                <w:bCs/>
                <w:color w:val="000000"/>
                <w:kern w:val="0"/>
                <w:sz w:val="18"/>
                <w:szCs w:val="18"/>
                <w:highlight w:val="none"/>
              </w:rPr>
              <w:t>应</w:t>
            </w:r>
            <w:r>
              <w:rPr>
                <w:rFonts w:hint="eastAsia" w:ascii="宋体"/>
                <w:bCs/>
                <w:color w:val="000000"/>
                <w:kern w:val="0"/>
                <w:sz w:val="18"/>
                <w:szCs w:val="18"/>
                <w:highlight w:val="none"/>
              </w:rPr>
              <w:t>遵循披露原则</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117" w:type="dxa"/>
            <w:tcBorders>
              <w:top w:val="single" w:color="auto" w:sz="8" w:space="0"/>
            </w:tcBorders>
          </w:tcPr>
          <w:p>
            <w:pPr>
              <w:rPr>
                <w:rFonts w:ascii="宋体" w:hAnsi="宋体"/>
                <w:highlight w:val="none"/>
              </w:rPr>
            </w:pPr>
            <w:r>
              <w:rPr>
                <w:rFonts w:hint="eastAsia" w:ascii="Times New Roman"/>
                <w:bCs/>
                <w:color w:val="000000"/>
                <w:kern w:val="0"/>
                <w:sz w:val="18"/>
                <w:szCs w:val="18"/>
                <w:highlight w:val="none"/>
              </w:rPr>
              <w:t>描述</w:t>
            </w:r>
            <w:r>
              <w:rPr>
                <w:rFonts w:ascii="Times New Roman"/>
                <w:bCs/>
                <w:color w:val="000000"/>
                <w:kern w:val="0"/>
                <w:sz w:val="18"/>
                <w:szCs w:val="18"/>
                <w:highlight w:val="none"/>
              </w:rPr>
              <w:t>对象</w:t>
            </w:r>
            <w:r>
              <w:rPr>
                <w:rFonts w:hint="eastAsia" w:ascii="Times New Roman"/>
                <w:bCs/>
                <w:color w:val="000000"/>
                <w:kern w:val="0"/>
                <w:sz w:val="18"/>
                <w:szCs w:val="18"/>
                <w:highlight w:val="none"/>
              </w:rPr>
              <w:t>的定义</w:t>
            </w:r>
          </w:p>
        </w:tc>
        <w:tc>
          <w:tcPr>
            <w:tcW w:w="5670" w:type="dxa"/>
            <w:tcBorders>
              <w:top w:val="single" w:color="auto" w:sz="8" w:space="0"/>
            </w:tcBorders>
          </w:tcPr>
          <w:p>
            <w:pPr>
              <w:rPr>
                <w:rFonts w:ascii="宋体" w:hAnsi="宋体"/>
                <w:highlight w:val="none"/>
              </w:rPr>
            </w:pPr>
            <w:r>
              <w:rPr>
                <w:rFonts w:ascii="Times New Roman"/>
                <w:bCs/>
                <w:color w:val="000000"/>
                <w:kern w:val="0"/>
                <w:sz w:val="18"/>
                <w:szCs w:val="18"/>
                <w:highlight w:val="none"/>
              </w:rPr>
              <w:t>描述对象的</w:t>
            </w:r>
            <w:r>
              <w:rPr>
                <w:rFonts w:hint="eastAsia" w:ascii="Times New Roman"/>
                <w:bCs/>
                <w:color w:val="000000"/>
                <w:kern w:val="0"/>
                <w:sz w:val="18"/>
                <w:szCs w:val="18"/>
                <w:highlight w:val="none"/>
              </w:rPr>
              <w:t>名称、</w:t>
            </w:r>
            <w:r>
              <w:rPr>
                <w:rFonts w:ascii="Times New Roman"/>
                <w:bCs/>
                <w:color w:val="000000"/>
                <w:kern w:val="0"/>
                <w:sz w:val="18"/>
                <w:szCs w:val="18"/>
                <w:highlight w:val="none"/>
              </w:rPr>
              <w:t>类别、性质</w:t>
            </w:r>
            <w:r>
              <w:rPr>
                <w:rFonts w:hint="eastAsia" w:ascii="Times New Roman"/>
                <w:bCs/>
                <w:color w:val="000000"/>
                <w:kern w:val="0"/>
                <w:sz w:val="18"/>
                <w:szCs w:val="18"/>
                <w:highlight w:val="none"/>
              </w:rPr>
              <w:t>等。</w:t>
            </w:r>
          </w:p>
        </w:tc>
        <w:tc>
          <w:tcPr>
            <w:tcW w:w="1547" w:type="dxa"/>
            <w:tcBorders>
              <w:top w:val="single" w:color="auto" w:sz="8" w:space="0"/>
            </w:tcBorders>
          </w:tcPr>
          <w:p>
            <w:pPr>
              <w:rPr>
                <w:rFonts w:ascii="宋体" w:hAnsi="宋体"/>
                <w:highlight w:val="none"/>
              </w:rPr>
            </w:pPr>
            <w:r>
              <w:rPr>
                <w:rFonts w:ascii="Times New Roman"/>
                <w:bCs/>
                <w:color w:val="000000"/>
                <w:kern w:val="0"/>
                <w:sz w:val="18"/>
                <w:szCs w:val="18"/>
                <w:highlight w:val="none"/>
              </w:rPr>
              <w:t>明确性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117" w:type="dxa"/>
          </w:tcPr>
          <w:p>
            <w:pPr>
              <w:rPr>
                <w:rFonts w:ascii="宋体"/>
                <w:bCs/>
                <w:color w:val="000000"/>
                <w:kern w:val="0"/>
                <w:sz w:val="18"/>
                <w:szCs w:val="18"/>
                <w:highlight w:val="none"/>
              </w:rPr>
            </w:pPr>
            <w:r>
              <w:rPr>
                <w:rFonts w:ascii="Times New Roman"/>
                <w:bCs/>
                <w:color w:val="000000"/>
                <w:kern w:val="0"/>
                <w:sz w:val="18"/>
                <w:szCs w:val="18"/>
                <w:highlight w:val="none"/>
              </w:rPr>
              <w:t>描述对象</w:t>
            </w:r>
            <w:r>
              <w:rPr>
                <w:rFonts w:hint="eastAsia" w:ascii="Times New Roman"/>
                <w:bCs/>
                <w:color w:val="000000"/>
                <w:kern w:val="0"/>
                <w:sz w:val="18"/>
                <w:szCs w:val="18"/>
                <w:highlight w:val="none"/>
              </w:rPr>
              <w:t>的类型</w:t>
            </w:r>
          </w:p>
        </w:tc>
        <w:tc>
          <w:tcPr>
            <w:tcW w:w="5670" w:type="dxa"/>
          </w:tcPr>
          <w:p>
            <w:pPr>
              <w:rPr>
                <w:rFonts w:ascii="宋体"/>
                <w:bCs/>
                <w:color w:val="000000"/>
                <w:kern w:val="0"/>
                <w:sz w:val="18"/>
                <w:szCs w:val="18"/>
                <w:highlight w:val="none"/>
              </w:rPr>
            </w:pPr>
            <w:r>
              <w:rPr>
                <w:rFonts w:ascii="Times New Roman"/>
                <w:bCs/>
                <w:color w:val="000000"/>
                <w:kern w:val="0"/>
                <w:sz w:val="18"/>
                <w:szCs w:val="18"/>
                <w:highlight w:val="none"/>
              </w:rPr>
              <w:t>见5.2</w:t>
            </w:r>
            <w:r>
              <w:rPr>
                <w:rFonts w:hint="eastAsia" w:ascii="Times New Roman"/>
                <w:bCs/>
                <w:color w:val="000000"/>
                <w:kern w:val="0"/>
                <w:sz w:val="18"/>
                <w:szCs w:val="18"/>
                <w:highlight w:val="none"/>
              </w:rPr>
              <w:t>。</w:t>
            </w:r>
          </w:p>
        </w:tc>
        <w:tc>
          <w:tcPr>
            <w:tcW w:w="1547" w:type="dxa"/>
          </w:tcPr>
          <w:p>
            <w:pPr>
              <w:rPr>
                <w:rFonts w:ascii="宋体"/>
                <w:bCs/>
                <w:color w:val="000000"/>
                <w:kern w:val="0"/>
                <w:sz w:val="18"/>
                <w:szCs w:val="18"/>
                <w:highlight w:val="none"/>
              </w:rPr>
            </w:pPr>
            <w:r>
              <w:rPr>
                <w:rFonts w:ascii="Times New Roman"/>
                <w:bCs/>
                <w:color w:val="000000"/>
                <w:kern w:val="0"/>
                <w:sz w:val="18"/>
                <w:szCs w:val="18"/>
                <w:highlight w:val="none"/>
              </w:rPr>
              <w:t>明确性、完整性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117" w:type="dxa"/>
          </w:tcPr>
          <w:p>
            <w:pPr>
              <w:rPr>
                <w:rFonts w:ascii="宋体" w:hAnsi="宋体"/>
                <w:highlight w:val="none"/>
              </w:rPr>
            </w:pPr>
            <w:r>
              <w:rPr>
                <w:rFonts w:hint="eastAsia" w:ascii="Times New Roman"/>
                <w:bCs/>
                <w:color w:val="000000"/>
                <w:kern w:val="0"/>
                <w:sz w:val="18"/>
                <w:szCs w:val="18"/>
                <w:highlight w:val="none"/>
              </w:rPr>
              <w:t>描述</w:t>
            </w:r>
            <w:r>
              <w:rPr>
                <w:rFonts w:ascii="Times New Roman"/>
                <w:bCs/>
                <w:color w:val="000000"/>
                <w:kern w:val="0"/>
                <w:sz w:val="18"/>
                <w:szCs w:val="18"/>
                <w:highlight w:val="none"/>
              </w:rPr>
              <w:t>对象与</w:t>
            </w:r>
            <w:r>
              <w:rPr>
                <w:rFonts w:hint="eastAsia" w:ascii="Times New Roman"/>
                <w:bCs/>
                <w:color w:val="000000"/>
                <w:kern w:val="0"/>
                <w:sz w:val="18"/>
                <w:szCs w:val="18"/>
                <w:highlight w:val="none"/>
              </w:rPr>
              <w:t>披露</w:t>
            </w:r>
            <w:r>
              <w:rPr>
                <w:rFonts w:ascii="Times New Roman"/>
                <w:bCs/>
                <w:color w:val="000000"/>
                <w:kern w:val="0"/>
                <w:sz w:val="18"/>
                <w:szCs w:val="18"/>
                <w:highlight w:val="none"/>
              </w:rPr>
              <w:t>主体的相关性</w:t>
            </w:r>
          </w:p>
        </w:tc>
        <w:tc>
          <w:tcPr>
            <w:tcW w:w="5670" w:type="dxa"/>
          </w:tcPr>
          <w:p>
            <w:pPr>
              <w:rPr>
                <w:rFonts w:ascii="宋体" w:hAnsi="宋体"/>
                <w:highlight w:val="none"/>
              </w:rPr>
            </w:pPr>
            <w:r>
              <w:rPr>
                <w:rFonts w:ascii="Times New Roman"/>
                <w:bCs/>
                <w:color w:val="000000"/>
                <w:kern w:val="0"/>
                <w:sz w:val="18"/>
                <w:szCs w:val="18"/>
                <w:highlight w:val="none"/>
              </w:rPr>
              <w:t>描述对象</w:t>
            </w:r>
            <w:r>
              <w:rPr>
                <w:rFonts w:hint="eastAsia" w:ascii="Times New Roman"/>
                <w:bCs/>
                <w:color w:val="000000"/>
                <w:kern w:val="0"/>
                <w:sz w:val="18"/>
                <w:szCs w:val="18"/>
                <w:highlight w:val="none"/>
              </w:rPr>
              <w:t>碳信息对于披露主体的实质性影响</w:t>
            </w:r>
            <w:r>
              <w:rPr>
                <w:rFonts w:ascii="Times New Roman"/>
                <w:bCs/>
                <w:color w:val="000000"/>
                <w:kern w:val="0"/>
                <w:sz w:val="18"/>
                <w:szCs w:val="18"/>
                <w:highlight w:val="none"/>
              </w:rPr>
              <w:t>，例如排放占比</w:t>
            </w:r>
            <w:r>
              <w:rPr>
                <w:rFonts w:hint="eastAsia" w:ascii="Times New Roman"/>
                <w:bCs/>
                <w:color w:val="000000"/>
                <w:kern w:val="0"/>
                <w:sz w:val="18"/>
                <w:szCs w:val="18"/>
                <w:highlight w:val="none"/>
              </w:rPr>
              <w:t>。</w:t>
            </w:r>
          </w:p>
        </w:tc>
        <w:tc>
          <w:tcPr>
            <w:tcW w:w="1547" w:type="dxa"/>
          </w:tcPr>
          <w:p>
            <w:pPr>
              <w:rPr>
                <w:rFonts w:ascii="宋体" w:hAnsi="宋体"/>
                <w:highlight w:val="none"/>
              </w:rPr>
            </w:pPr>
            <w:r>
              <w:rPr>
                <w:rFonts w:ascii="Times New Roman"/>
                <w:bCs/>
                <w:color w:val="000000"/>
                <w:kern w:val="0"/>
                <w:sz w:val="18"/>
                <w:szCs w:val="18"/>
                <w:highlight w:val="none"/>
              </w:rPr>
              <w:t>明确性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117" w:type="dxa"/>
            <w:tcBorders>
              <w:bottom w:val="single" w:color="auto" w:sz="8" w:space="0"/>
            </w:tcBorders>
          </w:tcPr>
          <w:p>
            <w:pPr>
              <w:rPr>
                <w:rFonts w:ascii="宋体" w:hAnsi="宋体"/>
                <w:highlight w:val="none"/>
              </w:rPr>
            </w:pPr>
            <w:r>
              <w:rPr>
                <w:rFonts w:hint="eastAsia" w:ascii="Times New Roman"/>
                <w:bCs/>
                <w:color w:val="000000"/>
                <w:kern w:val="0"/>
                <w:sz w:val="18"/>
                <w:szCs w:val="18"/>
                <w:highlight w:val="none"/>
              </w:rPr>
              <w:t>以上信息所依据的标准</w:t>
            </w:r>
          </w:p>
        </w:tc>
        <w:tc>
          <w:tcPr>
            <w:tcW w:w="5670" w:type="dxa"/>
            <w:tcBorders>
              <w:bottom w:val="single" w:color="auto" w:sz="8" w:space="0"/>
            </w:tcBorders>
          </w:tcPr>
          <w:p>
            <w:pPr>
              <w:rPr>
                <w:rFonts w:ascii="宋体" w:hAnsi="宋体"/>
                <w:highlight w:val="none"/>
              </w:rPr>
            </w:pPr>
            <w:r>
              <w:rPr>
                <w:rFonts w:hint="eastAsia" w:ascii="Times New Roman"/>
                <w:bCs/>
                <w:color w:val="000000"/>
                <w:kern w:val="0"/>
                <w:sz w:val="18"/>
                <w:szCs w:val="18"/>
                <w:highlight w:val="none"/>
              </w:rPr>
              <w:t>定义描述对象及其边界所遵循的标准规范。</w:t>
            </w:r>
          </w:p>
        </w:tc>
        <w:tc>
          <w:tcPr>
            <w:tcW w:w="1547" w:type="dxa"/>
            <w:tcBorders>
              <w:bottom w:val="single" w:color="auto" w:sz="8" w:space="0"/>
            </w:tcBorders>
          </w:tcPr>
          <w:p>
            <w:pPr>
              <w:rPr>
                <w:rFonts w:ascii="宋体" w:hAnsi="宋体"/>
                <w:highlight w:val="none"/>
              </w:rPr>
            </w:pPr>
            <w:r>
              <w:rPr>
                <w:rFonts w:ascii="Times New Roman"/>
                <w:bCs/>
                <w:color w:val="000000"/>
                <w:kern w:val="0"/>
                <w:sz w:val="18"/>
                <w:szCs w:val="18"/>
                <w:highlight w:val="none"/>
              </w:rPr>
              <w:t>合理性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9334" w:type="dxa"/>
            <w:gridSpan w:val="3"/>
            <w:tcBorders>
              <w:top w:val="single" w:color="auto" w:sz="8" w:space="0"/>
              <w:bottom w:val="single" w:color="auto" w:sz="8" w:space="0"/>
            </w:tcBorders>
          </w:tcPr>
          <w:p>
            <w:pPr>
              <w:ind w:left="420" w:leftChars="200"/>
              <w:rPr>
                <w:rFonts w:cs="Arial" w:asciiTheme="minorEastAsia" w:hAnsiTheme="minorEastAsia" w:eastAsiaTheme="minorEastAsia"/>
                <w:sz w:val="18"/>
                <w:szCs w:val="18"/>
                <w:highlight w:val="none"/>
              </w:rPr>
            </w:pPr>
            <w:r>
              <w:rPr>
                <w:rFonts w:ascii="黑体" w:hAnsi="黑体" w:eastAsia="黑体" w:cs="Arial"/>
                <w:sz w:val="18"/>
                <w:szCs w:val="18"/>
                <w:highlight w:val="none"/>
              </w:rPr>
              <w:t>注1：</w:t>
            </w:r>
            <w:r>
              <w:rPr>
                <w:rFonts w:cs="Arial" w:asciiTheme="minorEastAsia" w:hAnsiTheme="minorEastAsia" w:eastAsiaTheme="minorEastAsia"/>
                <w:sz w:val="18"/>
                <w:szCs w:val="18"/>
                <w:highlight w:val="none"/>
              </w:rPr>
              <w:t>对于企业对消费者的沟通，产品层级</w:t>
            </w:r>
            <w:r>
              <w:rPr>
                <w:rFonts w:cs="Arial" w:asciiTheme="minorEastAsia" w:hAnsiTheme="minorEastAsia" w:eastAsiaTheme="minorEastAsia"/>
                <w:b/>
                <w:sz w:val="18"/>
                <w:szCs w:val="18"/>
                <w:highlight w:val="none"/>
              </w:rPr>
              <w:t>应</w:t>
            </w:r>
            <w:r>
              <w:rPr>
                <w:rFonts w:cs="Arial" w:asciiTheme="minorEastAsia" w:hAnsiTheme="minorEastAsia" w:eastAsiaTheme="minorEastAsia"/>
                <w:sz w:val="18"/>
                <w:szCs w:val="18"/>
                <w:highlight w:val="none"/>
              </w:rPr>
              <w:t>定义产品或服务功能单元，并使用功能单元来披露后续碳信息；对于企业对企业的沟通，可以使用一个已声明的单位来披露其碳信息。</w:t>
            </w:r>
          </w:p>
          <w:p>
            <w:pPr>
              <w:ind w:left="420" w:leftChars="200"/>
              <w:rPr>
                <w:rFonts w:asciiTheme="minorEastAsia" w:hAnsiTheme="minorEastAsia" w:eastAsiaTheme="minorEastAsia"/>
                <w:sz w:val="18"/>
                <w:szCs w:val="18"/>
                <w:highlight w:val="none"/>
              </w:rPr>
            </w:pPr>
            <w:r>
              <w:rPr>
                <w:rFonts w:ascii="黑体" w:hAnsi="黑体" w:eastAsia="黑体" w:cs="Arial"/>
                <w:sz w:val="18"/>
                <w:szCs w:val="18"/>
                <w:highlight w:val="none"/>
              </w:rPr>
              <w:t>注2：</w:t>
            </w:r>
            <w:r>
              <w:rPr>
                <w:rFonts w:cs="Arial" w:asciiTheme="minorEastAsia" w:hAnsiTheme="minorEastAsia" w:eastAsiaTheme="minorEastAsia"/>
                <w:sz w:val="18"/>
                <w:szCs w:val="18"/>
                <w:highlight w:val="none"/>
              </w:rPr>
              <w:t>活动/事件层级碳</w:t>
            </w:r>
            <w:r>
              <w:rPr>
                <w:rFonts w:cs="Arial" w:asciiTheme="minorEastAsia" w:hAnsiTheme="minorEastAsia" w:eastAsiaTheme="minorEastAsia"/>
                <w:b/>
                <w:sz w:val="18"/>
                <w:szCs w:val="18"/>
                <w:highlight w:val="none"/>
              </w:rPr>
              <w:t>应</w:t>
            </w:r>
            <w:r>
              <w:rPr>
                <w:rFonts w:cs="Arial" w:asciiTheme="minorEastAsia" w:hAnsiTheme="minorEastAsia" w:eastAsiaTheme="minorEastAsia"/>
                <w:sz w:val="18"/>
                <w:szCs w:val="18"/>
                <w:highlight w:val="none"/>
              </w:rPr>
              <w:t>定义其性质为一次性或重复性。</w:t>
            </w:r>
          </w:p>
        </w:tc>
      </w:tr>
    </w:tbl>
    <w:p>
      <w:pPr>
        <w:pStyle w:val="3"/>
        <w:spacing w:before="120" w:after="120"/>
        <w:rPr>
          <w:rFonts w:ascii="黑体" w:hAnsi="黑体" w:eastAsia="黑体"/>
          <w:b w:val="0"/>
          <w:sz w:val="21"/>
          <w:szCs w:val="21"/>
          <w:highlight w:val="none"/>
        </w:rPr>
      </w:pPr>
      <w:bookmarkStart w:id="39" w:name="heading_49"/>
      <w:bookmarkStart w:id="40" w:name="_Toc166611380"/>
      <w:r>
        <w:rPr>
          <w:rFonts w:hint="eastAsia" w:ascii="黑体" w:hAnsi="黑体" w:eastAsia="黑体"/>
          <w:b w:val="0"/>
          <w:sz w:val="21"/>
          <w:szCs w:val="21"/>
          <w:highlight w:val="none"/>
        </w:rPr>
        <w:t>6.4 信息</w:t>
      </w:r>
      <w:bookmarkEnd w:id="39"/>
      <w:bookmarkEnd w:id="40"/>
      <w:r>
        <w:rPr>
          <w:rFonts w:hint="eastAsia" w:ascii="黑体" w:hAnsi="黑体" w:eastAsia="黑体"/>
          <w:b w:val="0"/>
          <w:sz w:val="21"/>
          <w:szCs w:val="21"/>
          <w:highlight w:val="none"/>
        </w:rPr>
        <w:t>内容</w:t>
      </w:r>
    </w:p>
    <w:p>
      <w:pPr>
        <w:spacing w:before="156" w:beforeLines="50" w:after="156" w:afterLines="50"/>
        <w:rPr>
          <w:rFonts w:ascii="黑体" w:hAnsi="黑体" w:eastAsia="黑体"/>
          <w:highlight w:val="none"/>
        </w:rPr>
      </w:pPr>
      <w:r>
        <w:rPr>
          <w:rFonts w:ascii="黑体" w:hAnsi="黑体" w:eastAsia="黑体"/>
          <w:highlight w:val="none"/>
        </w:rPr>
        <w:t xml:space="preserve">6.4.1 </w:t>
      </w:r>
      <w:r>
        <w:rPr>
          <w:rFonts w:hint="eastAsia" w:ascii="黑体" w:hAnsi="黑体" w:eastAsia="黑体"/>
          <w:highlight w:val="none"/>
        </w:rPr>
        <w:t>通用</w:t>
      </w:r>
    </w:p>
    <w:p>
      <w:pPr>
        <w:ind w:left="181" w:leftChars="86" w:firstLine="420"/>
        <w:rPr>
          <w:rFonts w:ascii="宋体" w:hAnsi="宋体"/>
          <w:highlight w:val="none"/>
        </w:rPr>
      </w:pPr>
      <w:r>
        <w:rPr>
          <w:rFonts w:hint="eastAsia" w:ascii="宋体" w:hAnsi="宋体"/>
          <w:highlight w:val="none"/>
        </w:rPr>
        <w:t>披露主体对描述对象提供碳信息，</w:t>
      </w:r>
      <w:r>
        <w:rPr>
          <w:rFonts w:hint="eastAsia" w:ascii="宋体" w:hAnsi="宋体"/>
          <w:b/>
          <w:bCs/>
          <w:highlight w:val="none"/>
        </w:rPr>
        <w:t>应</w:t>
      </w:r>
      <w:r>
        <w:rPr>
          <w:rFonts w:hint="eastAsia" w:ascii="宋体" w:hAnsi="宋体"/>
          <w:highlight w:val="none"/>
        </w:rPr>
        <w:t>遵循6.4.1至6.4.6中相应的披露原则。</w:t>
      </w:r>
    </w:p>
    <w:p>
      <w:pPr>
        <w:ind w:firstLine="420"/>
        <w:rPr>
          <w:rFonts w:asciiTheme="minorEastAsia" w:hAnsiTheme="minorEastAsia" w:eastAsiaTheme="minorEastAsia"/>
          <w:sz w:val="18"/>
          <w:szCs w:val="18"/>
          <w:highlight w:val="none"/>
        </w:rPr>
      </w:pPr>
      <w:r>
        <w:rPr>
          <w:rStyle w:val="181"/>
          <w:rFonts w:hint="eastAsia" w:ascii="黑体" w:hAnsi="黑体"/>
          <w:highlight w:val="none"/>
        </w:rPr>
        <w:t>注1</w:t>
      </w:r>
      <w:r>
        <w:rPr>
          <w:rStyle w:val="181"/>
          <w:rFonts w:ascii="黑体" w:hAnsi="黑体"/>
          <w:highlight w:val="none"/>
        </w:rPr>
        <w:t>：</w:t>
      </w:r>
      <w:r>
        <w:rPr>
          <w:rFonts w:hint="eastAsia" w:asciiTheme="minorEastAsia" w:hAnsiTheme="minorEastAsia" w:eastAsiaTheme="minorEastAsia"/>
          <w:b/>
          <w:sz w:val="18"/>
          <w:szCs w:val="18"/>
          <w:highlight w:val="none"/>
        </w:rPr>
        <w:t>应</w:t>
      </w:r>
      <w:r>
        <w:rPr>
          <w:rFonts w:hint="eastAsia" w:asciiTheme="minorEastAsia" w:hAnsiTheme="minorEastAsia" w:eastAsiaTheme="minorEastAsia"/>
          <w:sz w:val="18"/>
          <w:szCs w:val="18"/>
          <w:highlight w:val="none"/>
        </w:rPr>
        <w:t>遵循的披露原则详细定义见第4章。</w:t>
      </w:r>
    </w:p>
    <w:p>
      <w:pPr>
        <w:ind w:firstLine="420"/>
        <w:rPr>
          <w:rFonts w:asciiTheme="minorEastAsia" w:hAnsiTheme="minorEastAsia" w:eastAsiaTheme="minorEastAsia"/>
          <w:sz w:val="11"/>
          <w:szCs w:val="11"/>
          <w:highlight w:val="none"/>
        </w:rPr>
      </w:pPr>
      <w:r>
        <w:rPr>
          <w:rStyle w:val="181"/>
          <w:rFonts w:hint="eastAsia" w:ascii="黑体" w:hAnsi="黑体"/>
          <w:szCs w:val="18"/>
          <w:highlight w:val="none"/>
        </w:rPr>
        <w:t>注2</w:t>
      </w:r>
      <w:r>
        <w:rPr>
          <w:rStyle w:val="181"/>
          <w:rFonts w:ascii="黑体" w:hAnsi="黑体"/>
          <w:szCs w:val="18"/>
          <w:highlight w:val="none"/>
        </w:rPr>
        <w:t>：</w:t>
      </w:r>
      <w:r>
        <w:rPr>
          <w:rStyle w:val="42"/>
          <w:rFonts w:hint="eastAsia" w:asciiTheme="minorEastAsia" w:hAnsiTheme="minorEastAsia" w:eastAsiaTheme="minorEastAsia"/>
          <w:sz w:val="18"/>
          <w:szCs w:val="11"/>
          <w:highlight w:val="none"/>
        </w:rPr>
        <w:t>特定类别的碳信息披露</w:t>
      </w:r>
      <w:r>
        <w:rPr>
          <w:rStyle w:val="42"/>
          <w:rFonts w:hint="eastAsia" w:asciiTheme="minorEastAsia" w:hAnsiTheme="minorEastAsia" w:eastAsiaTheme="minorEastAsia"/>
          <w:b/>
          <w:sz w:val="18"/>
          <w:szCs w:val="11"/>
          <w:highlight w:val="none"/>
        </w:rPr>
        <w:t>宜</w:t>
      </w:r>
      <w:r>
        <w:rPr>
          <w:rStyle w:val="42"/>
          <w:rFonts w:hint="eastAsia" w:asciiTheme="minorEastAsia" w:hAnsiTheme="minorEastAsia" w:eastAsiaTheme="minorEastAsia"/>
          <w:sz w:val="18"/>
          <w:szCs w:val="11"/>
          <w:highlight w:val="none"/>
        </w:rPr>
        <w:t>参考附录</w:t>
      </w:r>
      <w:r>
        <w:rPr>
          <w:rStyle w:val="42"/>
          <w:rFonts w:asciiTheme="minorEastAsia" w:hAnsiTheme="minorEastAsia" w:eastAsiaTheme="minorEastAsia"/>
          <w:sz w:val="18"/>
          <w:szCs w:val="11"/>
          <w:highlight w:val="none"/>
        </w:rPr>
        <w:t>B</w:t>
      </w:r>
      <w:r>
        <w:rPr>
          <w:rStyle w:val="42"/>
          <w:rFonts w:hint="eastAsia" w:asciiTheme="minorEastAsia" w:hAnsiTheme="minorEastAsia" w:eastAsiaTheme="minorEastAsia"/>
          <w:sz w:val="18"/>
          <w:szCs w:val="11"/>
          <w:highlight w:val="none"/>
        </w:rPr>
        <w:t>中给出的参考标准指引。</w:t>
      </w:r>
    </w:p>
    <w:p>
      <w:pPr>
        <w:spacing w:before="156" w:beforeLines="50" w:after="156" w:afterLines="50"/>
        <w:rPr>
          <w:rFonts w:ascii="黑体" w:hAnsi="黑体" w:eastAsia="黑体"/>
          <w:highlight w:val="none"/>
        </w:rPr>
      </w:pPr>
      <w:bookmarkStart w:id="41" w:name="heading_50"/>
      <w:r>
        <w:rPr>
          <w:rFonts w:ascii="黑体" w:hAnsi="黑体" w:eastAsia="黑体"/>
          <w:highlight w:val="none"/>
        </w:rPr>
        <w:t xml:space="preserve">6.4.1 </w:t>
      </w:r>
      <w:r>
        <w:rPr>
          <w:rFonts w:hint="eastAsia" w:ascii="黑体" w:hAnsi="黑体" w:eastAsia="黑体"/>
          <w:highlight w:val="none"/>
        </w:rPr>
        <w:t>目标类</w:t>
      </w:r>
    </w:p>
    <w:p>
      <w:pPr>
        <w:ind w:firstLine="420"/>
        <w:rPr>
          <w:rFonts w:ascii="宋体" w:hAnsi="宋体"/>
          <w:highlight w:val="none"/>
        </w:rPr>
      </w:pPr>
      <w:r>
        <w:rPr>
          <w:rFonts w:hint="eastAsia" w:ascii="宋体" w:hAnsi="宋体"/>
          <w:highlight w:val="none"/>
        </w:rPr>
        <w:t>目标类碳信息披露涉及如下内容，并</w:t>
      </w:r>
      <w:r>
        <w:rPr>
          <w:rFonts w:hint="eastAsia" w:ascii="宋体" w:hAnsi="宋体"/>
          <w:b/>
          <w:highlight w:val="none"/>
        </w:rPr>
        <w:t>应</w:t>
      </w:r>
      <w:r>
        <w:rPr>
          <w:rFonts w:hint="eastAsia" w:ascii="宋体" w:hAnsi="宋体"/>
          <w:highlight w:val="none"/>
        </w:rPr>
        <w:t>重点遵循的相关披露原则，</w:t>
      </w:r>
      <w:r>
        <w:rPr>
          <w:rFonts w:hint="eastAsia" w:ascii="宋体" w:hAnsi="宋体"/>
          <w:b/>
          <w:highlight w:val="none"/>
        </w:rPr>
        <w:t>应</w:t>
      </w:r>
      <w:r>
        <w:rPr>
          <w:rFonts w:hint="eastAsia" w:ascii="宋体" w:hAnsi="宋体"/>
          <w:highlight w:val="none"/>
        </w:rPr>
        <w:t>符合表3的规定。</w:t>
      </w:r>
    </w:p>
    <w:p>
      <w:pPr>
        <w:spacing w:before="156" w:beforeLines="50" w:after="156" w:afterLines="50"/>
        <w:ind w:left="0" w:leftChars="0"/>
        <w:jc w:val="center"/>
        <w:rPr>
          <w:rFonts w:ascii="黑体" w:hAnsi="黑体" w:eastAsia="黑体" w:cs="Arial"/>
          <w:bCs/>
          <w:sz w:val="21"/>
          <w:szCs w:val="21"/>
          <w:highlight w:val="none"/>
        </w:rPr>
      </w:pPr>
      <w:r>
        <w:rPr>
          <w:rFonts w:ascii="黑体" w:hAnsi="黑体" w:eastAsia="黑体" w:cs="Arial"/>
          <w:bCs/>
          <w:sz w:val="21"/>
          <w:szCs w:val="21"/>
          <w:highlight w:val="none"/>
        </w:rPr>
        <w:t xml:space="preserve">表 3 </w:t>
      </w:r>
      <w:r>
        <w:rPr>
          <w:rFonts w:hint="eastAsia" w:ascii="黑体" w:hAnsi="黑体" w:eastAsia="黑体" w:cs="Arial"/>
          <w:bCs/>
          <w:sz w:val="21"/>
          <w:szCs w:val="21"/>
          <w:highlight w:val="none"/>
        </w:rPr>
        <w:t>目标类碳信息披露内容要求及遵循原则</w:t>
      </w:r>
    </w:p>
    <w:tbl>
      <w:tblPr>
        <w:tblStyle w:val="41"/>
        <w:tblW w:w="9356" w:type="dxa"/>
        <w:tblInd w:w="-5"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1839"/>
        <w:gridCol w:w="5957"/>
        <w:gridCol w:w="1560"/>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8" w:space="0"/>
              <w:bottom w:val="single" w:color="auto" w:sz="8" w:space="0"/>
              <w:right w:val="single" w:color="auto" w:sz="6" w:space="0"/>
            </w:tcBorders>
          </w:tcPr>
          <w:p>
            <w:pPr>
              <w:ind w:left="181" w:leftChars="86"/>
              <w:jc w:val="center"/>
              <w:rPr>
                <w:rFonts w:ascii="宋体" w:hAnsi="宋体"/>
                <w:sz w:val="18"/>
                <w:szCs w:val="18"/>
                <w:highlight w:val="none"/>
              </w:rPr>
            </w:pPr>
            <w:r>
              <w:rPr>
                <w:rFonts w:hint="eastAsia" w:ascii="宋体" w:hAnsi="宋体"/>
                <w:sz w:val="18"/>
                <w:szCs w:val="18"/>
                <w:highlight w:val="none"/>
              </w:rPr>
              <w:t>信息类型</w:t>
            </w:r>
          </w:p>
        </w:tc>
        <w:tc>
          <w:tcPr>
            <w:tcW w:w="5954" w:type="dxa"/>
            <w:tcBorders>
              <w:top w:val="single" w:color="auto" w:sz="8" w:space="0"/>
              <w:left w:val="single" w:color="auto" w:sz="6" w:space="0"/>
              <w:bottom w:val="single" w:color="auto" w:sz="8" w:space="0"/>
              <w:right w:val="single" w:color="auto" w:sz="6" w:space="0"/>
            </w:tcBorders>
          </w:tcPr>
          <w:p>
            <w:pPr>
              <w:ind w:left="181" w:leftChars="86"/>
              <w:jc w:val="center"/>
              <w:rPr>
                <w:rFonts w:ascii="宋体" w:hAnsi="宋体"/>
                <w:sz w:val="18"/>
                <w:szCs w:val="18"/>
                <w:highlight w:val="none"/>
              </w:rPr>
            </w:pPr>
            <w:r>
              <w:rPr>
                <w:rFonts w:hint="eastAsia" w:ascii="宋体" w:hAnsi="宋体"/>
                <w:sz w:val="18"/>
                <w:szCs w:val="18"/>
                <w:highlight w:val="none"/>
              </w:rPr>
              <w:t>内容要求</w:t>
            </w:r>
          </w:p>
        </w:tc>
        <w:tc>
          <w:tcPr>
            <w:tcW w:w="1559" w:type="dxa"/>
            <w:tcBorders>
              <w:top w:val="single" w:color="auto" w:sz="8" w:space="0"/>
              <w:left w:val="single" w:color="auto" w:sz="6" w:space="0"/>
              <w:bottom w:val="single" w:color="auto" w:sz="8" w:space="0"/>
            </w:tcBorders>
          </w:tcPr>
          <w:p>
            <w:pPr>
              <w:ind w:left="181" w:leftChars="86"/>
              <w:jc w:val="center"/>
              <w:rPr>
                <w:rFonts w:ascii="宋体" w:hAnsi="宋体"/>
                <w:sz w:val="18"/>
                <w:szCs w:val="18"/>
                <w:highlight w:val="none"/>
              </w:rPr>
            </w:pPr>
            <w:r>
              <w:rPr>
                <w:rFonts w:ascii="宋体" w:hAnsi="宋体" w:cs="Arial"/>
                <w:b/>
                <w:bCs/>
                <w:sz w:val="18"/>
                <w:szCs w:val="18"/>
                <w:highlight w:val="none"/>
              </w:rPr>
              <w:t>应</w:t>
            </w:r>
            <w:r>
              <w:rPr>
                <w:rFonts w:hint="eastAsia" w:ascii="宋体" w:hAnsi="宋体" w:cs="Arial"/>
                <w:sz w:val="18"/>
                <w:szCs w:val="18"/>
                <w:highlight w:val="none"/>
              </w:rPr>
              <w:t>遵循披露原则</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8" w:space="0"/>
              <w:bottom w:val="single" w:color="auto" w:sz="6" w:space="0"/>
              <w:right w:val="single" w:color="auto" w:sz="6" w:space="0"/>
            </w:tcBorders>
          </w:tcPr>
          <w:p>
            <w:pPr>
              <w:ind w:left="181" w:leftChars="86"/>
              <w:rPr>
                <w:rFonts w:ascii="宋体" w:hAnsi="宋体"/>
                <w:sz w:val="18"/>
                <w:szCs w:val="18"/>
                <w:highlight w:val="none"/>
              </w:rPr>
            </w:pPr>
            <w:r>
              <w:rPr>
                <w:rFonts w:hint="eastAsia" w:ascii="Times New Roman" w:hAnsi="宋体" w:cs="Arial"/>
                <w:sz w:val="18"/>
                <w:szCs w:val="18"/>
                <w:highlight w:val="none"/>
              </w:rPr>
              <w:t>目标的基本信息</w:t>
            </w:r>
          </w:p>
        </w:tc>
        <w:tc>
          <w:tcPr>
            <w:tcW w:w="5954" w:type="dxa"/>
            <w:tcBorders>
              <w:top w:val="single" w:color="auto" w:sz="8" w:space="0"/>
              <w:left w:val="single" w:color="auto" w:sz="6" w:space="0"/>
              <w:bottom w:val="single" w:color="auto" w:sz="6" w:space="0"/>
              <w:right w:val="single" w:color="auto" w:sz="6" w:space="0"/>
            </w:tcBorders>
          </w:tcPr>
          <w:p>
            <w:pPr>
              <w:ind w:left="181" w:leftChars="86"/>
              <w:rPr>
                <w:rFonts w:ascii="Times New Roman" w:hAnsi="宋体" w:cs="Arial"/>
                <w:sz w:val="18"/>
                <w:szCs w:val="18"/>
                <w:highlight w:val="none"/>
              </w:rPr>
            </w:pPr>
            <w:r>
              <w:rPr>
                <w:rFonts w:hint="eastAsia" w:ascii="Times New Roman" w:hAnsi="宋体" w:cs="Arial"/>
                <w:b/>
                <w:bCs/>
                <w:sz w:val="18"/>
                <w:szCs w:val="18"/>
                <w:highlight w:val="none"/>
              </w:rPr>
              <w:t>应</w:t>
            </w:r>
            <w:r>
              <w:rPr>
                <w:rFonts w:hint="eastAsia" w:ascii="宋体" w:hAnsi="宋体" w:cs="Arial"/>
                <w:b w:val="0"/>
                <w:bCs w:val="0"/>
                <w:sz w:val="18"/>
                <w:szCs w:val="18"/>
                <w:highlight w:val="none"/>
              </w:rPr>
              <w:t>包括</w:t>
            </w:r>
            <w:r>
              <w:rPr>
                <w:rFonts w:hint="eastAsia" w:ascii="Times New Roman" w:hAnsi="宋体" w:cs="Arial"/>
                <w:sz w:val="18"/>
                <w:szCs w:val="18"/>
                <w:highlight w:val="none"/>
              </w:rPr>
              <w:t>具体目标名称、基准年与达成时间，</w:t>
            </w:r>
            <w:r>
              <w:rPr>
                <w:rFonts w:hint="eastAsia" w:ascii="宋体" w:hAnsi="宋体" w:cs="Arial"/>
                <w:b/>
                <w:bCs/>
                <w:sz w:val="18"/>
                <w:szCs w:val="18"/>
                <w:highlight w:val="none"/>
              </w:rPr>
              <w:t>宜</w:t>
            </w:r>
            <w:r>
              <w:rPr>
                <w:rFonts w:hint="eastAsia" w:ascii="宋体" w:hAnsi="宋体" w:cs="Arial"/>
                <w:b w:val="0"/>
                <w:bCs w:val="0"/>
                <w:sz w:val="18"/>
                <w:szCs w:val="18"/>
                <w:highlight w:val="none"/>
              </w:rPr>
              <w:t>包括</w:t>
            </w:r>
            <w:r>
              <w:rPr>
                <w:rFonts w:hint="eastAsia" w:ascii="Times New Roman" w:hAnsi="宋体" w:cs="Arial"/>
                <w:sz w:val="18"/>
                <w:szCs w:val="18"/>
                <w:highlight w:val="none"/>
              </w:rPr>
              <w:t>目标覆盖范围、目标达成对应的绩效类信息。</w:t>
            </w:r>
          </w:p>
          <w:p>
            <w:pPr>
              <w:ind w:left="181" w:leftChars="86"/>
              <w:rPr>
                <w:rFonts w:ascii="宋体" w:hAnsi="宋体"/>
                <w:sz w:val="18"/>
                <w:szCs w:val="18"/>
                <w:highlight w:val="none"/>
              </w:rPr>
            </w:pPr>
            <w:r>
              <w:rPr>
                <w:rFonts w:hint="eastAsia" w:ascii="宋体" w:hAnsi="宋体"/>
                <w:sz w:val="18"/>
                <w:szCs w:val="18"/>
                <w:highlight w:val="none"/>
              </w:rPr>
              <w:t>若目标所依据的标准有具体要求，则关于标准达成情况的信息</w:t>
            </w:r>
            <w:r>
              <w:rPr>
                <w:rFonts w:hint="eastAsia" w:ascii="宋体" w:hAnsi="宋体"/>
                <w:b/>
                <w:bCs/>
                <w:sz w:val="18"/>
                <w:szCs w:val="18"/>
                <w:highlight w:val="none"/>
              </w:rPr>
              <w:t>应</w:t>
            </w:r>
            <w:r>
              <w:rPr>
                <w:rFonts w:hint="eastAsia" w:ascii="宋体" w:hAnsi="宋体"/>
                <w:sz w:val="18"/>
                <w:szCs w:val="18"/>
                <w:highlight w:val="none"/>
              </w:rPr>
              <w:t>包含必要的说明，例如，</w:t>
            </w:r>
            <w:r>
              <w:rPr>
                <w:rFonts w:hint="eastAsia" w:ascii="宋体" w:hAnsi="宋体" w:cs="Arial"/>
                <w:sz w:val="18"/>
                <w:szCs w:val="18"/>
                <w:highlight w:val="none"/>
              </w:rPr>
              <w:t>若涉及使用碳抵消，</w:t>
            </w:r>
            <w:r>
              <w:rPr>
                <w:rFonts w:hint="eastAsia" w:ascii="宋体" w:hAnsi="宋体" w:cs="Arial"/>
                <w:b/>
                <w:bCs/>
                <w:sz w:val="18"/>
                <w:szCs w:val="18"/>
                <w:highlight w:val="none"/>
              </w:rPr>
              <w:t>应</w:t>
            </w:r>
            <w:r>
              <w:rPr>
                <w:rFonts w:hint="eastAsia" w:ascii="宋体" w:hAnsi="宋体" w:cs="Arial"/>
                <w:sz w:val="18"/>
                <w:szCs w:val="18"/>
                <w:highlight w:val="none"/>
              </w:rPr>
              <w:t>确保在使用碳抵消之前做出了最大程度的降碳努力。</w:t>
            </w:r>
          </w:p>
        </w:tc>
        <w:tc>
          <w:tcPr>
            <w:tcW w:w="1559" w:type="dxa"/>
            <w:tcBorders>
              <w:top w:val="single" w:color="auto" w:sz="8" w:space="0"/>
              <w:left w:val="single" w:color="auto" w:sz="6" w:space="0"/>
              <w:bottom w:val="single" w:color="auto" w:sz="6" w:space="0"/>
            </w:tcBorders>
          </w:tcPr>
          <w:p>
            <w:pPr>
              <w:ind w:left="181" w:leftChars="86"/>
              <w:rPr>
                <w:rFonts w:ascii="宋体" w:hAnsi="宋体"/>
                <w:sz w:val="18"/>
                <w:szCs w:val="18"/>
                <w:highlight w:val="none"/>
              </w:rPr>
            </w:pPr>
            <w:r>
              <w:rPr>
                <w:rFonts w:hint="eastAsia" w:ascii="Times New Roman" w:hAnsi="宋体" w:cs="Arial"/>
                <w:sz w:val="18"/>
                <w:szCs w:val="18"/>
                <w:highlight w:val="none"/>
              </w:rPr>
              <w:t>明确性、完整性、准确性</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6" w:space="0"/>
              <w:bottom w:val="single" w:color="auto" w:sz="6" w:space="0"/>
              <w:right w:val="single" w:color="auto" w:sz="6" w:space="0"/>
            </w:tcBorders>
          </w:tcPr>
          <w:p>
            <w:pPr>
              <w:ind w:left="181" w:leftChars="86"/>
              <w:rPr>
                <w:rFonts w:ascii="宋体" w:hAnsi="宋体"/>
                <w:sz w:val="18"/>
                <w:szCs w:val="18"/>
                <w:highlight w:val="none"/>
              </w:rPr>
            </w:pPr>
            <w:r>
              <w:rPr>
                <w:rFonts w:hint="eastAsia" w:ascii="Times New Roman" w:hAnsi="宋体" w:cs="Arial"/>
                <w:sz w:val="18"/>
                <w:szCs w:val="18"/>
                <w:highlight w:val="none"/>
              </w:rPr>
              <w:t>目标的承诺和声明</w:t>
            </w:r>
          </w:p>
        </w:tc>
        <w:tc>
          <w:tcPr>
            <w:tcW w:w="5954" w:type="dxa"/>
            <w:tcBorders>
              <w:top w:val="single" w:color="auto" w:sz="6" w:space="0"/>
              <w:left w:val="single" w:color="auto" w:sz="6" w:space="0"/>
              <w:bottom w:val="single" w:color="auto" w:sz="6" w:space="0"/>
              <w:right w:val="single" w:color="auto" w:sz="6" w:space="0"/>
            </w:tcBorders>
          </w:tcPr>
          <w:p>
            <w:pPr>
              <w:ind w:left="181" w:leftChars="86"/>
              <w:rPr>
                <w:rFonts w:ascii="宋体" w:hAnsi="宋体"/>
                <w:sz w:val="18"/>
                <w:szCs w:val="18"/>
                <w:highlight w:val="none"/>
              </w:rPr>
            </w:pPr>
            <w:r>
              <w:rPr>
                <w:rFonts w:hint="eastAsia" w:ascii="宋体" w:hAnsi="宋体" w:cs="Arial"/>
                <w:b/>
                <w:bCs/>
                <w:sz w:val="18"/>
                <w:szCs w:val="18"/>
                <w:highlight w:val="none"/>
              </w:rPr>
              <w:t>宜</w:t>
            </w:r>
            <w:r>
              <w:rPr>
                <w:rFonts w:hint="eastAsia" w:ascii="Times New Roman" w:hAnsi="宋体" w:cs="Arial"/>
                <w:sz w:val="18"/>
                <w:szCs w:val="18"/>
                <w:highlight w:val="none"/>
              </w:rPr>
              <w:t>说明企业的最高领导层关于目标所发表的正式陈述或承诺内容，以表达企业对目标的承诺和意图。</w:t>
            </w:r>
          </w:p>
        </w:tc>
        <w:tc>
          <w:tcPr>
            <w:tcW w:w="1559" w:type="dxa"/>
            <w:tcBorders>
              <w:top w:val="single" w:color="auto" w:sz="6" w:space="0"/>
              <w:left w:val="single" w:color="auto" w:sz="6" w:space="0"/>
              <w:bottom w:val="single" w:color="auto" w:sz="6" w:space="0"/>
            </w:tcBorders>
          </w:tcPr>
          <w:p>
            <w:pPr>
              <w:ind w:left="181" w:leftChars="86"/>
              <w:rPr>
                <w:rFonts w:ascii="宋体" w:hAnsi="宋体"/>
                <w:sz w:val="18"/>
                <w:szCs w:val="18"/>
                <w:highlight w:val="none"/>
              </w:rPr>
            </w:pPr>
            <w:r>
              <w:rPr>
                <w:rFonts w:hint="eastAsia" w:ascii="Times New Roman" w:hAnsi="宋体" w:cs="Arial"/>
                <w:sz w:val="18"/>
                <w:szCs w:val="18"/>
                <w:highlight w:val="none"/>
              </w:rPr>
              <w:t>明确性</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6" w:space="0"/>
              <w:bottom w:val="single" w:color="auto" w:sz="6" w:space="0"/>
              <w:right w:val="single" w:color="auto" w:sz="6" w:space="0"/>
            </w:tcBorders>
          </w:tcPr>
          <w:p>
            <w:pPr>
              <w:ind w:left="181" w:leftChars="86"/>
              <w:rPr>
                <w:rFonts w:ascii="宋体" w:hAnsi="宋体" w:cs="Arial"/>
                <w:sz w:val="18"/>
                <w:szCs w:val="18"/>
                <w:highlight w:val="none"/>
              </w:rPr>
            </w:pPr>
            <w:r>
              <w:rPr>
                <w:rFonts w:hint="eastAsia" w:ascii="Times New Roman" w:hAnsi="宋体" w:cs="Arial"/>
                <w:sz w:val="18"/>
                <w:szCs w:val="18"/>
                <w:highlight w:val="none"/>
              </w:rPr>
              <w:t>目标的实现路径</w:t>
            </w:r>
          </w:p>
        </w:tc>
        <w:tc>
          <w:tcPr>
            <w:tcW w:w="5954" w:type="dxa"/>
            <w:tcBorders>
              <w:top w:val="single" w:color="auto" w:sz="6" w:space="0"/>
              <w:left w:val="single" w:color="auto" w:sz="6" w:space="0"/>
              <w:bottom w:val="single" w:color="auto" w:sz="6" w:space="0"/>
              <w:right w:val="single" w:color="auto" w:sz="6" w:space="0"/>
            </w:tcBorders>
          </w:tcPr>
          <w:p>
            <w:pPr>
              <w:ind w:left="181" w:leftChars="86"/>
              <w:rPr>
                <w:rFonts w:ascii="宋体" w:hAnsi="宋体" w:cs="Arial"/>
                <w:sz w:val="18"/>
                <w:szCs w:val="18"/>
                <w:highlight w:val="none"/>
              </w:rPr>
            </w:pPr>
            <w:r>
              <w:rPr>
                <w:rFonts w:hint="eastAsia" w:ascii="宋体" w:hAnsi="宋体" w:cs="Arial"/>
                <w:b/>
                <w:bCs/>
                <w:sz w:val="18"/>
                <w:szCs w:val="18"/>
                <w:highlight w:val="none"/>
              </w:rPr>
              <w:t>可</w:t>
            </w:r>
            <w:r>
              <w:rPr>
                <w:rFonts w:hint="eastAsia" w:ascii="Times New Roman" w:hAnsi="宋体" w:cs="Arial"/>
                <w:sz w:val="18"/>
                <w:szCs w:val="18"/>
                <w:highlight w:val="none"/>
              </w:rPr>
              <w:t>说明企业为实现目标制定的具体措施、策略和计划，例如时间表、责任分配、可用和所需的财政和人力资源等。</w:t>
            </w:r>
          </w:p>
        </w:tc>
        <w:tc>
          <w:tcPr>
            <w:tcW w:w="1559" w:type="dxa"/>
            <w:tcBorders>
              <w:top w:val="single" w:color="auto" w:sz="6" w:space="0"/>
              <w:left w:val="single" w:color="auto" w:sz="6" w:space="0"/>
              <w:bottom w:val="single" w:color="auto" w:sz="6" w:space="0"/>
            </w:tcBorders>
          </w:tcPr>
          <w:p>
            <w:pPr>
              <w:ind w:left="181" w:leftChars="86"/>
              <w:rPr>
                <w:rFonts w:ascii="宋体" w:hAnsi="宋体" w:cs="Arial"/>
                <w:sz w:val="18"/>
                <w:szCs w:val="18"/>
                <w:highlight w:val="none"/>
              </w:rPr>
            </w:pPr>
            <w:r>
              <w:rPr>
                <w:rFonts w:hint="eastAsia" w:ascii="Times New Roman" w:hAnsi="宋体" w:cs="Arial"/>
                <w:sz w:val="18"/>
                <w:szCs w:val="18"/>
                <w:highlight w:val="none"/>
              </w:rPr>
              <w:t>合理性</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6" w:space="0"/>
              <w:bottom w:val="single" w:color="auto" w:sz="6" w:space="0"/>
              <w:right w:val="single" w:color="auto" w:sz="6" w:space="0"/>
            </w:tcBorders>
          </w:tcPr>
          <w:p>
            <w:pPr>
              <w:ind w:left="181" w:leftChars="86"/>
              <w:rPr>
                <w:rFonts w:ascii="宋体" w:hAnsi="宋体" w:cs="Arial"/>
                <w:sz w:val="18"/>
                <w:szCs w:val="18"/>
                <w:highlight w:val="none"/>
              </w:rPr>
            </w:pPr>
            <w:r>
              <w:rPr>
                <w:rFonts w:hint="eastAsia" w:ascii="Times New Roman" w:hAnsi="宋体" w:cs="Arial"/>
                <w:sz w:val="18"/>
                <w:szCs w:val="18"/>
                <w:highlight w:val="none"/>
              </w:rPr>
              <w:t>目标与路径的必要依据</w:t>
            </w:r>
          </w:p>
        </w:tc>
        <w:tc>
          <w:tcPr>
            <w:tcW w:w="5954" w:type="dxa"/>
            <w:tcBorders>
              <w:top w:val="single" w:color="auto" w:sz="6" w:space="0"/>
              <w:left w:val="single" w:color="auto" w:sz="6" w:space="0"/>
              <w:bottom w:val="single" w:color="auto" w:sz="6" w:space="0"/>
              <w:right w:val="single" w:color="auto" w:sz="6" w:space="0"/>
            </w:tcBorders>
          </w:tcPr>
          <w:p>
            <w:pPr>
              <w:ind w:left="181" w:leftChars="86"/>
              <w:rPr>
                <w:rFonts w:ascii="宋体" w:hAnsi="宋体" w:cs="Arial"/>
                <w:sz w:val="18"/>
                <w:szCs w:val="18"/>
                <w:highlight w:val="none"/>
              </w:rPr>
            </w:pPr>
            <w:r>
              <w:rPr>
                <w:rFonts w:hint="eastAsia" w:ascii="宋体" w:hAnsi="宋体" w:cs="Arial"/>
                <w:b/>
                <w:bCs/>
                <w:sz w:val="18"/>
                <w:szCs w:val="18"/>
                <w:highlight w:val="none"/>
              </w:rPr>
              <w:t>应</w:t>
            </w:r>
            <w:r>
              <w:rPr>
                <w:rFonts w:hint="eastAsia" w:ascii="Times New Roman" w:hAnsi="宋体" w:cs="Arial"/>
                <w:sz w:val="18"/>
                <w:szCs w:val="18"/>
                <w:highlight w:val="none"/>
              </w:rPr>
              <w:t>说明目标及其实现路径所依据的标准规范，并</w:t>
            </w:r>
            <w:r>
              <w:rPr>
                <w:rFonts w:hint="eastAsia" w:ascii="宋体" w:hAnsi="宋体" w:cs="Arial"/>
                <w:b/>
                <w:sz w:val="18"/>
                <w:szCs w:val="18"/>
                <w:highlight w:val="none"/>
              </w:rPr>
              <w:t>应</w:t>
            </w:r>
            <w:r>
              <w:rPr>
                <w:rFonts w:hint="eastAsia" w:ascii="Times New Roman" w:hAnsi="宋体" w:cs="Arial"/>
                <w:sz w:val="18"/>
                <w:szCs w:val="18"/>
                <w:highlight w:val="none"/>
              </w:rPr>
              <w:t>按相应标准做出符合性声明。</w:t>
            </w:r>
          </w:p>
        </w:tc>
        <w:tc>
          <w:tcPr>
            <w:tcW w:w="1559" w:type="dxa"/>
            <w:tcBorders>
              <w:top w:val="single" w:color="auto" w:sz="6" w:space="0"/>
              <w:left w:val="single" w:color="auto" w:sz="6" w:space="0"/>
              <w:bottom w:val="single" w:color="auto" w:sz="6" w:space="0"/>
            </w:tcBorders>
          </w:tcPr>
          <w:p>
            <w:pPr>
              <w:ind w:left="181" w:leftChars="86"/>
              <w:rPr>
                <w:rFonts w:ascii="宋体" w:hAnsi="宋体" w:cs="Arial"/>
                <w:sz w:val="18"/>
                <w:szCs w:val="18"/>
                <w:highlight w:val="none"/>
              </w:rPr>
            </w:pPr>
            <w:r>
              <w:rPr>
                <w:rFonts w:hint="eastAsia" w:ascii="Times New Roman" w:hAnsi="宋体" w:cs="Arial"/>
                <w:sz w:val="18"/>
                <w:szCs w:val="18"/>
                <w:highlight w:val="none"/>
              </w:rPr>
              <w:t>合理性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6" w:space="0"/>
              <w:left w:val="single" w:color="auto" w:sz="8" w:space="0"/>
              <w:bottom w:val="single" w:color="auto" w:sz="8" w:space="0"/>
              <w:right w:val="single" w:color="auto" w:sz="6" w:space="0"/>
            </w:tcBorders>
          </w:tcPr>
          <w:p>
            <w:pPr>
              <w:rPr>
                <w:rFonts w:ascii="宋体" w:hAnsi="宋体" w:cs="Arial"/>
                <w:sz w:val="18"/>
                <w:szCs w:val="18"/>
                <w:highlight w:val="none"/>
              </w:rPr>
            </w:pPr>
            <w:r>
              <w:rPr>
                <w:rFonts w:hint="eastAsia" w:ascii="Times New Roman" w:hAnsi="宋体" w:cs="Arial"/>
                <w:sz w:val="18"/>
                <w:szCs w:val="18"/>
                <w:highlight w:val="none"/>
              </w:rPr>
              <w:t>更积极的行动</w:t>
            </w:r>
          </w:p>
        </w:tc>
        <w:tc>
          <w:tcPr>
            <w:tcW w:w="5954" w:type="dxa"/>
            <w:tcBorders>
              <w:top w:val="single" w:color="auto" w:sz="6" w:space="0"/>
              <w:left w:val="single" w:color="auto" w:sz="6" w:space="0"/>
              <w:bottom w:val="single" w:color="auto" w:sz="8" w:space="0"/>
              <w:right w:val="single" w:color="auto" w:sz="6" w:space="0"/>
            </w:tcBorders>
          </w:tcPr>
          <w:p>
            <w:pPr>
              <w:rPr>
                <w:rFonts w:ascii="Times New Roman" w:hAnsi="宋体" w:cs="Arial"/>
                <w:sz w:val="18"/>
                <w:szCs w:val="18"/>
                <w:highlight w:val="none"/>
              </w:rPr>
            </w:pPr>
            <w:r>
              <w:rPr>
                <w:rFonts w:hint="eastAsia" w:ascii="Times New Roman" w:hAnsi="宋体" w:cs="Arial"/>
                <w:sz w:val="18"/>
                <w:szCs w:val="18"/>
                <w:highlight w:val="none"/>
              </w:rPr>
              <w:t>若碳目标并未覆盖披露主体的全部碳排放，</w:t>
            </w:r>
            <w:r>
              <w:rPr>
                <w:rFonts w:ascii="宋体" w:hAnsi="宋体" w:cs="Arial"/>
                <w:b/>
                <w:sz w:val="18"/>
                <w:szCs w:val="18"/>
                <w:highlight w:val="none"/>
              </w:rPr>
              <w:t>应</w:t>
            </w:r>
            <w:r>
              <w:rPr>
                <w:rFonts w:hint="eastAsia" w:ascii="Times New Roman" w:hAnsi="宋体" w:cs="Arial"/>
                <w:sz w:val="18"/>
                <w:szCs w:val="18"/>
                <w:highlight w:val="none"/>
              </w:rPr>
              <w:t>披露更广泛有助于减缓气候变化的行动和计划。</w:t>
            </w:r>
          </w:p>
        </w:tc>
        <w:tc>
          <w:tcPr>
            <w:tcW w:w="1559" w:type="dxa"/>
            <w:tcBorders>
              <w:top w:val="single" w:color="auto" w:sz="6" w:space="0"/>
              <w:left w:val="single" w:color="auto" w:sz="6" w:space="0"/>
              <w:bottom w:val="single" w:color="auto" w:sz="8" w:space="0"/>
              <w:right w:val="single" w:color="auto" w:sz="8" w:space="0"/>
            </w:tcBorders>
          </w:tcPr>
          <w:p>
            <w:pPr>
              <w:rPr>
                <w:rFonts w:ascii="宋体" w:hAnsi="宋体" w:cs="Arial"/>
                <w:sz w:val="18"/>
                <w:szCs w:val="18"/>
                <w:highlight w:val="none"/>
              </w:rPr>
            </w:pPr>
            <w:r>
              <w:rPr>
                <w:rFonts w:hint="eastAsia" w:ascii="宋体" w:hAnsi="宋体" w:cs="Arial"/>
                <w:sz w:val="18"/>
                <w:szCs w:val="18"/>
                <w:highlight w:val="none"/>
              </w:rPr>
              <w:t>实质性</w:t>
            </w:r>
          </w:p>
        </w:tc>
      </w:tr>
    </w:tbl>
    <w:p>
      <w:pPr>
        <w:spacing w:before="156" w:beforeLines="50" w:after="156" w:afterLines="50"/>
        <w:rPr>
          <w:rFonts w:ascii="黑体" w:hAnsi="黑体" w:eastAsia="黑体"/>
          <w:highlight w:val="none"/>
        </w:rPr>
      </w:pPr>
      <w:r>
        <w:rPr>
          <w:rFonts w:ascii="黑体" w:hAnsi="黑体" w:eastAsia="黑体"/>
          <w:highlight w:val="none"/>
        </w:rPr>
        <w:t>6.4.</w:t>
      </w:r>
      <w:r>
        <w:rPr>
          <w:rFonts w:hint="eastAsia" w:ascii="黑体" w:hAnsi="黑体" w:eastAsia="黑体"/>
          <w:highlight w:val="none"/>
        </w:rPr>
        <w:t>2</w:t>
      </w:r>
      <w:r>
        <w:rPr>
          <w:rFonts w:ascii="黑体" w:hAnsi="黑体" w:eastAsia="黑体"/>
          <w:highlight w:val="none"/>
        </w:rPr>
        <w:t xml:space="preserve"> </w:t>
      </w:r>
      <w:r>
        <w:rPr>
          <w:rFonts w:hint="eastAsia" w:ascii="黑体" w:hAnsi="黑体" w:eastAsia="黑体"/>
          <w:highlight w:val="none"/>
        </w:rPr>
        <w:t>举措类</w:t>
      </w:r>
    </w:p>
    <w:p>
      <w:pPr>
        <w:ind w:firstLine="420"/>
        <w:rPr>
          <w:rFonts w:ascii="宋体" w:hAnsi="宋体"/>
          <w:highlight w:val="none"/>
        </w:rPr>
      </w:pPr>
      <w:r>
        <w:rPr>
          <w:rFonts w:hint="eastAsia" w:ascii="宋体" w:hAnsi="宋体"/>
          <w:highlight w:val="none"/>
        </w:rPr>
        <w:t>举措类碳信息披露涉及如下内容，并</w:t>
      </w:r>
      <w:r>
        <w:rPr>
          <w:rFonts w:hint="eastAsia" w:ascii="宋体" w:hAnsi="宋体"/>
          <w:b/>
          <w:highlight w:val="none"/>
        </w:rPr>
        <w:t>应</w:t>
      </w:r>
      <w:r>
        <w:rPr>
          <w:rFonts w:hint="eastAsia" w:ascii="宋体" w:hAnsi="宋体"/>
          <w:highlight w:val="none"/>
        </w:rPr>
        <w:t>重点遵循的相关披露原则，</w:t>
      </w:r>
      <w:r>
        <w:rPr>
          <w:rFonts w:hint="eastAsia" w:ascii="宋体" w:hAnsi="宋体"/>
          <w:b/>
          <w:highlight w:val="none"/>
        </w:rPr>
        <w:t>应</w:t>
      </w:r>
      <w:r>
        <w:rPr>
          <w:rFonts w:hint="eastAsia" w:ascii="宋体" w:hAnsi="宋体"/>
          <w:highlight w:val="none"/>
        </w:rPr>
        <w:t>符合表4的规定。</w:t>
      </w:r>
    </w:p>
    <w:p>
      <w:pPr>
        <w:spacing w:before="156" w:beforeLines="50" w:after="156" w:afterLines="50"/>
        <w:jc w:val="center"/>
        <w:rPr>
          <w:rFonts w:ascii="黑体" w:hAnsi="黑体" w:eastAsia="黑体" w:cs="Arial"/>
          <w:bCs/>
          <w:sz w:val="21"/>
          <w:szCs w:val="21"/>
          <w:highlight w:val="none"/>
        </w:rPr>
      </w:pPr>
      <w:r>
        <w:rPr>
          <w:rFonts w:ascii="黑体" w:hAnsi="黑体" w:eastAsia="黑体" w:cs="Arial"/>
          <w:bCs/>
          <w:sz w:val="21"/>
          <w:szCs w:val="21"/>
          <w:highlight w:val="none"/>
        </w:rPr>
        <w:t xml:space="preserve">表 4 </w:t>
      </w:r>
      <w:r>
        <w:rPr>
          <w:rFonts w:hint="eastAsia" w:ascii="黑体" w:hAnsi="黑体" w:eastAsia="黑体" w:cs="Arial"/>
          <w:bCs/>
          <w:sz w:val="21"/>
          <w:szCs w:val="21"/>
          <w:highlight w:val="none"/>
        </w:rPr>
        <w:t>举措类碳信息披露内容要求及遵循原则</w:t>
      </w:r>
    </w:p>
    <w:tbl>
      <w:tblPr>
        <w:tblStyle w:val="41"/>
        <w:tblW w:w="9351"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838"/>
        <w:gridCol w:w="5954"/>
        <w:gridCol w:w="155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Borders>
              <w:top w:val="single" w:color="auto" w:sz="8" w:space="0"/>
              <w:bottom w:val="single" w:color="auto" w:sz="8" w:space="0"/>
            </w:tcBorders>
          </w:tcPr>
          <w:p>
            <w:pPr>
              <w:jc w:val="center"/>
              <w:rPr>
                <w:rFonts w:ascii="宋体" w:hAnsi="宋体"/>
                <w:sz w:val="18"/>
                <w:szCs w:val="18"/>
                <w:highlight w:val="none"/>
              </w:rPr>
            </w:pPr>
            <w:r>
              <w:rPr>
                <w:rFonts w:hint="eastAsia" w:ascii="宋体" w:hAnsi="宋体"/>
                <w:sz w:val="18"/>
                <w:szCs w:val="18"/>
                <w:highlight w:val="none"/>
              </w:rPr>
              <w:t>信息类型</w:t>
            </w:r>
          </w:p>
        </w:tc>
        <w:tc>
          <w:tcPr>
            <w:tcW w:w="5954" w:type="dxa"/>
            <w:tcBorders>
              <w:top w:val="single" w:color="auto" w:sz="8" w:space="0"/>
              <w:bottom w:val="single" w:color="auto" w:sz="8" w:space="0"/>
            </w:tcBorders>
          </w:tcPr>
          <w:p>
            <w:pPr>
              <w:jc w:val="center"/>
              <w:rPr>
                <w:rFonts w:ascii="宋体" w:hAnsi="宋体"/>
                <w:sz w:val="18"/>
                <w:szCs w:val="18"/>
                <w:highlight w:val="none"/>
              </w:rPr>
            </w:pPr>
            <w:r>
              <w:rPr>
                <w:rFonts w:hint="eastAsia" w:ascii="宋体" w:hAnsi="宋体"/>
                <w:sz w:val="18"/>
                <w:szCs w:val="18"/>
                <w:highlight w:val="none"/>
              </w:rPr>
              <w:t>内容要求</w:t>
            </w:r>
          </w:p>
        </w:tc>
        <w:tc>
          <w:tcPr>
            <w:tcW w:w="1559" w:type="dxa"/>
            <w:tcBorders>
              <w:top w:val="single" w:color="auto" w:sz="8" w:space="0"/>
              <w:bottom w:val="single" w:color="auto" w:sz="8" w:space="0"/>
            </w:tcBorders>
          </w:tcPr>
          <w:p>
            <w:pPr>
              <w:jc w:val="center"/>
              <w:rPr>
                <w:rFonts w:ascii="宋体" w:hAnsi="宋体"/>
                <w:sz w:val="18"/>
                <w:szCs w:val="18"/>
                <w:highlight w:val="none"/>
              </w:rPr>
            </w:pPr>
            <w:r>
              <w:rPr>
                <w:rFonts w:ascii="宋体" w:hAnsi="宋体" w:cs="Arial"/>
                <w:sz w:val="18"/>
                <w:szCs w:val="18"/>
                <w:highlight w:val="none"/>
              </w:rPr>
              <w:t>应</w:t>
            </w:r>
            <w:r>
              <w:rPr>
                <w:rFonts w:hint="eastAsia" w:ascii="宋体" w:hAnsi="宋体" w:cs="Arial"/>
                <w:sz w:val="18"/>
                <w:szCs w:val="18"/>
                <w:highlight w:val="none"/>
              </w:rPr>
              <w:t>遵循披露原则</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Borders>
              <w:top w:val="single" w:color="auto" w:sz="8" w:space="0"/>
            </w:tcBorders>
          </w:tcPr>
          <w:p>
            <w:pPr>
              <w:rPr>
                <w:rFonts w:ascii="宋体" w:hAnsi="宋体"/>
                <w:sz w:val="18"/>
                <w:szCs w:val="18"/>
                <w:highlight w:val="none"/>
              </w:rPr>
            </w:pPr>
            <w:r>
              <w:rPr>
                <w:rFonts w:hint="eastAsia" w:ascii="Times New Roman" w:hAnsi="宋体" w:cs="Arial"/>
                <w:sz w:val="18"/>
                <w:szCs w:val="18"/>
                <w:highlight w:val="none"/>
              </w:rPr>
              <w:t>举措的基本信息</w:t>
            </w:r>
          </w:p>
        </w:tc>
        <w:tc>
          <w:tcPr>
            <w:tcW w:w="5954" w:type="dxa"/>
            <w:tcBorders>
              <w:top w:val="single" w:color="auto" w:sz="8" w:space="0"/>
            </w:tcBorders>
          </w:tcPr>
          <w:p>
            <w:pPr>
              <w:rPr>
                <w:rFonts w:ascii="宋体" w:hAnsi="宋体"/>
                <w:sz w:val="18"/>
                <w:szCs w:val="18"/>
                <w:highlight w:val="none"/>
              </w:rPr>
            </w:pPr>
            <w:r>
              <w:rPr>
                <w:rFonts w:hint="eastAsia" w:ascii="Times New Roman" w:hAnsi="宋体" w:cs="Arial"/>
                <w:b/>
                <w:bCs/>
                <w:sz w:val="18"/>
                <w:szCs w:val="18"/>
                <w:highlight w:val="none"/>
              </w:rPr>
              <w:t>宜包括行动</w:t>
            </w:r>
            <w:r>
              <w:rPr>
                <w:rFonts w:hint="eastAsia" w:ascii="Times New Roman" w:hAnsi="宋体" w:cs="Arial"/>
                <w:sz w:val="18"/>
                <w:szCs w:val="18"/>
                <w:highlight w:val="none"/>
              </w:rPr>
              <w:t>具体方法、持续的时间、体现其技术内涵的信息。</w:t>
            </w:r>
          </w:p>
        </w:tc>
        <w:tc>
          <w:tcPr>
            <w:tcW w:w="1559" w:type="dxa"/>
            <w:tcBorders>
              <w:top w:val="single" w:color="auto" w:sz="8" w:space="0"/>
            </w:tcBorders>
          </w:tcPr>
          <w:p>
            <w:pPr>
              <w:rPr>
                <w:rFonts w:ascii="宋体" w:hAnsi="宋体"/>
                <w:sz w:val="18"/>
                <w:szCs w:val="18"/>
                <w:highlight w:val="none"/>
              </w:rPr>
            </w:pPr>
            <w:r>
              <w:rPr>
                <w:rFonts w:hint="eastAsia" w:ascii="Times New Roman" w:hAnsi="宋体" w:cs="Arial"/>
                <w:sz w:val="18"/>
                <w:szCs w:val="18"/>
                <w:highlight w:val="none"/>
              </w:rPr>
              <w:t>明确性、完整性、准确性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Pr>
          <w:p>
            <w:pPr>
              <w:rPr>
                <w:rFonts w:ascii="宋体" w:hAnsi="宋体" w:cs="Arial"/>
                <w:sz w:val="18"/>
                <w:szCs w:val="18"/>
                <w:highlight w:val="none"/>
              </w:rPr>
            </w:pPr>
            <w:r>
              <w:rPr>
                <w:rFonts w:hint="eastAsia" w:ascii="Times New Roman" w:hAnsi="宋体" w:cs="Arial"/>
                <w:sz w:val="18"/>
                <w:szCs w:val="18"/>
                <w:highlight w:val="none"/>
              </w:rPr>
              <w:t>举措内容的必要依据</w:t>
            </w:r>
          </w:p>
        </w:tc>
        <w:tc>
          <w:tcPr>
            <w:tcW w:w="5954" w:type="dxa"/>
          </w:tcPr>
          <w:p>
            <w:pPr>
              <w:rPr>
                <w:rFonts w:ascii="Times New Roman" w:hAnsi="宋体" w:cs="Arial"/>
                <w:sz w:val="18"/>
                <w:szCs w:val="18"/>
                <w:highlight w:val="none"/>
              </w:rPr>
            </w:pPr>
            <w:r>
              <w:rPr>
                <w:rFonts w:hint="eastAsia" w:ascii="宋体" w:hAnsi="宋体" w:cs="Arial"/>
                <w:sz w:val="18"/>
                <w:szCs w:val="18"/>
                <w:highlight w:val="none"/>
              </w:rPr>
              <w:t>对于具有特定含义、由特定标准规范定义的举措，宜说明其依据——具体举措的含义，技术名称的定义，</w:t>
            </w:r>
            <w:r>
              <w:rPr>
                <w:rFonts w:hint="eastAsia" w:ascii="Times New Roman" w:hAnsi="宋体" w:cs="Arial"/>
                <w:sz w:val="18"/>
                <w:szCs w:val="18"/>
                <w:highlight w:val="none"/>
              </w:rPr>
              <w:t>并</w:t>
            </w:r>
            <w:r>
              <w:rPr>
                <w:rFonts w:hint="eastAsia" w:ascii="宋体" w:hAnsi="宋体" w:cs="Arial"/>
                <w:b/>
                <w:sz w:val="18"/>
                <w:szCs w:val="18"/>
                <w:highlight w:val="none"/>
              </w:rPr>
              <w:t>应</w:t>
            </w:r>
            <w:r>
              <w:rPr>
                <w:rFonts w:hint="eastAsia" w:ascii="Times New Roman" w:hAnsi="宋体" w:cs="Arial"/>
                <w:sz w:val="18"/>
                <w:szCs w:val="18"/>
                <w:highlight w:val="none"/>
              </w:rPr>
              <w:t>按相应标准做出符合性声明；</w:t>
            </w:r>
          </w:p>
          <w:p>
            <w:pPr>
              <w:rPr>
                <w:rFonts w:ascii="Times New Roman" w:hAnsi="宋体" w:cs="Arial"/>
                <w:sz w:val="18"/>
                <w:szCs w:val="18"/>
                <w:highlight w:val="none"/>
              </w:rPr>
            </w:pPr>
            <w:r>
              <w:rPr>
                <w:rFonts w:hint="eastAsia" w:ascii="Times New Roman" w:hAnsi="宋体" w:cs="Arial"/>
                <w:sz w:val="18"/>
                <w:szCs w:val="18"/>
                <w:highlight w:val="none"/>
              </w:rPr>
              <w:t>若举措是企业战略的组成部分，宜描述有关举措的长期计划信息。</w:t>
            </w:r>
          </w:p>
        </w:tc>
        <w:tc>
          <w:tcPr>
            <w:tcW w:w="1559" w:type="dxa"/>
          </w:tcPr>
          <w:p>
            <w:pPr>
              <w:rPr>
                <w:rFonts w:ascii="宋体" w:hAnsi="宋体" w:cs="Arial"/>
                <w:sz w:val="18"/>
                <w:szCs w:val="18"/>
                <w:highlight w:val="none"/>
              </w:rPr>
            </w:pPr>
            <w:r>
              <w:rPr>
                <w:rFonts w:hint="eastAsia" w:ascii="Times New Roman" w:hAnsi="宋体" w:cs="Arial"/>
                <w:sz w:val="18"/>
                <w:szCs w:val="18"/>
                <w:highlight w:val="none"/>
              </w:rPr>
              <w:t>明确性、合理性</w:t>
            </w:r>
          </w:p>
        </w:tc>
      </w:tr>
    </w:tbl>
    <w:p>
      <w:pPr>
        <w:spacing w:before="156" w:beforeLines="50" w:after="156" w:afterLines="50"/>
        <w:rPr>
          <w:rFonts w:ascii="黑体" w:hAnsi="黑体" w:eastAsia="黑体"/>
          <w:highlight w:val="none"/>
        </w:rPr>
      </w:pPr>
      <w:r>
        <w:rPr>
          <w:rFonts w:ascii="黑体" w:hAnsi="黑体" w:eastAsia="黑体"/>
          <w:highlight w:val="none"/>
        </w:rPr>
        <w:t>6.4.</w:t>
      </w:r>
      <w:r>
        <w:rPr>
          <w:rFonts w:hint="eastAsia" w:ascii="黑体" w:hAnsi="黑体" w:eastAsia="黑体"/>
          <w:highlight w:val="none"/>
        </w:rPr>
        <w:t>3</w:t>
      </w:r>
      <w:r>
        <w:rPr>
          <w:rFonts w:ascii="黑体" w:hAnsi="黑体" w:eastAsia="黑体"/>
          <w:highlight w:val="none"/>
        </w:rPr>
        <w:t xml:space="preserve"> </w:t>
      </w:r>
      <w:r>
        <w:rPr>
          <w:rFonts w:hint="eastAsia" w:ascii="黑体" w:hAnsi="黑体" w:eastAsia="黑体"/>
          <w:highlight w:val="none"/>
        </w:rPr>
        <w:t>绩效类</w:t>
      </w:r>
    </w:p>
    <w:p>
      <w:pPr>
        <w:spacing w:before="156" w:beforeLines="50" w:after="156" w:afterLines="50"/>
        <w:ind w:firstLine="420"/>
        <w:rPr>
          <w:rFonts w:ascii="宋体" w:hAnsi="宋体"/>
          <w:highlight w:val="none"/>
        </w:rPr>
      </w:pPr>
      <w:r>
        <w:rPr>
          <w:rFonts w:hint="eastAsia" w:ascii="宋体" w:hAnsi="宋体"/>
          <w:highlight w:val="none"/>
        </w:rPr>
        <w:t>绩效类碳信息披露涉及如下内容，并</w:t>
      </w:r>
      <w:r>
        <w:rPr>
          <w:rFonts w:hint="eastAsia" w:ascii="宋体" w:hAnsi="宋体"/>
          <w:b/>
          <w:highlight w:val="none"/>
        </w:rPr>
        <w:t>应</w:t>
      </w:r>
      <w:r>
        <w:rPr>
          <w:rFonts w:hint="eastAsia" w:ascii="宋体" w:hAnsi="宋体"/>
          <w:highlight w:val="none"/>
        </w:rPr>
        <w:t>重点遵循的相关披露原则，</w:t>
      </w:r>
      <w:r>
        <w:rPr>
          <w:rFonts w:hint="eastAsia" w:ascii="宋体" w:hAnsi="宋体"/>
          <w:b/>
          <w:highlight w:val="none"/>
        </w:rPr>
        <w:t>应</w:t>
      </w:r>
      <w:r>
        <w:rPr>
          <w:rFonts w:hint="eastAsia" w:ascii="宋体" w:hAnsi="宋体"/>
          <w:highlight w:val="none"/>
        </w:rPr>
        <w:t>符合表5的规定。</w:t>
      </w:r>
    </w:p>
    <w:p>
      <w:pPr>
        <w:spacing w:before="156" w:beforeLines="50" w:after="156" w:afterLines="50"/>
        <w:ind w:left="0" w:leftChars="0"/>
        <w:jc w:val="center"/>
        <w:rPr>
          <w:rFonts w:ascii="黑体" w:hAnsi="黑体" w:eastAsia="黑体" w:cs="Arial"/>
          <w:bCs/>
          <w:sz w:val="21"/>
          <w:szCs w:val="21"/>
          <w:highlight w:val="none"/>
        </w:rPr>
      </w:pPr>
      <w:r>
        <w:rPr>
          <w:rFonts w:ascii="黑体" w:hAnsi="黑体" w:eastAsia="黑体" w:cs="Arial"/>
          <w:bCs/>
          <w:sz w:val="21"/>
          <w:szCs w:val="21"/>
          <w:highlight w:val="none"/>
        </w:rPr>
        <w:t xml:space="preserve">表 5 </w:t>
      </w:r>
      <w:r>
        <w:rPr>
          <w:rFonts w:hint="eastAsia" w:ascii="黑体" w:hAnsi="黑体" w:eastAsia="黑体" w:cs="Arial"/>
          <w:bCs/>
          <w:sz w:val="21"/>
          <w:szCs w:val="21"/>
          <w:highlight w:val="none"/>
        </w:rPr>
        <w:t>绩效类碳信息披露内容要求及遵循原则</w:t>
      </w:r>
    </w:p>
    <w:tbl>
      <w:tblPr>
        <w:tblStyle w:val="41"/>
        <w:tblW w:w="0" w:type="auto"/>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1836"/>
        <w:gridCol w:w="5947"/>
        <w:gridCol w:w="1551"/>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6" w:type="dxa"/>
            <w:tcBorders>
              <w:top w:val="single" w:color="auto" w:sz="8" w:space="0"/>
              <w:bottom w:val="single" w:color="auto" w:sz="8" w:space="0"/>
              <w:right w:val="single" w:color="auto" w:sz="6" w:space="0"/>
            </w:tcBorders>
          </w:tcPr>
          <w:p>
            <w:pPr>
              <w:jc w:val="center"/>
              <w:rPr>
                <w:rFonts w:ascii="宋体" w:hAnsi="宋体"/>
                <w:sz w:val="18"/>
                <w:szCs w:val="18"/>
                <w:highlight w:val="none"/>
              </w:rPr>
            </w:pPr>
            <w:r>
              <w:rPr>
                <w:rFonts w:hint="eastAsia" w:ascii="宋体" w:hAnsi="宋体"/>
                <w:sz w:val="18"/>
                <w:szCs w:val="18"/>
                <w:highlight w:val="none"/>
              </w:rPr>
              <w:t>信息类型</w:t>
            </w:r>
          </w:p>
        </w:tc>
        <w:tc>
          <w:tcPr>
            <w:tcW w:w="5947" w:type="dxa"/>
            <w:tcBorders>
              <w:top w:val="single" w:color="auto" w:sz="8" w:space="0"/>
              <w:left w:val="single" w:color="auto" w:sz="6" w:space="0"/>
              <w:bottom w:val="single" w:color="auto" w:sz="8" w:space="0"/>
              <w:right w:val="single" w:color="auto" w:sz="6" w:space="0"/>
            </w:tcBorders>
          </w:tcPr>
          <w:p>
            <w:pPr>
              <w:jc w:val="center"/>
              <w:rPr>
                <w:rFonts w:ascii="宋体" w:hAnsi="宋体"/>
                <w:sz w:val="18"/>
                <w:szCs w:val="18"/>
                <w:highlight w:val="none"/>
              </w:rPr>
            </w:pPr>
            <w:r>
              <w:rPr>
                <w:rFonts w:hint="eastAsia" w:ascii="宋体" w:hAnsi="宋体"/>
                <w:sz w:val="18"/>
                <w:szCs w:val="18"/>
                <w:highlight w:val="none"/>
              </w:rPr>
              <w:t>内容要求</w:t>
            </w:r>
          </w:p>
        </w:tc>
        <w:tc>
          <w:tcPr>
            <w:tcW w:w="1551" w:type="dxa"/>
            <w:tcBorders>
              <w:top w:val="single" w:color="auto" w:sz="8" w:space="0"/>
              <w:left w:val="single" w:color="auto" w:sz="6" w:space="0"/>
              <w:bottom w:val="single" w:color="auto" w:sz="8" w:space="0"/>
            </w:tcBorders>
          </w:tcPr>
          <w:p>
            <w:pPr>
              <w:jc w:val="center"/>
              <w:rPr>
                <w:rFonts w:ascii="宋体" w:hAnsi="宋体"/>
                <w:sz w:val="18"/>
                <w:szCs w:val="18"/>
                <w:highlight w:val="none"/>
              </w:rPr>
            </w:pPr>
            <w:r>
              <w:rPr>
                <w:rFonts w:ascii="宋体" w:hAnsi="宋体" w:cs="Arial"/>
                <w:b/>
                <w:bCs/>
                <w:sz w:val="18"/>
                <w:szCs w:val="18"/>
                <w:highlight w:val="none"/>
              </w:rPr>
              <w:t>应</w:t>
            </w:r>
            <w:r>
              <w:rPr>
                <w:rFonts w:hint="eastAsia" w:ascii="Times New Roman" w:hAnsi="宋体" w:cs="Arial"/>
                <w:sz w:val="18"/>
                <w:szCs w:val="18"/>
                <w:highlight w:val="none"/>
              </w:rPr>
              <w:t>遵循披露原则</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6" w:type="dxa"/>
            <w:tcBorders>
              <w:top w:val="single" w:color="auto" w:sz="8" w:space="0"/>
              <w:bottom w:val="single" w:color="auto" w:sz="6" w:space="0"/>
              <w:right w:val="single" w:color="auto" w:sz="6" w:space="0"/>
            </w:tcBorders>
          </w:tcPr>
          <w:p>
            <w:pPr>
              <w:rPr>
                <w:rFonts w:ascii="宋体" w:hAnsi="宋体"/>
                <w:sz w:val="18"/>
                <w:szCs w:val="18"/>
                <w:highlight w:val="none"/>
              </w:rPr>
            </w:pPr>
            <w:r>
              <w:rPr>
                <w:rFonts w:hint="eastAsia" w:ascii="Times New Roman" w:hAnsi="宋体" w:cs="Arial"/>
                <w:sz w:val="18"/>
                <w:szCs w:val="18"/>
                <w:highlight w:val="none"/>
              </w:rPr>
              <w:t>绩效指标的基本信息</w:t>
            </w:r>
          </w:p>
        </w:tc>
        <w:tc>
          <w:tcPr>
            <w:tcW w:w="5947" w:type="dxa"/>
            <w:tcBorders>
              <w:top w:val="single" w:color="auto" w:sz="8" w:space="0"/>
              <w:left w:val="single" w:color="auto" w:sz="6" w:space="0"/>
              <w:bottom w:val="single" w:color="auto" w:sz="6" w:space="0"/>
              <w:right w:val="single" w:color="auto" w:sz="6" w:space="0"/>
            </w:tcBorders>
          </w:tcPr>
          <w:p>
            <w:pPr>
              <w:rPr>
                <w:rFonts w:ascii="Times New Roman" w:hAnsi="宋体" w:cs="Arial"/>
                <w:sz w:val="18"/>
                <w:szCs w:val="18"/>
                <w:highlight w:val="none"/>
              </w:rPr>
            </w:pPr>
            <w:r>
              <w:rPr>
                <w:rFonts w:hint="eastAsia" w:ascii="宋体" w:hAnsi="宋体" w:cs="Arial"/>
                <w:b/>
                <w:bCs/>
                <w:sz w:val="18"/>
                <w:szCs w:val="18"/>
                <w:highlight w:val="none"/>
              </w:rPr>
              <w:t>应</w:t>
            </w:r>
            <w:r>
              <w:rPr>
                <w:rFonts w:hint="eastAsia" w:ascii="Times New Roman" w:hAnsi="宋体" w:cs="Arial"/>
                <w:sz w:val="18"/>
                <w:szCs w:val="18"/>
                <w:highlight w:val="none"/>
              </w:rPr>
              <w:t>说明所选取指标在特定时期内取得的成效信息，包括时间周期、温室气体类型等；</w:t>
            </w:r>
          </w:p>
          <w:p>
            <w:pPr>
              <w:rPr>
                <w:rFonts w:ascii="Times New Roman" w:hAnsi="宋体" w:cs="Arial"/>
                <w:sz w:val="18"/>
                <w:szCs w:val="18"/>
                <w:highlight w:val="none"/>
              </w:rPr>
            </w:pPr>
            <w:r>
              <w:rPr>
                <w:rFonts w:hint="eastAsia" w:ascii="Times New Roman" w:hAnsi="宋体" w:cs="Arial"/>
                <w:sz w:val="18"/>
                <w:szCs w:val="18"/>
                <w:highlight w:val="none"/>
              </w:rPr>
              <w:t>按照类别，</w:t>
            </w:r>
            <w:r>
              <w:rPr>
                <w:rFonts w:hint="eastAsia" w:ascii="宋体" w:hAnsi="宋体" w:cs="Arial"/>
                <w:b/>
                <w:sz w:val="18"/>
                <w:szCs w:val="18"/>
                <w:highlight w:val="none"/>
              </w:rPr>
              <w:t>应</w:t>
            </w:r>
            <w:r>
              <w:rPr>
                <w:rFonts w:hint="eastAsia" w:ascii="Times New Roman" w:hAnsi="宋体" w:cs="Arial"/>
                <w:sz w:val="18"/>
                <w:szCs w:val="18"/>
                <w:highlight w:val="none"/>
              </w:rPr>
              <w:t>体现信息还包括：</w:t>
            </w:r>
          </w:p>
          <w:p>
            <w:pPr>
              <w:pStyle w:val="175"/>
              <w:numPr>
                <w:ilvl w:val="0"/>
                <w:numId w:val="24"/>
              </w:numPr>
              <w:ind w:firstLineChars="0"/>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减少排放：核算边界与范围，基准年和排放量；</w:t>
            </w:r>
          </w:p>
          <w:p>
            <w:pPr>
              <w:pStyle w:val="175"/>
              <w:numPr>
                <w:ilvl w:val="0"/>
                <w:numId w:val="24"/>
              </w:numPr>
              <w:ind w:firstLineChars="0"/>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避免排放：核算边界与范围，基准线情景和基准线排放水平；</w:t>
            </w:r>
          </w:p>
          <w:p>
            <w:pPr>
              <w:pStyle w:val="175"/>
              <w:numPr>
                <w:ilvl w:val="0"/>
                <w:numId w:val="24"/>
              </w:numPr>
              <w:ind w:firstLineChars="0"/>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清除排放：清除排放的数量；</w:t>
            </w:r>
          </w:p>
          <w:p>
            <w:pPr>
              <w:pStyle w:val="175"/>
              <w:numPr>
                <w:ilvl w:val="0"/>
                <w:numId w:val="24"/>
              </w:numPr>
              <w:ind w:firstLineChars="0"/>
              <w:rPr>
                <w:rFonts w:ascii="宋体" w:hAnsi="宋体"/>
                <w:sz w:val="18"/>
                <w:szCs w:val="18"/>
                <w:highlight w:val="none"/>
              </w:rPr>
            </w:pPr>
            <w:r>
              <w:rPr>
                <w:rFonts w:hint="eastAsia" w:asciiTheme="minorEastAsia" w:hAnsiTheme="minorEastAsia" w:eastAsiaTheme="minorEastAsia"/>
                <w:sz w:val="18"/>
                <w:szCs w:val="18"/>
                <w:highlight w:val="none"/>
              </w:rPr>
              <w:t>抵消排放：注销碳信用数量与年份，所抵消排放的数量与年份。</w:t>
            </w:r>
          </w:p>
        </w:tc>
        <w:tc>
          <w:tcPr>
            <w:tcW w:w="1551" w:type="dxa"/>
            <w:tcBorders>
              <w:top w:val="single" w:color="auto" w:sz="8" w:space="0"/>
              <w:left w:val="single" w:color="auto" w:sz="6" w:space="0"/>
              <w:bottom w:val="single" w:color="auto" w:sz="6" w:space="0"/>
            </w:tcBorders>
          </w:tcPr>
          <w:p>
            <w:pPr>
              <w:rPr>
                <w:rFonts w:ascii="宋体" w:hAnsi="宋体"/>
                <w:sz w:val="18"/>
                <w:szCs w:val="18"/>
                <w:highlight w:val="none"/>
              </w:rPr>
            </w:pPr>
            <w:r>
              <w:rPr>
                <w:rFonts w:hint="eastAsia" w:ascii="Times New Roman" w:hAnsi="宋体" w:cs="Arial"/>
                <w:sz w:val="18"/>
                <w:szCs w:val="18"/>
                <w:highlight w:val="none"/>
              </w:rPr>
              <w:t>明确性、完整性、准确性</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6" w:type="dxa"/>
            <w:tcBorders>
              <w:top w:val="single" w:color="auto" w:sz="6" w:space="0"/>
              <w:bottom w:val="single" w:color="auto" w:sz="6" w:space="0"/>
              <w:right w:val="single" w:color="auto" w:sz="6" w:space="0"/>
            </w:tcBorders>
          </w:tcPr>
          <w:p>
            <w:pPr>
              <w:rPr>
                <w:rFonts w:ascii="宋体" w:hAnsi="宋体" w:cs="Arial"/>
                <w:sz w:val="18"/>
                <w:szCs w:val="18"/>
                <w:highlight w:val="none"/>
              </w:rPr>
            </w:pPr>
            <w:r>
              <w:rPr>
                <w:rFonts w:hint="eastAsia" w:ascii="Times New Roman" w:hAnsi="宋体" w:cs="Arial"/>
                <w:sz w:val="18"/>
                <w:szCs w:val="18"/>
                <w:highlight w:val="none"/>
              </w:rPr>
              <w:t>绩效指标的必要依据</w:t>
            </w:r>
          </w:p>
        </w:tc>
        <w:tc>
          <w:tcPr>
            <w:tcW w:w="5947" w:type="dxa"/>
            <w:tcBorders>
              <w:top w:val="single" w:color="auto" w:sz="6" w:space="0"/>
              <w:left w:val="single" w:color="auto" w:sz="6" w:space="0"/>
              <w:bottom w:val="single" w:color="auto" w:sz="6" w:space="0"/>
              <w:right w:val="single" w:color="auto" w:sz="6" w:space="0"/>
            </w:tcBorders>
          </w:tcPr>
          <w:p>
            <w:pPr>
              <w:rPr>
                <w:rFonts w:ascii="宋体" w:hAnsi="宋体" w:cs="Arial"/>
                <w:sz w:val="18"/>
                <w:szCs w:val="18"/>
                <w:highlight w:val="none"/>
              </w:rPr>
            </w:pPr>
            <w:r>
              <w:rPr>
                <w:rFonts w:hint="eastAsia" w:ascii="宋体" w:hAnsi="宋体" w:cs="Arial"/>
                <w:b/>
                <w:bCs/>
                <w:sz w:val="18"/>
                <w:szCs w:val="18"/>
                <w:highlight w:val="none"/>
              </w:rPr>
              <w:t>应</w:t>
            </w:r>
            <w:r>
              <w:rPr>
                <w:rFonts w:hint="eastAsia" w:ascii="宋体" w:hAnsi="宋体" w:cs="Arial"/>
                <w:sz w:val="18"/>
                <w:szCs w:val="18"/>
                <w:highlight w:val="none"/>
              </w:rPr>
              <w:t>说明所选指标与成效的标准依据信息；</w:t>
            </w:r>
          </w:p>
          <w:p>
            <w:pPr>
              <w:rPr>
                <w:rFonts w:ascii="黑体" w:hAnsi="黑体" w:eastAsia="黑体"/>
                <w:sz w:val="18"/>
                <w:szCs w:val="18"/>
                <w:highlight w:val="none"/>
              </w:rPr>
            </w:pPr>
            <w:r>
              <w:rPr>
                <w:rFonts w:hint="eastAsia" w:ascii="Times New Roman" w:hAnsi="宋体" w:cs="Arial"/>
                <w:sz w:val="18"/>
                <w:szCs w:val="18"/>
                <w:highlight w:val="none"/>
              </w:rPr>
              <w:t>若所依据标准有规定，</w:t>
            </w:r>
            <w:r>
              <w:rPr>
                <w:rFonts w:hint="eastAsia" w:ascii="宋体" w:hAnsi="宋体" w:cs="Arial"/>
                <w:b/>
                <w:sz w:val="18"/>
                <w:szCs w:val="18"/>
                <w:highlight w:val="none"/>
              </w:rPr>
              <w:t>应</w:t>
            </w:r>
            <w:r>
              <w:rPr>
                <w:rFonts w:hint="eastAsia" w:ascii="Times New Roman" w:hAnsi="宋体" w:cs="Arial"/>
                <w:sz w:val="18"/>
                <w:szCs w:val="18"/>
                <w:highlight w:val="none"/>
              </w:rPr>
              <w:t>说明构成指标结果的关键假设、关键参数信息。</w:t>
            </w:r>
          </w:p>
        </w:tc>
        <w:tc>
          <w:tcPr>
            <w:tcW w:w="1551" w:type="dxa"/>
            <w:tcBorders>
              <w:top w:val="single" w:color="auto" w:sz="6" w:space="0"/>
              <w:left w:val="single" w:color="auto" w:sz="6" w:space="0"/>
              <w:bottom w:val="single" w:color="auto" w:sz="6" w:space="0"/>
            </w:tcBorders>
          </w:tcPr>
          <w:p>
            <w:pPr>
              <w:rPr>
                <w:rFonts w:ascii="宋体" w:hAnsi="宋体" w:cs="Arial"/>
                <w:sz w:val="18"/>
                <w:szCs w:val="18"/>
                <w:highlight w:val="none"/>
              </w:rPr>
            </w:pPr>
            <w:r>
              <w:rPr>
                <w:rFonts w:hint="eastAsia" w:ascii="宋体" w:hAnsi="宋体" w:cs="Arial"/>
                <w:sz w:val="18"/>
                <w:szCs w:val="18"/>
                <w:highlight w:val="none"/>
              </w:rPr>
              <w:t>合理性、</w:t>
            </w:r>
            <w:r>
              <w:rPr>
                <w:rFonts w:hint="eastAsia" w:ascii="Times New Roman" w:hAnsi="宋体" w:cs="Arial"/>
                <w:sz w:val="18"/>
                <w:szCs w:val="18"/>
                <w:highlight w:val="none"/>
              </w:rPr>
              <w:t>明确性、可验证性</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6" w:type="dxa"/>
            <w:tcBorders>
              <w:top w:val="single" w:color="auto" w:sz="6" w:space="0"/>
              <w:bottom w:val="single" w:color="auto" w:sz="8" w:space="0"/>
              <w:right w:val="single" w:color="auto" w:sz="6" w:space="0"/>
            </w:tcBorders>
          </w:tcPr>
          <w:p>
            <w:pPr>
              <w:rPr>
                <w:rFonts w:ascii="宋体" w:hAnsi="宋体" w:cs="Arial"/>
                <w:sz w:val="18"/>
                <w:szCs w:val="18"/>
                <w:highlight w:val="none"/>
              </w:rPr>
            </w:pPr>
            <w:r>
              <w:rPr>
                <w:rFonts w:hint="eastAsia" w:ascii="Times New Roman" w:hAnsi="宋体" w:cs="Arial"/>
                <w:sz w:val="18"/>
                <w:szCs w:val="18"/>
                <w:highlight w:val="none"/>
              </w:rPr>
              <w:t>绩效指标相关的其他信息</w:t>
            </w:r>
          </w:p>
        </w:tc>
        <w:tc>
          <w:tcPr>
            <w:tcW w:w="5947" w:type="dxa"/>
            <w:tcBorders>
              <w:top w:val="single" w:color="auto" w:sz="6" w:space="0"/>
              <w:left w:val="single" w:color="auto" w:sz="6" w:space="0"/>
              <w:bottom w:val="single" w:color="auto" w:sz="8" w:space="0"/>
              <w:right w:val="single" w:color="auto" w:sz="6" w:space="0"/>
            </w:tcBorders>
          </w:tcPr>
          <w:p>
            <w:pPr>
              <w:rPr>
                <w:rFonts w:ascii="宋体" w:hAnsi="宋体" w:cs="Arial"/>
                <w:sz w:val="18"/>
                <w:szCs w:val="18"/>
                <w:highlight w:val="none"/>
              </w:rPr>
            </w:pPr>
            <w:r>
              <w:rPr>
                <w:rFonts w:hint="eastAsia" w:ascii="宋体" w:hAnsi="宋体" w:cs="Arial"/>
                <w:sz w:val="18"/>
                <w:szCs w:val="18"/>
                <w:highlight w:val="none"/>
              </w:rPr>
              <w:t>若适用，</w:t>
            </w:r>
            <w:r>
              <w:rPr>
                <w:rFonts w:hint="eastAsia" w:ascii="宋体" w:hAnsi="宋体" w:cs="Arial"/>
                <w:b/>
                <w:bCs/>
                <w:sz w:val="18"/>
                <w:szCs w:val="18"/>
                <w:highlight w:val="none"/>
              </w:rPr>
              <w:t>应</w:t>
            </w:r>
            <w:r>
              <w:rPr>
                <w:rFonts w:hint="eastAsia" w:ascii="宋体" w:hAnsi="宋体" w:cs="Arial"/>
                <w:sz w:val="18"/>
                <w:szCs w:val="18"/>
                <w:highlight w:val="none"/>
              </w:rPr>
              <w:t>包含碳排放量</w:t>
            </w:r>
            <w:r>
              <w:rPr>
                <w:rFonts w:ascii="宋体" w:hAnsi="宋体" w:cs="Arial"/>
                <w:sz w:val="18"/>
                <w:szCs w:val="18"/>
                <w:highlight w:val="none"/>
              </w:rPr>
              <w:t>/</w:t>
            </w:r>
            <w:r>
              <w:rPr>
                <w:rFonts w:hint="eastAsia" w:ascii="宋体" w:hAnsi="宋体" w:cs="Arial"/>
                <w:sz w:val="18"/>
                <w:szCs w:val="18"/>
                <w:highlight w:val="none"/>
              </w:rPr>
              <w:t>避免排放量</w:t>
            </w:r>
            <w:r>
              <w:rPr>
                <w:rFonts w:ascii="宋体" w:hAnsi="宋体" w:cs="Arial"/>
                <w:sz w:val="18"/>
                <w:szCs w:val="18"/>
                <w:highlight w:val="none"/>
              </w:rPr>
              <w:t>/</w:t>
            </w:r>
            <w:r>
              <w:rPr>
                <w:rFonts w:hint="eastAsia" w:ascii="宋体" w:hAnsi="宋体" w:cs="Arial"/>
                <w:sz w:val="18"/>
                <w:szCs w:val="18"/>
                <w:highlight w:val="none"/>
              </w:rPr>
              <w:t>清除排放量</w:t>
            </w:r>
            <w:r>
              <w:rPr>
                <w:rFonts w:ascii="宋体" w:hAnsi="宋体" w:cs="Arial"/>
                <w:sz w:val="18"/>
                <w:szCs w:val="18"/>
                <w:highlight w:val="none"/>
              </w:rPr>
              <w:t>/</w:t>
            </w:r>
            <w:r>
              <w:rPr>
                <w:rFonts w:hint="eastAsia" w:ascii="宋体" w:hAnsi="宋体" w:cs="Arial"/>
                <w:sz w:val="18"/>
                <w:szCs w:val="18"/>
                <w:highlight w:val="none"/>
              </w:rPr>
              <w:t>抵消排放量等数据，并说明数据依赖的关键假设，例如基准线情景等。</w:t>
            </w:r>
          </w:p>
        </w:tc>
        <w:tc>
          <w:tcPr>
            <w:tcW w:w="1551" w:type="dxa"/>
            <w:tcBorders>
              <w:top w:val="single" w:color="auto" w:sz="6" w:space="0"/>
              <w:left w:val="single" w:color="auto" w:sz="6" w:space="0"/>
              <w:bottom w:val="single" w:color="auto" w:sz="8" w:space="0"/>
            </w:tcBorders>
          </w:tcPr>
          <w:p>
            <w:pPr>
              <w:rPr>
                <w:rFonts w:ascii="宋体" w:hAnsi="宋体" w:cs="Arial"/>
                <w:sz w:val="18"/>
                <w:szCs w:val="18"/>
                <w:highlight w:val="none"/>
              </w:rPr>
            </w:pPr>
            <w:r>
              <w:rPr>
                <w:rFonts w:hint="eastAsia" w:ascii="宋体" w:hAnsi="宋体" w:cs="Arial"/>
                <w:sz w:val="18"/>
                <w:szCs w:val="18"/>
                <w:highlight w:val="none"/>
              </w:rPr>
              <w:t>完整性</w:t>
            </w:r>
            <w:r>
              <w:rPr>
                <w:rFonts w:hint="eastAsia" w:ascii="Times New Roman" w:hAnsi="宋体" w:cs="Arial"/>
                <w:sz w:val="18"/>
                <w:szCs w:val="18"/>
                <w:highlight w:val="none"/>
              </w:rPr>
              <w:t>、准确性</w:t>
            </w:r>
          </w:p>
        </w:tc>
      </w:tr>
    </w:tbl>
    <w:p>
      <w:pPr>
        <w:spacing w:before="156" w:beforeLines="50" w:after="156" w:afterLines="50"/>
        <w:rPr>
          <w:rFonts w:ascii="黑体" w:hAnsi="黑体" w:eastAsia="黑体"/>
          <w:highlight w:val="none"/>
        </w:rPr>
      </w:pPr>
      <w:r>
        <w:rPr>
          <w:rFonts w:ascii="黑体" w:hAnsi="黑体" w:eastAsia="黑体"/>
          <w:highlight w:val="none"/>
        </w:rPr>
        <w:t>6.4.</w:t>
      </w:r>
      <w:r>
        <w:rPr>
          <w:rFonts w:hint="eastAsia" w:ascii="黑体" w:hAnsi="黑体" w:eastAsia="黑体"/>
          <w:highlight w:val="none"/>
        </w:rPr>
        <w:t>4</w:t>
      </w:r>
      <w:r>
        <w:rPr>
          <w:rFonts w:ascii="黑体" w:hAnsi="黑体" w:eastAsia="黑体"/>
          <w:highlight w:val="none"/>
        </w:rPr>
        <w:t xml:space="preserve"> </w:t>
      </w:r>
      <w:r>
        <w:rPr>
          <w:rFonts w:hint="eastAsia" w:ascii="黑体" w:hAnsi="黑体" w:eastAsia="黑体"/>
          <w:highlight w:val="none"/>
        </w:rPr>
        <w:t>绩效类</w:t>
      </w:r>
    </w:p>
    <w:p>
      <w:pPr>
        <w:ind w:firstLine="420"/>
        <w:rPr>
          <w:rFonts w:ascii="宋体" w:hAnsi="宋体"/>
          <w:highlight w:val="none"/>
        </w:rPr>
      </w:pPr>
      <w:r>
        <w:rPr>
          <w:rFonts w:hint="eastAsia" w:ascii="宋体" w:hAnsi="宋体"/>
          <w:highlight w:val="none"/>
        </w:rPr>
        <w:t>特性类碳信息披露涉及如下内容，并</w:t>
      </w:r>
      <w:r>
        <w:rPr>
          <w:rFonts w:hint="eastAsia" w:ascii="宋体" w:hAnsi="宋体"/>
          <w:b/>
          <w:highlight w:val="none"/>
        </w:rPr>
        <w:t>应</w:t>
      </w:r>
      <w:r>
        <w:rPr>
          <w:rFonts w:hint="eastAsia" w:ascii="宋体" w:hAnsi="宋体"/>
          <w:highlight w:val="none"/>
        </w:rPr>
        <w:t>重点遵循的相关披露原则，</w:t>
      </w:r>
      <w:r>
        <w:rPr>
          <w:rFonts w:hint="eastAsia" w:ascii="宋体" w:hAnsi="宋体"/>
          <w:b/>
          <w:highlight w:val="none"/>
        </w:rPr>
        <w:t>应</w:t>
      </w:r>
      <w:r>
        <w:rPr>
          <w:rFonts w:hint="eastAsia" w:ascii="宋体" w:hAnsi="宋体"/>
          <w:highlight w:val="none"/>
        </w:rPr>
        <w:t>符合表6的规定。</w:t>
      </w:r>
    </w:p>
    <w:p>
      <w:pPr>
        <w:spacing w:before="156" w:beforeLines="50" w:after="156" w:afterLines="50"/>
        <w:jc w:val="center"/>
        <w:rPr>
          <w:rFonts w:ascii="黑体" w:hAnsi="黑体" w:eastAsia="黑体" w:cs="Arial"/>
          <w:bCs/>
          <w:sz w:val="21"/>
          <w:szCs w:val="21"/>
          <w:highlight w:val="none"/>
        </w:rPr>
      </w:pPr>
      <w:r>
        <w:rPr>
          <w:rFonts w:ascii="黑体" w:hAnsi="黑体" w:eastAsia="黑体" w:cs="Arial"/>
          <w:bCs/>
          <w:sz w:val="21"/>
          <w:szCs w:val="21"/>
          <w:highlight w:val="none"/>
        </w:rPr>
        <w:t xml:space="preserve">表 6 </w:t>
      </w:r>
      <w:r>
        <w:rPr>
          <w:rFonts w:hint="eastAsia" w:ascii="黑体" w:hAnsi="黑体" w:eastAsia="黑体" w:cs="Arial"/>
          <w:bCs/>
          <w:sz w:val="21"/>
          <w:szCs w:val="21"/>
          <w:highlight w:val="none"/>
        </w:rPr>
        <w:t>特性类碳信息披露内容要求及遵循原则</w:t>
      </w:r>
    </w:p>
    <w:tbl>
      <w:tblPr>
        <w:tblStyle w:val="41"/>
        <w:tblW w:w="9351"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838"/>
        <w:gridCol w:w="5954"/>
        <w:gridCol w:w="155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Borders>
              <w:top w:val="single" w:color="auto" w:sz="8" w:space="0"/>
              <w:bottom w:val="single" w:color="auto" w:sz="8" w:space="0"/>
            </w:tcBorders>
          </w:tcPr>
          <w:p>
            <w:pPr>
              <w:jc w:val="center"/>
              <w:rPr>
                <w:rFonts w:ascii="宋体" w:hAnsi="宋体"/>
                <w:sz w:val="18"/>
                <w:szCs w:val="18"/>
                <w:highlight w:val="none"/>
              </w:rPr>
            </w:pPr>
            <w:r>
              <w:rPr>
                <w:rFonts w:hint="eastAsia" w:ascii="宋体" w:hAnsi="宋体"/>
                <w:sz w:val="18"/>
                <w:szCs w:val="18"/>
                <w:highlight w:val="none"/>
              </w:rPr>
              <w:t>信息类型</w:t>
            </w:r>
          </w:p>
        </w:tc>
        <w:tc>
          <w:tcPr>
            <w:tcW w:w="5954" w:type="dxa"/>
            <w:tcBorders>
              <w:top w:val="single" w:color="auto" w:sz="8" w:space="0"/>
              <w:bottom w:val="single" w:color="auto" w:sz="8" w:space="0"/>
            </w:tcBorders>
          </w:tcPr>
          <w:p>
            <w:pPr>
              <w:jc w:val="center"/>
              <w:rPr>
                <w:rFonts w:ascii="宋体" w:hAnsi="宋体"/>
                <w:sz w:val="18"/>
                <w:szCs w:val="18"/>
                <w:highlight w:val="none"/>
              </w:rPr>
            </w:pPr>
            <w:r>
              <w:rPr>
                <w:rFonts w:hint="eastAsia" w:ascii="宋体" w:hAnsi="宋体"/>
                <w:sz w:val="18"/>
                <w:szCs w:val="18"/>
                <w:highlight w:val="none"/>
              </w:rPr>
              <w:t>内容要求</w:t>
            </w:r>
          </w:p>
        </w:tc>
        <w:tc>
          <w:tcPr>
            <w:tcW w:w="1559" w:type="dxa"/>
            <w:tcBorders>
              <w:top w:val="single" w:color="auto" w:sz="8" w:space="0"/>
              <w:bottom w:val="single" w:color="auto" w:sz="8" w:space="0"/>
            </w:tcBorders>
          </w:tcPr>
          <w:p>
            <w:pPr>
              <w:jc w:val="center"/>
              <w:rPr>
                <w:rFonts w:ascii="宋体" w:hAnsi="宋体"/>
                <w:sz w:val="18"/>
                <w:szCs w:val="18"/>
                <w:highlight w:val="none"/>
              </w:rPr>
            </w:pPr>
            <w:r>
              <w:rPr>
                <w:rFonts w:ascii="宋体" w:hAnsi="宋体" w:cs="Arial"/>
                <w:b/>
                <w:bCs/>
                <w:sz w:val="18"/>
                <w:szCs w:val="18"/>
                <w:highlight w:val="none"/>
              </w:rPr>
              <w:t>应</w:t>
            </w:r>
            <w:r>
              <w:rPr>
                <w:rFonts w:hint="eastAsia" w:ascii="宋体" w:hAnsi="宋体" w:cs="Arial"/>
                <w:sz w:val="18"/>
                <w:szCs w:val="18"/>
                <w:highlight w:val="none"/>
              </w:rPr>
              <w:t>遵循披露原则</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Borders>
              <w:top w:val="single" w:color="auto" w:sz="8" w:space="0"/>
            </w:tcBorders>
          </w:tcPr>
          <w:p>
            <w:pP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特性的基本信息</w:t>
            </w:r>
          </w:p>
        </w:tc>
        <w:tc>
          <w:tcPr>
            <w:tcW w:w="5954" w:type="dxa"/>
            <w:tcBorders>
              <w:top w:val="single" w:color="auto" w:sz="8" w:space="0"/>
            </w:tcBorders>
          </w:tcPr>
          <w:p>
            <w:pPr>
              <w:rPr>
                <w:rFonts w:ascii="Times New Roman" w:hAnsi="宋体" w:cs="Arial"/>
                <w:sz w:val="18"/>
                <w:szCs w:val="18"/>
                <w:highlight w:val="none"/>
              </w:rPr>
            </w:pPr>
            <w:r>
              <w:rPr>
                <w:rFonts w:hint="eastAsia" w:ascii="Times New Roman" w:hAnsi="宋体" w:cs="Arial"/>
                <w:b/>
                <w:bCs/>
                <w:sz w:val="18"/>
                <w:szCs w:val="18"/>
                <w:highlight w:val="none"/>
              </w:rPr>
              <w:t>应</w:t>
            </w:r>
            <w:r>
              <w:rPr>
                <w:rFonts w:hint="eastAsia" w:ascii="Times New Roman" w:hAnsi="宋体" w:cs="Arial"/>
                <w:sz w:val="18"/>
                <w:szCs w:val="18"/>
                <w:highlight w:val="none"/>
              </w:rPr>
              <w:t>说明所主张的特性的含义，以及特性的有效性条件与范围。</w:t>
            </w:r>
          </w:p>
        </w:tc>
        <w:tc>
          <w:tcPr>
            <w:tcW w:w="1559" w:type="dxa"/>
            <w:tcBorders>
              <w:top w:val="single" w:color="auto" w:sz="8" w:space="0"/>
            </w:tcBorders>
          </w:tcPr>
          <w:p>
            <w:pPr>
              <w:rPr>
                <w:rFonts w:ascii="宋体" w:hAnsi="宋体"/>
                <w:sz w:val="18"/>
                <w:szCs w:val="18"/>
                <w:highlight w:val="none"/>
              </w:rPr>
            </w:pPr>
            <w:r>
              <w:rPr>
                <w:rFonts w:hint="eastAsia" w:ascii="Times New Roman" w:hAnsi="宋体" w:cs="Arial"/>
                <w:sz w:val="18"/>
                <w:szCs w:val="18"/>
                <w:highlight w:val="none"/>
              </w:rPr>
              <w:t>明确性、完整性、准确性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Pr>
          <w:p>
            <w:pP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特性的必要依据</w:t>
            </w:r>
          </w:p>
        </w:tc>
        <w:tc>
          <w:tcPr>
            <w:tcW w:w="5954" w:type="dxa"/>
            <w:shd w:val="clear" w:color="auto" w:fill="auto"/>
          </w:tcPr>
          <w:p>
            <w:pPr>
              <w:ind w:left="181" w:leftChars="86"/>
              <w:rPr>
                <w:rFonts w:ascii="宋体" w:hAnsi="宋体" w:cs="Arial"/>
                <w:sz w:val="18"/>
                <w:szCs w:val="18"/>
                <w:highlight w:val="none"/>
              </w:rPr>
            </w:pPr>
            <w:r>
              <w:rPr>
                <w:rFonts w:hint="eastAsia" w:ascii="宋体" w:hAnsi="宋体" w:cs="Arial"/>
                <w:sz w:val="18"/>
                <w:szCs w:val="18"/>
                <w:highlight w:val="none"/>
              </w:rPr>
              <w:t>对于具有特定含义、由特定标准规范定义的举措，宜说明其依据——具体举措的含义，技术名称的定义</w:t>
            </w:r>
            <w:r>
              <w:rPr>
                <w:rFonts w:hint="eastAsia" w:ascii="黑体" w:hAnsi="黑体" w:eastAsia="黑体"/>
                <w:sz w:val="18"/>
                <w:szCs w:val="18"/>
                <w:highlight w:val="none"/>
              </w:rPr>
              <w:t>：</w:t>
            </w:r>
          </w:p>
          <w:p>
            <w:pPr>
              <w:pStyle w:val="175"/>
              <w:numPr>
                <w:ilvl w:val="0"/>
                <w:numId w:val="25"/>
              </w:numPr>
              <w:ind w:left="181" w:leftChars="86" w:firstLineChars="0"/>
              <w:rPr>
                <w:rFonts w:ascii="宋体" w:hAnsi="宋体" w:cs="Arial"/>
                <w:sz w:val="18"/>
                <w:szCs w:val="18"/>
                <w:highlight w:val="none"/>
              </w:rPr>
            </w:pPr>
            <w:r>
              <w:rPr>
                <w:rFonts w:hint="eastAsia" w:ascii="Times New Roman" w:hAnsi="宋体"/>
                <w:sz w:val="18"/>
                <w:szCs w:val="18"/>
                <w:highlight w:val="none"/>
              </w:rPr>
              <w:t>因满足特定标准而获得的特性：</w:t>
            </w:r>
            <w:r>
              <w:rPr>
                <w:rFonts w:hint="eastAsia" w:ascii="Times New Roman" w:hAnsi="宋体"/>
                <w:b/>
                <w:sz w:val="18"/>
                <w:szCs w:val="18"/>
                <w:highlight w:val="none"/>
              </w:rPr>
              <w:t>应</w:t>
            </w:r>
            <w:r>
              <w:rPr>
                <w:rFonts w:hint="eastAsia" w:ascii="Times New Roman" w:hAnsi="宋体"/>
                <w:sz w:val="18"/>
                <w:szCs w:val="18"/>
                <w:highlight w:val="none"/>
              </w:rPr>
              <w:t>说明足以支持该特性主张的评价与认定标准，并做出符合性声明；</w:t>
            </w:r>
            <w:r>
              <w:rPr>
                <w:rFonts w:ascii="Times New Roman" w:hAnsi="宋体" w:cs="Arial"/>
                <w:sz w:val="18"/>
                <w:szCs w:val="18"/>
                <w:highlight w:val="none"/>
              </w:rPr>
              <w:t xml:space="preserve"> </w:t>
            </w:r>
          </w:p>
          <w:p>
            <w:pPr>
              <w:pStyle w:val="175"/>
              <w:numPr>
                <w:ilvl w:val="0"/>
                <w:numId w:val="25"/>
              </w:numPr>
              <w:ind w:left="181" w:leftChars="86" w:firstLineChars="0"/>
              <w:rPr>
                <w:rFonts w:ascii="宋体" w:hAnsi="宋体" w:cs="Arial"/>
                <w:sz w:val="18"/>
                <w:szCs w:val="18"/>
                <w:highlight w:val="none"/>
              </w:rPr>
            </w:pPr>
            <w:r>
              <w:rPr>
                <w:rFonts w:hint="eastAsia" w:ascii="Times New Roman" w:hAnsi="宋体"/>
                <w:sz w:val="18"/>
                <w:szCs w:val="18"/>
                <w:highlight w:val="none"/>
              </w:rPr>
              <w:t>相比替代方案具备的比较优势：</w:t>
            </w:r>
            <w:r>
              <w:rPr>
                <w:rFonts w:hint="eastAsia" w:ascii="Times New Roman" w:hAnsi="宋体"/>
                <w:b/>
                <w:sz w:val="18"/>
                <w:szCs w:val="18"/>
                <w:highlight w:val="none"/>
              </w:rPr>
              <w:t>应</w:t>
            </w:r>
            <w:r>
              <w:rPr>
                <w:rFonts w:hint="eastAsia" w:ascii="Times New Roman" w:hAnsi="宋体"/>
                <w:sz w:val="18"/>
                <w:szCs w:val="18"/>
                <w:highlight w:val="none"/>
              </w:rPr>
              <w:t>说明所选取的替代方案、做出比较所遵循的标准，并做出符合性声明。</w:t>
            </w:r>
          </w:p>
        </w:tc>
        <w:tc>
          <w:tcPr>
            <w:tcW w:w="1559" w:type="dxa"/>
            <w:shd w:val="clear" w:color="auto" w:fill="auto"/>
          </w:tcPr>
          <w:p>
            <w:pPr>
              <w:rPr>
                <w:rFonts w:ascii="Times New Roman" w:hAnsi="宋体" w:cs="Arial"/>
                <w:sz w:val="18"/>
                <w:szCs w:val="18"/>
                <w:highlight w:val="none"/>
              </w:rPr>
            </w:pPr>
            <w:r>
              <w:rPr>
                <w:rFonts w:hint="eastAsia" w:ascii="Times New Roman" w:hAnsi="宋体" w:cs="Arial"/>
                <w:sz w:val="18"/>
                <w:szCs w:val="18"/>
                <w:highlight w:val="none"/>
              </w:rPr>
              <w:t>明确性、合理性、</w:t>
            </w:r>
          </w:p>
          <w:p>
            <w:pPr>
              <w:rPr>
                <w:rFonts w:ascii="宋体" w:hAnsi="宋体" w:cs="Arial"/>
                <w:sz w:val="18"/>
                <w:szCs w:val="18"/>
                <w:highlight w:val="none"/>
              </w:rPr>
            </w:pPr>
            <w:r>
              <w:rPr>
                <w:rFonts w:hint="eastAsia" w:ascii="宋体" w:hAnsi="宋体" w:cs="Arial"/>
                <w:sz w:val="18"/>
                <w:szCs w:val="18"/>
                <w:highlight w:val="none"/>
              </w:rPr>
              <w:t>实质性</w:t>
            </w:r>
          </w:p>
        </w:tc>
      </w:tr>
    </w:tbl>
    <w:p>
      <w:pPr>
        <w:spacing w:before="156" w:beforeLines="50" w:after="156" w:afterLines="50"/>
        <w:jc w:val="center"/>
        <w:rPr>
          <w:rFonts w:ascii="黑体" w:hAnsi="黑体" w:eastAsia="黑体" w:cs="Arial"/>
          <w:bCs/>
          <w:szCs w:val="21"/>
          <w:highlight w:val="none"/>
        </w:rPr>
      </w:pPr>
      <w:r>
        <w:rPr>
          <w:rFonts w:ascii="黑体" w:hAnsi="黑体" w:eastAsia="黑体" w:cs="Arial"/>
          <w:bCs/>
          <w:szCs w:val="21"/>
          <w:highlight w:val="none"/>
        </w:rPr>
        <w:t xml:space="preserve">表 </w:t>
      </w:r>
      <w:r>
        <w:rPr>
          <w:rFonts w:hint="eastAsia" w:ascii="黑体" w:hAnsi="黑体" w:eastAsia="黑体" w:cs="Arial"/>
          <w:bCs/>
          <w:szCs w:val="21"/>
          <w:highlight w:val="none"/>
        </w:rPr>
        <w:t>6</w:t>
      </w:r>
      <w:r>
        <w:rPr>
          <w:rFonts w:ascii="黑体" w:hAnsi="黑体" w:eastAsia="黑体" w:cs="Arial"/>
          <w:bCs/>
          <w:szCs w:val="21"/>
          <w:highlight w:val="none"/>
        </w:rPr>
        <w:t xml:space="preserve"> </w:t>
      </w:r>
      <w:r>
        <w:rPr>
          <w:rFonts w:hint="eastAsia" w:ascii="黑体" w:hAnsi="黑体" w:eastAsia="黑体" w:cs="Arial"/>
          <w:bCs/>
          <w:szCs w:val="21"/>
          <w:highlight w:val="none"/>
        </w:rPr>
        <w:t>特性类碳信息披露内容要求及遵循原则（续）</w:t>
      </w:r>
    </w:p>
    <w:tbl>
      <w:tblPr>
        <w:tblStyle w:val="41"/>
        <w:tblW w:w="9351"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838"/>
        <w:gridCol w:w="5954"/>
        <w:gridCol w:w="155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c>
          <w:tcPr>
            <w:tcW w:w="1838" w:type="dxa"/>
            <w:tcBorders>
              <w:top w:val="single" w:color="auto" w:sz="8" w:space="0"/>
              <w:bottom w:val="single" w:color="auto" w:sz="8" w:space="0"/>
            </w:tcBorders>
          </w:tcPr>
          <w:p>
            <w:pPr>
              <w:jc w:val="center"/>
              <w:rPr>
                <w:rFonts w:ascii="宋体" w:hAnsi="宋体"/>
                <w:sz w:val="18"/>
                <w:szCs w:val="18"/>
                <w:highlight w:val="none"/>
              </w:rPr>
            </w:pPr>
            <w:r>
              <w:rPr>
                <w:rFonts w:hint="eastAsia" w:ascii="宋体" w:hAnsi="宋体"/>
                <w:sz w:val="18"/>
                <w:szCs w:val="18"/>
                <w:highlight w:val="none"/>
              </w:rPr>
              <w:t>信息类型</w:t>
            </w:r>
          </w:p>
        </w:tc>
        <w:tc>
          <w:tcPr>
            <w:tcW w:w="5954" w:type="dxa"/>
            <w:tcBorders>
              <w:top w:val="single" w:color="auto" w:sz="8" w:space="0"/>
              <w:bottom w:val="single" w:color="auto" w:sz="8" w:space="0"/>
            </w:tcBorders>
          </w:tcPr>
          <w:p>
            <w:pPr>
              <w:jc w:val="center"/>
              <w:rPr>
                <w:rFonts w:ascii="宋体" w:hAnsi="宋体"/>
                <w:sz w:val="18"/>
                <w:szCs w:val="18"/>
                <w:highlight w:val="none"/>
              </w:rPr>
            </w:pPr>
            <w:r>
              <w:rPr>
                <w:rFonts w:hint="eastAsia" w:ascii="宋体" w:hAnsi="宋体"/>
                <w:sz w:val="18"/>
                <w:szCs w:val="18"/>
                <w:highlight w:val="none"/>
              </w:rPr>
              <w:t>内容要求</w:t>
            </w:r>
          </w:p>
        </w:tc>
        <w:tc>
          <w:tcPr>
            <w:tcW w:w="1559" w:type="dxa"/>
            <w:tcBorders>
              <w:top w:val="single" w:color="auto" w:sz="8" w:space="0"/>
              <w:bottom w:val="single" w:color="auto" w:sz="8" w:space="0"/>
            </w:tcBorders>
          </w:tcPr>
          <w:p>
            <w:pPr>
              <w:jc w:val="center"/>
              <w:rPr>
                <w:rFonts w:ascii="宋体" w:hAnsi="宋体"/>
                <w:sz w:val="18"/>
                <w:szCs w:val="18"/>
                <w:highlight w:val="none"/>
              </w:rPr>
            </w:pPr>
            <w:r>
              <w:rPr>
                <w:rFonts w:ascii="宋体" w:hAnsi="宋体" w:cs="Arial"/>
                <w:b/>
                <w:bCs/>
                <w:sz w:val="18"/>
                <w:szCs w:val="18"/>
                <w:highlight w:val="none"/>
              </w:rPr>
              <w:t>应</w:t>
            </w:r>
            <w:r>
              <w:rPr>
                <w:rFonts w:hint="eastAsia" w:ascii="宋体" w:hAnsi="宋体" w:cs="Arial"/>
                <w:sz w:val="18"/>
                <w:szCs w:val="18"/>
                <w:highlight w:val="none"/>
              </w:rPr>
              <w:t>遵循披露原则</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Pr>
          <w:p>
            <w:pP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特性的其他必要信息</w:t>
            </w:r>
          </w:p>
        </w:tc>
        <w:tc>
          <w:tcPr>
            <w:tcW w:w="5954" w:type="dxa"/>
          </w:tcPr>
          <w:p>
            <w:pPr>
              <w:rPr>
                <w:rFonts w:ascii="宋体" w:hAnsi="宋体" w:cs="Arial"/>
                <w:sz w:val="18"/>
                <w:szCs w:val="18"/>
                <w:highlight w:val="none"/>
              </w:rPr>
            </w:pPr>
            <w:r>
              <w:rPr>
                <w:rFonts w:hint="eastAsia" w:ascii="宋体" w:hAnsi="宋体"/>
                <w:sz w:val="18"/>
                <w:szCs w:val="18"/>
                <w:highlight w:val="none"/>
              </w:rPr>
              <w:t>若所主张特性依赖于其他类型信息，包括目标类、举措类和绩效类信息，</w:t>
            </w:r>
            <w:r>
              <w:rPr>
                <w:rFonts w:hint="eastAsia" w:ascii="宋体" w:hAnsi="宋体"/>
                <w:b/>
                <w:bCs/>
                <w:sz w:val="18"/>
                <w:szCs w:val="18"/>
                <w:highlight w:val="none"/>
              </w:rPr>
              <w:t>应</w:t>
            </w:r>
            <w:r>
              <w:rPr>
                <w:rFonts w:hint="eastAsia" w:ascii="宋体" w:hAnsi="宋体"/>
                <w:sz w:val="18"/>
                <w:szCs w:val="18"/>
                <w:highlight w:val="none"/>
              </w:rPr>
              <w:t>同时说明所基于的相关信息，例如，基于企业净零碳目标达成而主张“净零企业”，则也</w:t>
            </w:r>
            <w:r>
              <w:rPr>
                <w:rFonts w:hint="eastAsia" w:ascii="宋体" w:hAnsi="宋体"/>
                <w:b/>
                <w:bCs/>
                <w:sz w:val="18"/>
                <w:szCs w:val="18"/>
                <w:highlight w:val="none"/>
              </w:rPr>
              <w:t>应</w:t>
            </w:r>
            <w:r>
              <w:rPr>
                <w:rFonts w:hint="eastAsia" w:ascii="宋体" w:hAnsi="宋体"/>
                <w:sz w:val="18"/>
                <w:szCs w:val="18"/>
                <w:highlight w:val="none"/>
              </w:rPr>
              <w:t>披露该目标信息。</w:t>
            </w:r>
          </w:p>
        </w:tc>
        <w:tc>
          <w:tcPr>
            <w:tcW w:w="1559" w:type="dxa"/>
          </w:tcPr>
          <w:p>
            <w:pPr>
              <w:rPr>
                <w:rFonts w:ascii="宋体" w:hAnsi="宋体" w:cs="Arial"/>
                <w:sz w:val="18"/>
                <w:szCs w:val="18"/>
                <w:highlight w:val="none"/>
              </w:rPr>
            </w:pPr>
            <w:r>
              <w:rPr>
                <w:rFonts w:hint="eastAsia" w:ascii="Times New Roman" w:hAnsi="宋体" w:cs="Arial"/>
                <w:sz w:val="18"/>
                <w:szCs w:val="18"/>
                <w:highlight w:val="none"/>
              </w:rPr>
              <w:t>完整性</w:t>
            </w:r>
          </w:p>
        </w:tc>
      </w:tr>
    </w:tbl>
    <w:p>
      <w:pPr>
        <w:spacing w:before="156" w:beforeLines="50" w:after="156" w:afterLines="50"/>
        <w:rPr>
          <w:rFonts w:ascii="黑体" w:hAnsi="黑体" w:eastAsia="黑体"/>
          <w:highlight w:val="none"/>
        </w:rPr>
      </w:pPr>
      <w:r>
        <w:rPr>
          <w:rFonts w:ascii="黑体" w:hAnsi="黑体" w:eastAsia="黑体"/>
          <w:highlight w:val="none"/>
        </w:rPr>
        <w:t>6.4.</w:t>
      </w:r>
      <w:r>
        <w:rPr>
          <w:rFonts w:hint="eastAsia" w:ascii="黑体" w:hAnsi="黑体" w:eastAsia="黑体"/>
          <w:highlight w:val="none"/>
        </w:rPr>
        <w:t>5</w:t>
      </w:r>
      <w:r>
        <w:rPr>
          <w:rFonts w:ascii="黑体" w:hAnsi="黑体" w:eastAsia="黑体"/>
          <w:highlight w:val="none"/>
        </w:rPr>
        <w:t xml:space="preserve"> </w:t>
      </w:r>
      <w:r>
        <w:rPr>
          <w:rFonts w:hint="eastAsia" w:ascii="黑体" w:hAnsi="黑体" w:eastAsia="黑体"/>
          <w:highlight w:val="none"/>
        </w:rPr>
        <w:t>面向将来的信息</w:t>
      </w:r>
      <w:bookmarkEnd w:id="41"/>
    </w:p>
    <w:p>
      <w:pPr>
        <w:spacing w:after="0" w:afterLines="-2147483648"/>
        <w:ind w:firstLine="420"/>
        <w:jc w:val="both"/>
        <w:rPr>
          <w:rFonts w:ascii="宋体" w:hAnsi="宋体"/>
          <w:highlight w:val="none"/>
        </w:rPr>
      </w:pPr>
      <w:r>
        <w:rPr>
          <w:rFonts w:hint="eastAsia" w:ascii="宋体" w:hAnsi="宋体"/>
          <w:highlight w:val="none"/>
        </w:rPr>
        <w:t>面向将来的碳信息披露涉及如下内容，并</w:t>
      </w:r>
      <w:r>
        <w:rPr>
          <w:rFonts w:hint="eastAsia" w:ascii="宋体" w:hAnsi="宋体"/>
          <w:b/>
          <w:highlight w:val="none"/>
        </w:rPr>
        <w:t>应</w:t>
      </w:r>
      <w:r>
        <w:rPr>
          <w:rFonts w:hint="eastAsia" w:ascii="宋体" w:hAnsi="宋体"/>
          <w:highlight w:val="none"/>
        </w:rPr>
        <w:t>重点遵循的相关披露原则，</w:t>
      </w:r>
      <w:r>
        <w:rPr>
          <w:rFonts w:hint="eastAsia" w:ascii="宋体" w:hAnsi="宋体"/>
          <w:b/>
          <w:highlight w:val="none"/>
        </w:rPr>
        <w:t>应</w:t>
      </w:r>
      <w:r>
        <w:rPr>
          <w:rFonts w:hint="eastAsia" w:ascii="宋体" w:hAnsi="宋体"/>
          <w:highlight w:val="none"/>
        </w:rPr>
        <w:t>符合表7的规定。</w:t>
      </w:r>
    </w:p>
    <w:p>
      <w:pPr>
        <w:spacing w:before="156" w:beforeLines="50" w:after="156" w:afterLines="50"/>
        <w:jc w:val="center"/>
        <w:rPr>
          <w:rFonts w:ascii="黑体" w:hAnsi="黑体" w:eastAsia="黑体" w:cs="Arial"/>
          <w:bCs/>
          <w:sz w:val="21"/>
          <w:szCs w:val="21"/>
          <w:highlight w:val="none"/>
        </w:rPr>
      </w:pPr>
      <w:r>
        <w:rPr>
          <w:rFonts w:ascii="黑体" w:hAnsi="黑体" w:eastAsia="黑体" w:cs="Arial"/>
          <w:bCs/>
          <w:sz w:val="21"/>
          <w:szCs w:val="21"/>
          <w:highlight w:val="none"/>
        </w:rPr>
        <w:t xml:space="preserve">表 7 </w:t>
      </w:r>
      <w:r>
        <w:rPr>
          <w:rFonts w:hint="eastAsia" w:ascii="黑体" w:hAnsi="黑体" w:eastAsia="黑体" w:cs="Arial"/>
          <w:bCs/>
          <w:sz w:val="21"/>
          <w:szCs w:val="21"/>
          <w:highlight w:val="none"/>
        </w:rPr>
        <w:t>面向将来的碳信息披露内容要求及遵循原则</w:t>
      </w:r>
    </w:p>
    <w:tbl>
      <w:tblPr>
        <w:tblStyle w:val="41"/>
        <w:tblW w:w="9351" w:type="dxa"/>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1838"/>
        <w:gridCol w:w="5954"/>
        <w:gridCol w:w="1559"/>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8" w:space="0"/>
              <w:bottom w:val="single" w:color="auto" w:sz="8" w:space="0"/>
              <w:right w:val="single" w:color="auto" w:sz="6" w:space="0"/>
            </w:tcBorders>
          </w:tcPr>
          <w:p>
            <w:pPr>
              <w:jc w:val="center"/>
              <w:rPr>
                <w:rFonts w:ascii="宋体" w:hAnsi="宋体"/>
                <w:sz w:val="18"/>
                <w:szCs w:val="18"/>
                <w:highlight w:val="none"/>
              </w:rPr>
            </w:pPr>
            <w:r>
              <w:rPr>
                <w:rFonts w:hint="eastAsia" w:ascii="宋体" w:hAnsi="宋体"/>
                <w:sz w:val="18"/>
                <w:szCs w:val="18"/>
                <w:highlight w:val="none"/>
              </w:rPr>
              <w:t>信息类型</w:t>
            </w:r>
          </w:p>
        </w:tc>
        <w:tc>
          <w:tcPr>
            <w:tcW w:w="5954" w:type="dxa"/>
            <w:tcBorders>
              <w:top w:val="single" w:color="auto" w:sz="8" w:space="0"/>
              <w:left w:val="single" w:color="auto" w:sz="6" w:space="0"/>
              <w:bottom w:val="single" w:color="auto" w:sz="8" w:space="0"/>
              <w:right w:val="single" w:color="auto" w:sz="6" w:space="0"/>
            </w:tcBorders>
          </w:tcPr>
          <w:p>
            <w:pPr>
              <w:jc w:val="center"/>
              <w:rPr>
                <w:rFonts w:ascii="宋体" w:hAnsi="宋体"/>
                <w:sz w:val="18"/>
                <w:szCs w:val="18"/>
                <w:highlight w:val="none"/>
              </w:rPr>
            </w:pPr>
            <w:r>
              <w:rPr>
                <w:rFonts w:hint="eastAsia" w:ascii="宋体" w:hAnsi="宋体"/>
                <w:sz w:val="18"/>
                <w:szCs w:val="18"/>
                <w:highlight w:val="none"/>
              </w:rPr>
              <w:t>内容要求</w:t>
            </w:r>
          </w:p>
        </w:tc>
        <w:tc>
          <w:tcPr>
            <w:tcW w:w="1559" w:type="dxa"/>
            <w:tcBorders>
              <w:top w:val="single" w:color="auto" w:sz="8" w:space="0"/>
              <w:left w:val="single" w:color="auto" w:sz="6" w:space="0"/>
              <w:bottom w:val="single" w:color="auto" w:sz="8" w:space="0"/>
            </w:tcBorders>
          </w:tcPr>
          <w:p>
            <w:pPr>
              <w:jc w:val="center"/>
              <w:rPr>
                <w:rFonts w:ascii="宋体" w:hAnsi="宋体"/>
                <w:sz w:val="18"/>
                <w:szCs w:val="18"/>
                <w:highlight w:val="none"/>
              </w:rPr>
            </w:pPr>
            <w:r>
              <w:rPr>
                <w:rFonts w:ascii="宋体" w:hAnsi="宋体" w:cs="Arial"/>
                <w:sz w:val="18"/>
                <w:szCs w:val="18"/>
                <w:highlight w:val="none"/>
              </w:rPr>
              <w:t>应</w:t>
            </w:r>
            <w:r>
              <w:rPr>
                <w:rFonts w:hint="eastAsia" w:ascii="宋体" w:hAnsi="宋体" w:cs="Arial"/>
                <w:sz w:val="18"/>
                <w:szCs w:val="18"/>
                <w:highlight w:val="none"/>
              </w:rPr>
              <w:t>遵循披露原则</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8" w:space="0"/>
              <w:bottom w:val="single" w:color="auto" w:sz="6" w:space="0"/>
              <w:right w:val="single" w:color="auto" w:sz="6" w:space="0"/>
            </w:tcBorders>
          </w:tcPr>
          <w:p>
            <w:pPr>
              <w:rPr>
                <w:rFonts w:ascii="宋体" w:hAnsi="宋体"/>
                <w:sz w:val="18"/>
                <w:szCs w:val="18"/>
                <w:highlight w:val="none"/>
              </w:rPr>
            </w:pPr>
            <w:r>
              <w:rPr>
                <w:rFonts w:hint="eastAsia" w:asciiTheme="minorEastAsia" w:hAnsiTheme="minorEastAsia" w:eastAsiaTheme="minorEastAsia"/>
                <w:sz w:val="18"/>
                <w:szCs w:val="18"/>
                <w:highlight w:val="none"/>
              </w:rPr>
              <w:t>验证性声明</w:t>
            </w:r>
          </w:p>
        </w:tc>
        <w:tc>
          <w:tcPr>
            <w:tcW w:w="5954" w:type="dxa"/>
            <w:tcBorders>
              <w:top w:val="single" w:color="auto" w:sz="8" w:space="0"/>
              <w:left w:val="single" w:color="auto" w:sz="6" w:space="0"/>
              <w:bottom w:val="single" w:color="auto" w:sz="6" w:space="0"/>
              <w:right w:val="single" w:color="auto" w:sz="6" w:space="0"/>
            </w:tcBorders>
          </w:tcPr>
          <w:p>
            <w:pPr>
              <w:rPr>
                <w:rFonts w:ascii="Times New Roman" w:hAnsi="宋体" w:cs="Arial"/>
                <w:sz w:val="18"/>
                <w:szCs w:val="18"/>
                <w:highlight w:val="none"/>
              </w:rPr>
            </w:pPr>
            <w:r>
              <w:rPr>
                <w:rFonts w:hint="eastAsia" w:ascii="Times New Roman" w:hAnsi="宋体" w:cs="Arial"/>
                <w:sz w:val="18"/>
                <w:szCs w:val="18"/>
                <w:highlight w:val="none"/>
              </w:rPr>
              <w:t>针对披露信息，</w:t>
            </w:r>
            <w:r>
              <w:rPr>
                <w:rFonts w:hint="eastAsia" w:ascii="Times New Roman" w:hAnsi="宋体" w:cs="Arial"/>
                <w:b/>
                <w:bCs/>
                <w:sz w:val="18"/>
                <w:szCs w:val="18"/>
                <w:highlight w:val="none"/>
              </w:rPr>
              <w:t>应</w:t>
            </w:r>
            <w:r>
              <w:rPr>
                <w:rFonts w:hint="eastAsia" w:ascii="Times New Roman" w:hAnsi="宋体" w:cs="Arial"/>
                <w:sz w:val="18"/>
                <w:szCs w:val="18"/>
                <w:highlight w:val="none"/>
              </w:rPr>
              <w:t>说明已具备的自我验证声明或第三方验证声明：通常可采用审定意见（validation opinion）来支持面向将来的预期的合理性。</w:t>
            </w:r>
          </w:p>
        </w:tc>
        <w:tc>
          <w:tcPr>
            <w:tcW w:w="1559" w:type="dxa"/>
            <w:tcBorders>
              <w:top w:val="single" w:color="auto" w:sz="8" w:space="0"/>
              <w:left w:val="single" w:color="auto" w:sz="6" w:space="0"/>
              <w:bottom w:val="single" w:color="auto" w:sz="6" w:space="0"/>
            </w:tcBorders>
          </w:tcPr>
          <w:p>
            <w:pPr>
              <w:rPr>
                <w:rFonts w:ascii="宋体" w:hAnsi="宋体"/>
                <w:sz w:val="18"/>
                <w:szCs w:val="18"/>
                <w:highlight w:val="none"/>
              </w:rPr>
            </w:pPr>
            <w:r>
              <w:rPr>
                <w:rFonts w:hint="eastAsia" w:ascii="宋体" w:hAnsi="宋体"/>
                <w:sz w:val="18"/>
                <w:szCs w:val="18"/>
                <w:highlight w:val="none"/>
              </w:rPr>
              <w:t>合理性，可验证性</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6" w:space="0"/>
              <w:bottom w:val="single" w:color="auto" w:sz="6" w:space="0"/>
              <w:right w:val="single" w:color="auto" w:sz="6" w:space="0"/>
            </w:tcBorders>
          </w:tcPr>
          <w:p>
            <w:pPr>
              <w:rPr>
                <w:rFonts w:ascii="宋体" w:hAnsi="宋体" w:cs="Arial"/>
                <w:sz w:val="18"/>
                <w:szCs w:val="18"/>
                <w:highlight w:val="none"/>
              </w:rPr>
            </w:pPr>
            <w:r>
              <w:rPr>
                <w:rFonts w:hint="eastAsia" w:asciiTheme="minorEastAsia" w:hAnsiTheme="minorEastAsia" w:eastAsiaTheme="minorEastAsia"/>
                <w:sz w:val="18"/>
                <w:szCs w:val="18"/>
                <w:highlight w:val="none"/>
              </w:rPr>
              <w:t>局限性和可信度声明</w:t>
            </w:r>
          </w:p>
        </w:tc>
        <w:tc>
          <w:tcPr>
            <w:tcW w:w="5954" w:type="dxa"/>
            <w:tcBorders>
              <w:top w:val="single" w:color="auto" w:sz="6" w:space="0"/>
              <w:left w:val="single" w:color="auto" w:sz="6" w:space="0"/>
              <w:bottom w:val="single" w:color="auto" w:sz="6" w:space="0"/>
              <w:right w:val="single" w:color="auto" w:sz="6" w:space="0"/>
            </w:tcBorders>
          </w:tcPr>
          <w:p>
            <w:pPr>
              <w:rPr>
                <w:rFonts w:ascii="宋体" w:hAnsi="宋体" w:cs="Arial"/>
                <w:b/>
                <w:bCs/>
                <w:sz w:val="18"/>
                <w:szCs w:val="18"/>
                <w:highlight w:val="none"/>
              </w:rPr>
            </w:pPr>
            <w:r>
              <w:rPr>
                <w:rFonts w:hint="eastAsia" w:ascii="Times New Roman" w:hAnsi="宋体" w:cs="Arial"/>
                <w:sz w:val="18"/>
                <w:szCs w:val="18"/>
                <w:highlight w:val="none"/>
              </w:rPr>
              <w:t>针对披露信息，</w:t>
            </w:r>
            <w:r>
              <w:rPr>
                <w:rFonts w:hint="eastAsia" w:ascii="宋体" w:hAnsi="宋体" w:cs="Arial"/>
                <w:b/>
                <w:bCs/>
                <w:sz w:val="18"/>
                <w:szCs w:val="18"/>
                <w:highlight w:val="none"/>
              </w:rPr>
              <w:t>宜</w:t>
            </w:r>
            <w:r>
              <w:rPr>
                <w:rFonts w:hint="eastAsia" w:ascii="Times New Roman" w:hAnsi="宋体" w:cs="Arial"/>
                <w:sz w:val="18"/>
                <w:szCs w:val="18"/>
                <w:highlight w:val="none"/>
              </w:rPr>
              <w:t>说明所获取的信息、采用核算方法存在的局限性，以及结果的可信度/置信度。</w:t>
            </w:r>
          </w:p>
        </w:tc>
        <w:tc>
          <w:tcPr>
            <w:tcW w:w="1559" w:type="dxa"/>
            <w:tcBorders>
              <w:top w:val="single" w:color="auto" w:sz="6" w:space="0"/>
              <w:left w:val="single" w:color="auto" w:sz="6" w:space="0"/>
              <w:bottom w:val="single" w:color="auto" w:sz="6" w:space="0"/>
            </w:tcBorders>
          </w:tcPr>
          <w:p>
            <w:pPr>
              <w:rPr>
                <w:rFonts w:ascii="宋体" w:hAnsi="宋体" w:cs="Arial"/>
                <w:sz w:val="18"/>
                <w:szCs w:val="18"/>
                <w:highlight w:val="none"/>
              </w:rPr>
            </w:pPr>
            <w:r>
              <w:rPr>
                <w:rFonts w:hint="eastAsia" w:ascii="Times New Roman" w:hAnsi="宋体" w:cs="Arial"/>
                <w:sz w:val="18"/>
                <w:szCs w:val="18"/>
                <w:highlight w:val="none"/>
              </w:rPr>
              <w:t>准确性</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838" w:type="dxa"/>
            <w:tcBorders>
              <w:top w:val="single" w:color="auto" w:sz="6" w:space="0"/>
              <w:bottom w:val="single" w:color="auto" w:sz="8" w:space="0"/>
              <w:right w:val="single" w:color="auto" w:sz="6" w:space="0"/>
            </w:tcBorders>
          </w:tcPr>
          <w:p>
            <w:pPr>
              <w:rPr>
                <w:rFonts w:ascii="宋体" w:hAnsi="宋体" w:cs="Arial"/>
                <w:sz w:val="18"/>
                <w:szCs w:val="18"/>
                <w:highlight w:val="none"/>
              </w:rPr>
            </w:pPr>
            <w:r>
              <w:rPr>
                <w:rFonts w:hint="eastAsia" w:asciiTheme="minorEastAsia" w:hAnsiTheme="minorEastAsia" w:eastAsiaTheme="minorEastAsia"/>
                <w:sz w:val="18"/>
                <w:szCs w:val="18"/>
                <w:highlight w:val="none"/>
              </w:rPr>
              <w:t>历史一贯性声明</w:t>
            </w:r>
          </w:p>
        </w:tc>
        <w:tc>
          <w:tcPr>
            <w:tcW w:w="5954" w:type="dxa"/>
            <w:tcBorders>
              <w:top w:val="single" w:color="auto" w:sz="6" w:space="0"/>
              <w:left w:val="single" w:color="auto" w:sz="6" w:space="0"/>
              <w:bottom w:val="single" w:color="auto" w:sz="8" w:space="0"/>
              <w:right w:val="single" w:color="auto" w:sz="6" w:space="0"/>
            </w:tcBorders>
          </w:tcPr>
          <w:p>
            <w:pPr>
              <w:rPr>
                <w:rFonts w:ascii="Times New Roman" w:hAnsi="宋体" w:cs="Arial"/>
                <w:sz w:val="18"/>
                <w:szCs w:val="18"/>
                <w:highlight w:val="none"/>
              </w:rPr>
            </w:pPr>
            <w:r>
              <w:rPr>
                <w:rFonts w:hint="eastAsia" w:ascii="Times New Roman" w:hAnsi="宋体" w:cs="Arial"/>
                <w:sz w:val="18"/>
                <w:szCs w:val="18"/>
                <w:highlight w:val="none"/>
              </w:rPr>
              <w:t>多次披露相同或可比的信息，</w:t>
            </w:r>
            <w:r>
              <w:rPr>
                <w:rFonts w:hint="eastAsia" w:ascii="宋体" w:hAnsi="宋体" w:cs="Arial"/>
                <w:b/>
                <w:bCs/>
                <w:sz w:val="18"/>
                <w:szCs w:val="18"/>
                <w:highlight w:val="none"/>
              </w:rPr>
              <w:t>应</w:t>
            </w:r>
            <w:r>
              <w:rPr>
                <w:rFonts w:hint="eastAsia" w:ascii="Times New Roman" w:hAnsi="宋体" w:cs="Arial"/>
                <w:sz w:val="18"/>
                <w:szCs w:val="18"/>
                <w:highlight w:val="none"/>
              </w:rPr>
              <w:t>说明最新披露信息与此前信息之间的非自然差异来源，包括对此前披露结果的修正。</w:t>
            </w:r>
          </w:p>
        </w:tc>
        <w:tc>
          <w:tcPr>
            <w:tcW w:w="1559" w:type="dxa"/>
            <w:tcBorders>
              <w:top w:val="single" w:color="auto" w:sz="6" w:space="0"/>
              <w:left w:val="single" w:color="auto" w:sz="6" w:space="0"/>
              <w:bottom w:val="single" w:color="auto" w:sz="8" w:space="0"/>
            </w:tcBorders>
          </w:tcPr>
          <w:p>
            <w:pPr>
              <w:rPr>
                <w:rFonts w:ascii="宋体" w:hAnsi="宋体" w:cs="Arial"/>
                <w:sz w:val="18"/>
                <w:szCs w:val="18"/>
                <w:highlight w:val="none"/>
              </w:rPr>
            </w:pPr>
            <w:r>
              <w:rPr>
                <w:rFonts w:hint="eastAsia" w:ascii="Times New Roman" w:hAnsi="宋体" w:cs="Arial"/>
                <w:sz w:val="18"/>
                <w:szCs w:val="18"/>
                <w:highlight w:val="none"/>
              </w:rPr>
              <w:t>准确性</w:t>
            </w:r>
          </w:p>
        </w:tc>
      </w:tr>
    </w:tbl>
    <w:p>
      <w:pPr>
        <w:spacing w:before="156" w:beforeLines="50" w:after="156" w:afterLines="50"/>
        <w:rPr>
          <w:rFonts w:ascii="黑体" w:hAnsi="黑体" w:eastAsia="黑体"/>
          <w:highlight w:val="none"/>
        </w:rPr>
      </w:pPr>
      <w:bookmarkStart w:id="42" w:name="heading_51"/>
      <w:r>
        <w:rPr>
          <w:rFonts w:ascii="黑体" w:hAnsi="黑体" w:eastAsia="黑体"/>
          <w:highlight w:val="none"/>
        </w:rPr>
        <w:t>6.4.</w:t>
      </w:r>
      <w:r>
        <w:rPr>
          <w:rFonts w:hint="eastAsia" w:ascii="黑体" w:hAnsi="黑体" w:eastAsia="黑体"/>
          <w:highlight w:val="none"/>
        </w:rPr>
        <w:t>6</w:t>
      </w:r>
      <w:r>
        <w:rPr>
          <w:rFonts w:ascii="黑体" w:hAnsi="黑体" w:eastAsia="黑体"/>
          <w:highlight w:val="none"/>
        </w:rPr>
        <w:t xml:space="preserve"> </w:t>
      </w:r>
      <w:r>
        <w:rPr>
          <w:rFonts w:hint="eastAsia" w:ascii="黑体" w:hAnsi="黑体" w:eastAsia="黑体"/>
          <w:highlight w:val="none"/>
        </w:rPr>
        <w:t>回顾过去的信息</w:t>
      </w:r>
      <w:bookmarkEnd w:id="42"/>
    </w:p>
    <w:p>
      <w:pPr>
        <w:ind w:firstLine="420"/>
        <w:rPr>
          <w:rFonts w:ascii="宋体" w:hAnsi="宋体"/>
          <w:highlight w:val="none"/>
        </w:rPr>
      </w:pPr>
      <w:r>
        <w:rPr>
          <w:rFonts w:hint="eastAsia" w:ascii="宋体" w:hAnsi="宋体"/>
          <w:highlight w:val="none"/>
        </w:rPr>
        <w:t>回顾过去的碳信息披露涉及如下内容，并</w:t>
      </w:r>
      <w:r>
        <w:rPr>
          <w:rFonts w:hint="eastAsia" w:ascii="宋体" w:hAnsi="宋体"/>
          <w:b/>
          <w:highlight w:val="none"/>
        </w:rPr>
        <w:t>应</w:t>
      </w:r>
      <w:r>
        <w:rPr>
          <w:rFonts w:hint="eastAsia" w:ascii="宋体" w:hAnsi="宋体"/>
          <w:highlight w:val="none"/>
        </w:rPr>
        <w:t>重点遵循的相关披露原则，</w:t>
      </w:r>
      <w:r>
        <w:rPr>
          <w:rFonts w:hint="eastAsia" w:ascii="宋体" w:hAnsi="宋体"/>
          <w:b/>
          <w:highlight w:val="none"/>
        </w:rPr>
        <w:t>应</w:t>
      </w:r>
      <w:r>
        <w:rPr>
          <w:rFonts w:hint="eastAsia" w:ascii="宋体" w:hAnsi="宋体"/>
          <w:highlight w:val="none"/>
        </w:rPr>
        <w:t>符合表8的规定。</w:t>
      </w:r>
    </w:p>
    <w:p>
      <w:pPr>
        <w:spacing w:before="156" w:beforeLines="50" w:after="156" w:afterLines="50"/>
        <w:jc w:val="center"/>
        <w:rPr>
          <w:rFonts w:ascii="黑体" w:hAnsi="黑体" w:eastAsia="黑体" w:cs="Arial"/>
          <w:bCs/>
          <w:sz w:val="21"/>
          <w:szCs w:val="21"/>
          <w:highlight w:val="none"/>
        </w:rPr>
      </w:pPr>
      <w:r>
        <w:rPr>
          <w:rFonts w:ascii="黑体" w:hAnsi="黑体" w:eastAsia="黑体" w:cs="Arial"/>
          <w:bCs/>
          <w:sz w:val="21"/>
          <w:szCs w:val="21"/>
          <w:highlight w:val="none"/>
        </w:rPr>
        <w:t xml:space="preserve">表 8 </w:t>
      </w:r>
      <w:r>
        <w:rPr>
          <w:rFonts w:hint="eastAsia" w:ascii="黑体" w:hAnsi="黑体" w:eastAsia="黑体" w:cs="Arial"/>
          <w:bCs/>
          <w:sz w:val="21"/>
          <w:szCs w:val="21"/>
          <w:highlight w:val="none"/>
        </w:rPr>
        <w:t>回顾过去的碳信息披露内容要求及遵循原则</w:t>
      </w:r>
    </w:p>
    <w:tbl>
      <w:tblPr>
        <w:tblStyle w:val="41"/>
        <w:tblW w:w="9351"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838"/>
        <w:gridCol w:w="5954"/>
        <w:gridCol w:w="155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Borders>
              <w:top w:val="single" w:color="auto" w:sz="8" w:space="0"/>
              <w:bottom w:val="single" w:color="auto" w:sz="8" w:space="0"/>
            </w:tcBorders>
          </w:tcPr>
          <w:p>
            <w:pPr>
              <w:jc w:val="center"/>
              <w:rPr>
                <w:rFonts w:ascii="宋体" w:hAnsi="宋体"/>
                <w:sz w:val="18"/>
                <w:szCs w:val="18"/>
                <w:highlight w:val="none"/>
              </w:rPr>
            </w:pPr>
            <w:r>
              <w:rPr>
                <w:rFonts w:hint="eastAsia" w:ascii="宋体" w:hAnsi="宋体"/>
                <w:sz w:val="18"/>
                <w:szCs w:val="18"/>
                <w:highlight w:val="none"/>
              </w:rPr>
              <w:t>信息类型</w:t>
            </w:r>
          </w:p>
        </w:tc>
        <w:tc>
          <w:tcPr>
            <w:tcW w:w="5954" w:type="dxa"/>
            <w:tcBorders>
              <w:top w:val="single" w:color="auto" w:sz="8" w:space="0"/>
              <w:bottom w:val="single" w:color="auto" w:sz="8" w:space="0"/>
            </w:tcBorders>
          </w:tcPr>
          <w:p>
            <w:pPr>
              <w:jc w:val="center"/>
              <w:rPr>
                <w:rFonts w:ascii="宋体" w:hAnsi="宋体"/>
                <w:sz w:val="18"/>
                <w:szCs w:val="18"/>
                <w:highlight w:val="none"/>
              </w:rPr>
            </w:pPr>
            <w:r>
              <w:rPr>
                <w:rFonts w:hint="eastAsia" w:ascii="宋体" w:hAnsi="宋体"/>
                <w:sz w:val="18"/>
                <w:szCs w:val="18"/>
                <w:highlight w:val="none"/>
              </w:rPr>
              <w:t>内容要求</w:t>
            </w:r>
          </w:p>
        </w:tc>
        <w:tc>
          <w:tcPr>
            <w:tcW w:w="1559" w:type="dxa"/>
            <w:tcBorders>
              <w:top w:val="single" w:color="auto" w:sz="8" w:space="0"/>
              <w:bottom w:val="single" w:color="auto" w:sz="8" w:space="0"/>
            </w:tcBorders>
          </w:tcPr>
          <w:p>
            <w:pPr>
              <w:jc w:val="center"/>
              <w:rPr>
                <w:rFonts w:ascii="宋体" w:hAnsi="宋体"/>
                <w:sz w:val="18"/>
                <w:szCs w:val="18"/>
                <w:highlight w:val="none"/>
              </w:rPr>
            </w:pPr>
            <w:r>
              <w:rPr>
                <w:rFonts w:ascii="宋体" w:hAnsi="宋体" w:cs="Arial"/>
                <w:sz w:val="18"/>
                <w:szCs w:val="18"/>
                <w:highlight w:val="none"/>
              </w:rPr>
              <w:t>应</w:t>
            </w:r>
            <w:r>
              <w:rPr>
                <w:rFonts w:hint="eastAsia" w:ascii="宋体" w:hAnsi="宋体" w:cs="Arial"/>
                <w:sz w:val="18"/>
                <w:szCs w:val="18"/>
                <w:highlight w:val="none"/>
              </w:rPr>
              <w:t>遵循披露原则</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Borders>
              <w:top w:val="single" w:color="auto" w:sz="8" w:space="0"/>
            </w:tcBorders>
          </w:tcPr>
          <w:p>
            <w:pPr>
              <w:rPr>
                <w:rFonts w:ascii="宋体" w:hAnsi="宋体"/>
                <w:sz w:val="18"/>
                <w:szCs w:val="18"/>
                <w:highlight w:val="none"/>
              </w:rPr>
            </w:pPr>
            <w:r>
              <w:rPr>
                <w:rFonts w:hint="eastAsia" w:asciiTheme="minorEastAsia" w:hAnsiTheme="minorEastAsia" w:eastAsiaTheme="minorEastAsia"/>
                <w:sz w:val="18"/>
                <w:szCs w:val="18"/>
                <w:highlight w:val="none"/>
              </w:rPr>
              <w:t>验证性声明</w:t>
            </w:r>
          </w:p>
        </w:tc>
        <w:tc>
          <w:tcPr>
            <w:tcW w:w="5954" w:type="dxa"/>
            <w:tcBorders>
              <w:top w:val="single" w:color="auto" w:sz="8" w:space="0"/>
            </w:tcBorders>
          </w:tcPr>
          <w:p>
            <w:pPr>
              <w:rPr>
                <w:rFonts w:ascii="Times New Roman" w:hAnsi="宋体" w:cs="Arial"/>
                <w:sz w:val="18"/>
                <w:szCs w:val="18"/>
                <w:highlight w:val="none"/>
              </w:rPr>
            </w:pPr>
            <w:r>
              <w:rPr>
                <w:rFonts w:hint="eastAsia" w:ascii="Times New Roman" w:hAnsi="宋体" w:cs="Arial"/>
                <w:sz w:val="18"/>
                <w:szCs w:val="18"/>
                <w:highlight w:val="none"/>
              </w:rPr>
              <w:t>针对披露信息，</w:t>
            </w:r>
            <w:r>
              <w:rPr>
                <w:rFonts w:hint="eastAsia" w:ascii="Times New Roman" w:hAnsi="宋体" w:cs="Arial"/>
                <w:b/>
                <w:bCs/>
                <w:sz w:val="18"/>
                <w:szCs w:val="18"/>
                <w:highlight w:val="none"/>
              </w:rPr>
              <w:t>应</w:t>
            </w:r>
            <w:r>
              <w:rPr>
                <w:rFonts w:hint="eastAsia" w:ascii="Times New Roman" w:hAnsi="宋体" w:cs="Arial"/>
                <w:sz w:val="18"/>
                <w:szCs w:val="18"/>
                <w:highlight w:val="none"/>
              </w:rPr>
              <w:t>说明已具备的自我验证声明或第三方验证声明；通常可采用审核意见（</w:t>
            </w:r>
            <w:r>
              <w:rPr>
                <w:rFonts w:ascii="Times New Roman" w:hAnsi="宋体" w:cs="Arial"/>
                <w:sz w:val="18"/>
                <w:szCs w:val="18"/>
                <w:highlight w:val="none"/>
              </w:rPr>
              <w:t>verification</w:t>
            </w:r>
            <w:r>
              <w:rPr>
                <w:rFonts w:hint="eastAsia" w:ascii="Times New Roman" w:hAnsi="宋体" w:cs="Arial"/>
                <w:sz w:val="18"/>
                <w:szCs w:val="18"/>
                <w:highlight w:val="none"/>
              </w:rPr>
              <w:t xml:space="preserve"> opinion）来支持回顾过去的信息的有效性。</w:t>
            </w:r>
          </w:p>
        </w:tc>
        <w:tc>
          <w:tcPr>
            <w:tcW w:w="1559" w:type="dxa"/>
            <w:tcBorders>
              <w:top w:val="single" w:color="auto" w:sz="8" w:space="0"/>
            </w:tcBorders>
          </w:tcPr>
          <w:p>
            <w:pPr>
              <w:rPr>
                <w:rFonts w:ascii="宋体" w:hAnsi="宋体"/>
                <w:sz w:val="18"/>
                <w:szCs w:val="18"/>
                <w:highlight w:val="none"/>
              </w:rPr>
            </w:pPr>
            <w:r>
              <w:rPr>
                <w:rFonts w:hint="eastAsia" w:ascii="Times New Roman" w:hAnsi="宋体" w:cs="Arial"/>
                <w:sz w:val="18"/>
                <w:szCs w:val="18"/>
                <w:highlight w:val="none"/>
              </w:rPr>
              <w:t>真实性，可验证性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Pr>
          <w:p>
            <w:pPr>
              <w:rPr>
                <w:rFonts w:ascii="宋体" w:hAnsi="宋体" w:cs="Arial"/>
                <w:sz w:val="18"/>
                <w:szCs w:val="18"/>
                <w:highlight w:val="none"/>
              </w:rPr>
            </w:pPr>
            <w:r>
              <w:rPr>
                <w:rFonts w:hint="eastAsia" w:asciiTheme="minorEastAsia" w:hAnsiTheme="minorEastAsia" w:eastAsiaTheme="minorEastAsia"/>
                <w:sz w:val="18"/>
                <w:szCs w:val="18"/>
                <w:highlight w:val="none"/>
              </w:rPr>
              <w:t>局限性和可信度声明</w:t>
            </w:r>
          </w:p>
        </w:tc>
        <w:tc>
          <w:tcPr>
            <w:tcW w:w="5954" w:type="dxa"/>
          </w:tcPr>
          <w:p>
            <w:pPr>
              <w:rPr>
                <w:rFonts w:ascii="宋体" w:hAnsi="宋体" w:cs="Arial"/>
                <w:b/>
                <w:bCs/>
                <w:sz w:val="18"/>
                <w:szCs w:val="18"/>
                <w:highlight w:val="none"/>
              </w:rPr>
            </w:pPr>
            <w:r>
              <w:rPr>
                <w:rFonts w:hint="eastAsia" w:ascii="Times New Roman" w:hAnsi="宋体" w:cs="Arial"/>
                <w:sz w:val="18"/>
                <w:szCs w:val="18"/>
                <w:highlight w:val="none"/>
              </w:rPr>
              <w:t>针对披露信息，</w:t>
            </w:r>
            <w:r>
              <w:rPr>
                <w:rFonts w:hint="eastAsia" w:ascii="宋体" w:hAnsi="宋体" w:cs="Arial"/>
                <w:b/>
                <w:bCs/>
                <w:sz w:val="18"/>
                <w:szCs w:val="18"/>
                <w:highlight w:val="none"/>
              </w:rPr>
              <w:t>宜</w:t>
            </w:r>
            <w:r>
              <w:rPr>
                <w:rFonts w:hint="eastAsia" w:ascii="Times New Roman" w:hAnsi="宋体" w:cs="Arial"/>
                <w:sz w:val="18"/>
                <w:szCs w:val="18"/>
                <w:highlight w:val="none"/>
              </w:rPr>
              <w:t>说明所获取的信息、采用核算方法存在的局限性，以及结果的可信度/置信度。</w:t>
            </w:r>
          </w:p>
        </w:tc>
        <w:tc>
          <w:tcPr>
            <w:tcW w:w="1559" w:type="dxa"/>
          </w:tcPr>
          <w:p>
            <w:pPr>
              <w:rPr>
                <w:rFonts w:ascii="宋体" w:hAnsi="宋体" w:cs="Arial"/>
                <w:sz w:val="18"/>
                <w:szCs w:val="18"/>
                <w:highlight w:val="none"/>
              </w:rPr>
            </w:pPr>
            <w:r>
              <w:rPr>
                <w:rFonts w:hint="eastAsia" w:ascii="Times New Roman" w:hAnsi="宋体" w:cs="Arial"/>
                <w:sz w:val="18"/>
                <w:szCs w:val="18"/>
                <w:highlight w:val="none"/>
              </w:rPr>
              <w:t>准确性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838" w:type="dxa"/>
          </w:tcPr>
          <w:p>
            <w:pPr>
              <w:rPr>
                <w:rFonts w:ascii="宋体" w:hAnsi="宋体" w:cs="Arial"/>
                <w:sz w:val="18"/>
                <w:szCs w:val="18"/>
                <w:highlight w:val="none"/>
              </w:rPr>
            </w:pPr>
            <w:r>
              <w:rPr>
                <w:rFonts w:hint="eastAsia" w:asciiTheme="minorEastAsia" w:hAnsiTheme="minorEastAsia" w:eastAsiaTheme="minorEastAsia"/>
                <w:sz w:val="18"/>
                <w:szCs w:val="18"/>
                <w:highlight w:val="none"/>
              </w:rPr>
              <w:t>历史一贯性声明</w:t>
            </w:r>
          </w:p>
        </w:tc>
        <w:tc>
          <w:tcPr>
            <w:tcW w:w="5954" w:type="dxa"/>
          </w:tcPr>
          <w:p>
            <w:pPr>
              <w:rPr>
                <w:rFonts w:ascii="Times New Roman" w:hAnsi="宋体" w:cs="Arial"/>
                <w:sz w:val="18"/>
                <w:szCs w:val="18"/>
                <w:highlight w:val="none"/>
              </w:rPr>
            </w:pPr>
            <w:r>
              <w:rPr>
                <w:rFonts w:hint="eastAsia" w:ascii="Times New Roman" w:hAnsi="宋体" w:cs="Arial"/>
                <w:sz w:val="18"/>
                <w:szCs w:val="18"/>
                <w:highlight w:val="none"/>
              </w:rPr>
              <w:t>多次披露相同或可比的信息，</w:t>
            </w:r>
            <w:r>
              <w:rPr>
                <w:rFonts w:hint="eastAsia" w:ascii="宋体" w:hAnsi="宋体" w:cs="Arial"/>
                <w:b/>
                <w:bCs/>
                <w:sz w:val="18"/>
                <w:szCs w:val="18"/>
                <w:highlight w:val="none"/>
              </w:rPr>
              <w:t>应</w:t>
            </w:r>
            <w:r>
              <w:rPr>
                <w:rFonts w:hint="eastAsia" w:ascii="Times New Roman" w:hAnsi="宋体" w:cs="Arial"/>
                <w:sz w:val="18"/>
                <w:szCs w:val="18"/>
                <w:highlight w:val="none"/>
              </w:rPr>
              <w:t>说明最新披露信息与此前信息之间的非自然差异来源，包括对此前披露结果的修正；</w:t>
            </w:r>
          </w:p>
          <w:p>
            <w:pPr>
              <w:rPr>
                <w:rFonts w:ascii="宋体" w:hAnsi="宋体" w:cs="Arial"/>
                <w:b/>
                <w:bCs/>
                <w:sz w:val="18"/>
                <w:szCs w:val="18"/>
                <w:highlight w:val="none"/>
              </w:rPr>
            </w:pPr>
            <w:r>
              <w:rPr>
                <w:rFonts w:hint="eastAsia" w:ascii="Times New Roman" w:hAnsi="宋体" w:cs="Arial"/>
                <w:sz w:val="18"/>
                <w:szCs w:val="18"/>
                <w:highlight w:val="none"/>
              </w:rPr>
              <w:t>若回顾过去的信息属于对已披露的面向将来信息的追踪，则</w:t>
            </w:r>
            <w:r>
              <w:rPr>
                <w:rFonts w:hint="eastAsia" w:ascii="宋体" w:hAnsi="宋体" w:cs="Arial"/>
                <w:b/>
                <w:sz w:val="18"/>
                <w:szCs w:val="18"/>
                <w:highlight w:val="none"/>
              </w:rPr>
              <w:t>应</w:t>
            </w:r>
            <w:r>
              <w:rPr>
                <w:rFonts w:hint="eastAsia" w:ascii="Times New Roman" w:hAnsi="宋体" w:cs="Arial"/>
                <w:sz w:val="18"/>
                <w:szCs w:val="18"/>
                <w:highlight w:val="none"/>
              </w:rPr>
              <w:t>说明此前预期是否相对显示存在显著偏差。</w:t>
            </w:r>
          </w:p>
        </w:tc>
        <w:tc>
          <w:tcPr>
            <w:tcW w:w="1559" w:type="dxa"/>
          </w:tcPr>
          <w:p>
            <w:pPr>
              <w:rPr>
                <w:rFonts w:ascii="宋体" w:hAnsi="宋体" w:cs="Arial"/>
                <w:sz w:val="18"/>
                <w:szCs w:val="18"/>
                <w:highlight w:val="none"/>
              </w:rPr>
            </w:pPr>
            <w:r>
              <w:rPr>
                <w:rFonts w:hint="eastAsia" w:ascii="Times New Roman" w:hAnsi="宋体" w:cs="Arial"/>
                <w:sz w:val="18"/>
                <w:szCs w:val="18"/>
                <w:highlight w:val="none"/>
              </w:rPr>
              <w:t>准确性</w:t>
            </w:r>
          </w:p>
        </w:tc>
      </w:tr>
    </w:tbl>
    <w:p>
      <w:pPr>
        <w:pStyle w:val="2"/>
        <w:spacing w:before="240" w:beforeLines="100" w:after="240" w:afterLines="100" w:line="240" w:lineRule="auto"/>
        <w:rPr>
          <w:rFonts w:ascii="黑体" w:hAnsi="黑体" w:eastAsia="黑体"/>
          <w:b w:val="0"/>
          <w:sz w:val="21"/>
          <w:szCs w:val="21"/>
          <w:highlight w:val="none"/>
        </w:rPr>
      </w:pPr>
      <w:bookmarkStart w:id="43" w:name="_Toc166611381"/>
      <w:r>
        <w:rPr>
          <w:rFonts w:ascii="黑体" w:hAnsi="黑体" w:eastAsia="黑体"/>
          <w:b w:val="0"/>
          <w:sz w:val="21"/>
          <w:szCs w:val="21"/>
          <w:highlight w:val="none"/>
        </w:rPr>
        <w:t xml:space="preserve">7. </w:t>
      </w:r>
      <w:bookmarkStart w:id="44" w:name="heading_52"/>
      <w:r>
        <w:rPr>
          <w:rFonts w:hint="eastAsia" w:ascii="黑体" w:hAnsi="黑体" w:eastAsia="黑体"/>
          <w:b w:val="0"/>
          <w:sz w:val="21"/>
          <w:szCs w:val="21"/>
          <w:highlight w:val="none"/>
        </w:rPr>
        <w:t>披露与声明情形要求</w:t>
      </w:r>
      <w:bookmarkEnd w:id="43"/>
      <w:bookmarkEnd w:id="44"/>
    </w:p>
    <w:p>
      <w:pPr>
        <w:pStyle w:val="3"/>
        <w:spacing w:before="120" w:beforeLines="50" w:after="120" w:afterLines="50" w:line="240" w:lineRule="auto"/>
        <w:rPr>
          <w:rFonts w:ascii="黑体" w:hAnsi="黑体" w:eastAsia="黑体"/>
          <w:b w:val="0"/>
          <w:sz w:val="21"/>
          <w:szCs w:val="21"/>
          <w:highlight w:val="none"/>
        </w:rPr>
      </w:pPr>
      <w:bookmarkStart w:id="45" w:name="_Toc166611382"/>
      <w:r>
        <w:rPr>
          <w:rFonts w:ascii="黑体" w:hAnsi="黑体" w:eastAsia="黑体"/>
          <w:b w:val="0"/>
          <w:sz w:val="21"/>
          <w:szCs w:val="21"/>
          <w:highlight w:val="none"/>
        </w:rPr>
        <w:t>7.</w:t>
      </w:r>
      <w:r>
        <w:rPr>
          <w:rFonts w:hint="eastAsia" w:ascii="黑体" w:hAnsi="黑体" w:eastAsia="黑体"/>
          <w:b w:val="0"/>
          <w:sz w:val="21"/>
          <w:szCs w:val="21"/>
          <w:highlight w:val="none"/>
        </w:rPr>
        <w:t>1</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通用要求</w:t>
      </w:r>
      <w:bookmarkEnd w:id="45"/>
    </w:p>
    <w:p>
      <w:pPr>
        <w:ind w:firstLine="420"/>
        <w:rPr>
          <w:rFonts w:ascii="宋体" w:hAnsi="宋体"/>
          <w:highlight w:val="none"/>
        </w:rPr>
      </w:pPr>
      <w:r>
        <w:rPr>
          <w:rFonts w:ascii="宋体" w:hAnsi="宋体" w:cs="Times New Roman"/>
          <w:kern w:val="2"/>
          <w:sz w:val="21"/>
          <w:highlight w:val="none"/>
        </w:rPr>
        <w:t>企业信息披露</w:t>
      </w:r>
      <w:r>
        <w:rPr>
          <w:rFonts w:ascii="宋体" w:hAnsi="宋体" w:cs="Times New Roman"/>
          <w:b/>
          <w:bCs/>
          <w:kern w:val="2"/>
          <w:sz w:val="21"/>
          <w:highlight w:val="none"/>
        </w:rPr>
        <w:t>应</w:t>
      </w:r>
      <w:r>
        <w:rPr>
          <w:rFonts w:ascii="宋体" w:hAnsi="宋体" w:cs="Times New Roman"/>
          <w:kern w:val="2"/>
          <w:sz w:val="21"/>
          <w:highlight w:val="none"/>
        </w:rPr>
        <w:t>明确披露目的、范围、用途</w:t>
      </w:r>
      <w:r>
        <w:rPr>
          <w:rFonts w:hint="eastAsia" w:ascii="宋体" w:hAnsi="宋体"/>
          <w:highlight w:val="none"/>
        </w:rPr>
        <w:t>和</w:t>
      </w:r>
      <w:r>
        <w:rPr>
          <w:rFonts w:ascii="宋体" w:hAnsi="宋体" w:cs="Times New Roman"/>
          <w:kern w:val="2"/>
          <w:sz w:val="21"/>
          <w:highlight w:val="none"/>
        </w:rPr>
        <w:t>受众等</w:t>
      </w:r>
      <w:r>
        <w:rPr>
          <w:rFonts w:hint="eastAsia" w:ascii="宋体" w:hAnsi="宋体"/>
          <w:highlight w:val="none"/>
        </w:rPr>
        <w:t>要点</w:t>
      </w:r>
      <w:r>
        <w:rPr>
          <w:rFonts w:ascii="宋体" w:hAnsi="宋体" w:cs="Times New Roman"/>
          <w:kern w:val="2"/>
          <w:sz w:val="21"/>
          <w:highlight w:val="none"/>
        </w:rPr>
        <w:t>，并遵循不同的披露场景原则</w:t>
      </w:r>
      <w:r>
        <w:rPr>
          <w:rFonts w:hint="eastAsia" w:ascii="宋体" w:hAnsi="宋体"/>
          <w:highlight w:val="none"/>
        </w:rPr>
        <w:t>。</w:t>
      </w:r>
    </w:p>
    <w:p>
      <w:pPr>
        <w:spacing w:before="0"/>
        <w:ind w:firstLine="420"/>
        <w:rPr>
          <w:rFonts w:ascii="宋体" w:hAnsi="宋体"/>
          <w:highlight w:val="none"/>
        </w:rPr>
      </w:pPr>
      <w:r>
        <w:rPr>
          <w:rFonts w:hint="eastAsia" w:ascii="宋体" w:hAnsi="宋体"/>
          <w:highlight w:val="none"/>
        </w:rPr>
        <w:t>基于披露碳信息的不同披露情形下的披露建议</w:t>
      </w:r>
      <w:r>
        <w:rPr>
          <w:rFonts w:hint="eastAsia" w:ascii="宋体" w:hAnsi="宋体"/>
          <w:b/>
          <w:bCs/>
          <w:highlight w:val="none"/>
        </w:rPr>
        <w:t>宜</w:t>
      </w:r>
      <w:r>
        <w:rPr>
          <w:rFonts w:hint="eastAsia" w:ascii="宋体" w:hAnsi="宋体"/>
          <w:highlight w:val="none"/>
        </w:rPr>
        <w:t>参考附录B。</w:t>
      </w:r>
    </w:p>
    <w:p>
      <w:pPr>
        <w:pStyle w:val="3"/>
        <w:spacing w:before="120" w:beforeLines="50" w:after="120" w:afterLines="50"/>
        <w:rPr>
          <w:rFonts w:ascii="黑体" w:hAnsi="黑体" w:eastAsia="黑体"/>
          <w:szCs w:val="21"/>
          <w:highlight w:val="none"/>
        </w:rPr>
      </w:pPr>
      <w:bookmarkStart w:id="46" w:name="_Toc166611383"/>
      <w:r>
        <w:rPr>
          <w:rFonts w:ascii="黑体" w:hAnsi="黑体" w:eastAsia="黑体"/>
          <w:b w:val="0"/>
          <w:bCs/>
          <w:sz w:val="21"/>
          <w:szCs w:val="21"/>
          <w:highlight w:val="none"/>
        </w:rPr>
        <w:t>7.</w:t>
      </w:r>
      <w:r>
        <w:rPr>
          <w:rFonts w:hint="eastAsia" w:ascii="黑体" w:hAnsi="黑体" w:eastAsia="黑体"/>
          <w:b w:val="0"/>
          <w:sz w:val="21"/>
          <w:szCs w:val="21"/>
          <w:highlight w:val="none"/>
        </w:rPr>
        <w:t>2</w:t>
      </w:r>
      <w:r>
        <w:rPr>
          <w:rFonts w:ascii="黑体" w:hAnsi="黑体" w:eastAsia="黑体"/>
          <w:b w:val="0"/>
          <w:bCs/>
          <w:sz w:val="21"/>
          <w:szCs w:val="21"/>
          <w:highlight w:val="none"/>
        </w:rPr>
        <w:t xml:space="preserve"> </w:t>
      </w:r>
      <w:r>
        <w:rPr>
          <w:rFonts w:hint="eastAsia" w:ascii="黑体" w:hAnsi="黑体" w:eastAsia="黑体"/>
          <w:b w:val="0"/>
          <w:bCs/>
          <w:sz w:val="21"/>
          <w:szCs w:val="21"/>
          <w:highlight w:val="none"/>
        </w:rPr>
        <w:t>面向消费市场或一般大众的公开披露</w:t>
      </w:r>
      <w:bookmarkEnd w:id="46"/>
    </w:p>
    <w:p>
      <w:pPr>
        <w:spacing w:before="156" w:beforeLines="50"/>
        <w:ind w:firstLine="420"/>
        <w:rPr>
          <w:rFonts w:ascii="宋体" w:hAnsi="宋体"/>
          <w:highlight w:val="none"/>
        </w:rPr>
      </w:pPr>
      <w:r>
        <w:rPr>
          <w:rFonts w:hint="eastAsia"/>
          <w:highlight w:val="none"/>
        </w:rPr>
        <w:t>面向消费市场或一般大众的公开披</w:t>
      </w:r>
      <w:r>
        <w:rPr>
          <w:rFonts w:hint="eastAsia" w:ascii="宋体" w:hAnsi="宋体"/>
          <w:highlight w:val="none"/>
        </w:rPr>
        <w:t>露（见</w:t>
      </w:r>
      <w:r>
        <w:rPr>
          <w:rFonts w:ascii="宋体" w:hAnsi="宋体"/>
          <w:highlight w:val="none"/>
        </w:rPr>
        <w:t>5.4.1</w:t>
      </w:r>
      <w:r>
        <w:rPr>
          <w:rFonts w:hint="eastAsia" w:ascii="宋体" w:hAnsi="宋体"/>
          <w:highlight w:val="none"/>
        </w:rPr>
        <w:t>）</w:t>
      </w:r>
      <w:r>
        <w:rPr>
          <w:rFonts w:ascii="宋体" w:hAnsi="宋体"/>
          <w:highlight w:val="none"/>
        </w:rPr>
        <w:t>，</w:t>
      </w:r>
      <w:r>
        <w:rPr>
          <w:rFonts w:ascii="宋体" w:hAnsi="宋体"/>
          <w:b/>
          <w:bCs/>
          <w:highlight w:val="none"/>
        </w:rPr>
        <w:t>应</w:t>
      </w:r>
      <w:r>
        <w:rPr>
          <w:rFonts w:ascii="宋体" w:hAnsi="宋体"/>
          <w:highlight w:val="none"/>
        </w:rPr>
        <w:t>主要遵循目标受众地区法规与标准要求，</w:t>
      </w:r>
      <w:r>
        <w:rPr>
          <w:rFonts w:ascii="宋体" w:hAnsi="宋体"/>
          <w:b/>
          <w:bCs/>
          <w:highlight w:val="none"/>
        </w:rPr>
        <w:t>应</w:t>
      </w:r>
      <w:r>
        <w:rPr>
          <w:rFonts w:ascii="宋体" w:hAnsi="宋体"/>
          <w:highlight w:val="none"/>
        </w:rPr>
        <w:t>重点关注如下方面：</w:t>
      </w:r>
    </w:p>
    <w:p>
      <w:pPr>
        <w:pStyle w:val="175"/>
        <w:numPr>
          <w:ilvl w:val="0"/>
          <w:numId w:val="26"/>
        </w:numPr>
        <w:ind w:firstLineChars="0"/>
        <w:rPr>
          <w:rFonts w:ascii="宋体" w:hAnsi="宋体"/>
          <w:highlight w:val="none"/>
        </w:rPr>
      </w:pPr>
      <w:r>
        <w:rPr>
          <w:rFonts w:hint="eastAsia" w:ascii="宋体" w:hAnsi="宋体"/>
          <w:highlight w:val="none"/>
        </w:rPr>
        <w:t>避免虚假披露、夸大事实、选择性披露等可能违反一般性披露或声明的问题；</w:t>
      </w:r>
    </w:p>
    <w:p>
      <w:pPr>
        <w:ind w:left="857" w:leftChars="408"/>
        <w:rPr>
          <w:rFonts w:ascii="宋体" w:hAnsi="宋体"/>
          <w:sz w:val="18"/>
          <w:szCs w:val="21"/>
          <w:highlight w:val="none"/>
        </w:rPr>
      </w:pPr>
      <w:r>
        <w:rPr>
          <w:rStyle w:val="181"/>
          <w:rFonts w:hint="eastAsia" w:ascii="黑体" w:hAnsi="黑体"/>
          <w:highlight w:val="none"/>
        </w:rPr>
        <w:t>示例</w:t>
      </w:r>
      <w:r>
        <w:rPr>
          <w:rStyle w:val="181"/>
          <w:rFonts w:ascii="黑体" w:hAnsi="黑体"/>
          <w:highlight w:val="none"/>
        </w:rPr>
        <w:t>1</w:t>
      </w:r>
      <w:r>
        <w:rPr>
          <w:rFonts w:hint="eastAsia" w:ascii="黑体" w:hAnsi="黑体" w:eastAsia="黑体"/>
          <w:sz w:val="20"/>
          <w:szCs w:val="22"/>
          <w:highlight w:val="none"/>
        </w:rPr>
        <w:t>：</w:t>
      </w:r>
      <w:r>
        <w:rPr>
          <w:rFonts w:ascii="宋体" w:hAnsi="宋体"/>
          <w:sz w:val="18"/>
          <w:szCs w:val="21"/>
          <w:highlight w:val="none"/>
        </w:rPr>
        <w:t>在中国涉及产品宣传</w:t>
      </w:r>
      <w:r>
        <w:rPr>
          <w:rFonts w:hint="eastAsia" w:ascii="宋体" w:hAnsi="宋体"/>
          <w:sz w:val="18"/>
          <w:szCs w:val="21"/>
          <w:highlight w:val="none"/>
        </w:rPr>
        <w:t>时</w:t>
      </w:r>
      <w:r>
        <w:rPr>
          <w:rFonts w:ascii="宋体" w:hAnsi="宋体"/>
          <w:b/>
          <w:bCs/>
          <w:sz w:val="18"/>
          <w:szCs w:val="21"/>
          <w:highlight w:val="none"/>
        </w:rPr>
        <w:t>应</w:t>
      </w:r>
      <w:r>
        <w:rPr>
          <w:rFonts w:ascii="宋体" w:hAnsi="宋体"/>
          <w:sz w:val="18"/>
          <w:szCs w:val="21"/>
          <w:highlight w:val="none"/>
        </w:rPr>
        <w:t>遵循《中华人民共和国广告法》等相关宣传条例的要求，</w:t>
      </w:r>
      <w:r>
        <w:rPr>
          <w:rFonts w:ascii="宋体" w:hAnsi="宋体"/>
          <w:b/>
          <w:bCs/>
          <w:sz w:val="18"/>
          <w:szCs w:val="21"/>
          <w:highlight w:val="none"/>
        </w:rPr>
        <w:t>不应</w:t>
      </w:r>
      <w:r>
        <w:rPr>
          <w:rFonts w:ascii="宋体" w:hAnsi="宋体"/>
          <w:sz w:val="18"/>
          <w:szCs w:val="21"/>
          <w:highlight w:val="none"/>
        </w:rPr>
        <w:t>使用与实际情况不符的环境效益用于描述商品的性能、功能、用途等</w:t>
      </w:r>
      <w:r>
        <w:rPr>
          <w:rFonts w:hint="eastAsia" w:ascii="宋体" w:hAnsi="宋体"/>
          <w:sz w:val="18"/>
          <w:szCs w:val="21"/>
          <w:highlight w:val="none"/>
        </w:rPr>
        <w:t>。</w:t>
      </w:r>
    </w:p>
    <w:p>
      <w:pPr>
        <w:ind w:left="857" w:leftChars="408"/>
        <w:rPr>
          <w:rFonts w:ascii="宋体" w:hAnsi="宋体"/>
          <w:sz w:val="20"/>
          <w:szCs w:val="22"/>
          <w:highlight w:val="none"/>
        </w:rPr>
      </w:pPr>
      <w:r>
        <w:rPr>
          <w:rStyle w:val="181"/>
          <w:rFonts w:hint="eastAsia" w:ascii="黑体" w:hAnsi="黑体"/>
          <w:highlight w:val="none"/>
        </w:rPr>
        <w:t>示例</w:t>
      </w:r>
      <w:r>
        <w:rPr>
          <w:rStyle w:val="181"/>
          <w:rFonts w:ascii="黑体" w:hAnsi="黑体"/>
          <w:highlight w:val="none"/>
        </w:rPr>
        <w:t>2</w:t>
      </w:r>
      <w:r>
        <w:rPr>
          <w:rFonts w:hint="eastAsia" w:ascii="黑体" w:hAnsi="黑体" w:eastAsia="黑体"/>
          <w:sz w:val="20"/>
          <w:szCs w:val="22"/>
          <w:highlight w:val="none"/>
        </w:rPr>
        <w:t>：</w:t>
      </w:r>
      <w:r>
        <w:rPr>
          <w:rFonts w:hint="eastAsia" w:ascii="宋体" w:hAnsi="宋体"/>
          <w:sz w:val="18"/>
          <w:szCs w:val="21"/>
          <w:highlight w:val="none"/>
        </w:rPr>
        <w:t>在欧盟经济区应避免将特性类碳信息，例如“碳中和”等描述当作一般性环境声明，而</w:t>
      </w:r>
      <w:r>
        <w:rPr>
          <w:rFonts w:hint="eastAsia" w:ascii="宋体" w:hAnsi="宋体"/>
          <w:b/>
          <w:bCs/>
          <w:sz w:val="18"/>
          <w:szCs w:val="21"/>
          <w:highlight w:val="none"/>
        </w:rPr>
        <w:t>应</w:t>
      </w:r>
      <w:r>
        <w:rPr>
          <w:rFonts w:hint="eastAsia" w:ascii="宋体" w:hAnsi="宋体"/>
          <w:sz w:val="18"/>
          <w:szCs w:val="21"/>
          <w:highlight w:val="none"/>
        </w:rPr>
        <w:t>按照欧盟认可的标准或规范，例如生态标签或碳足迹认证信息当作特定性环境声明。</w:t>
      </w:r>
    </w:p>
    <w:p>
      <w:pPr>
        <w:pStyle w:val="175"/>
        <w:numPr>
          <w:ilvl w:val="0"/>
          <w:numId w:val="26"/>
        </w:numPr>
        <w:ind w:firstLineChars="0"/>
        <w:rPr>
          <w:rFonts w:ascii="宋体" w:hAnsi="宋体"/>
          <w:highlight w:val="none"/>
        </w:rPr>
      </w:pPr>
      <w:r>
        <w:rPr>
          <w:rFonts w:hint="eastAsia" w:ascii="宋体" w:hAnsi="宋体"/>
          <w:highlight w:val="none"/>
        </w:rPr>
        <w:t>避免术语和概念的混淆，保障披露内容可以被公众充分理解；</w:t>
      </w:r>
    </w:p>
    <w:p>
      <w:pPr>
        <w:pStyle w:val="175"/>
        <w:numPr>
          <w:ilvl w:val="0"/>
          <w:numId w:val="26"/>
        </w:numPr>
        <w:ind w:firstLineChars="0"/>
        <w:rPr>
          <w:rFonts w:ascii="宋体" w:hAnsi="宋体"/>
          <w:highlight w:val="none"/>
        </w:rPr>
      </w:pPr>
      <w:r>
        <w:rPr>
          <w:rFonts w:ascii="宋体" w:hAnsi="宋体"/>
          <w:b/>
          <w:bCs/>
          <w:highlight w:val="none"/>
        </w:rPr>
        <w:t>应</w:t>
      </w:r>
      <w:r>
        <w:rPr>
          <w:rFonts w:ascii="宋体" w:hAnsi="宋体"/>
          <w:highlight w:val="none"/>
        </w:rPr>
        <w:t>确保详细的披露信息通过易于访问的方式公开，以便公众对信息追溯。</w:t>
      </w:r>
    </w:p>
    <w:p>
      <w:pPr>
        <w:ind w:left="857" w:leftChars="408"/>
        <w:rPr>
          <w:rFonts w:ascii="宋体" w:hAnsi="宋体"/>
          <w:sz w:val="20"/>
          <w:szCs w:val="22"/>
          <w:highlight w:val="none"/>
        </w:rPr>
      </w:pPr>
      <w:r>
        <w:rPr>
          <w:rStyle w:val="181"/>
          <w:rFonts w:hint="eastAsia" w:ascii="黑体" w:hAnsi="黑体"/>
          <w:highlight w:val="none"/>
        </w:rPr>
        <w:t>示例</w:t>
      </w:r>
      <w:r>
        <w:rPr>
          <w:rStyle w:val="181"/>
          <w:rFonts w:ascii="黑体" w:hAnsi="黑体"/>
          <w:highlight w:val="none"/>
        </w:rPr>
        <w:t>3</w:t>
      </w:r>
      <w:r>
        <w:rPr>
          <w:rFonts w:ascii="黑体" w:hAnsi="黑体" w:eastAsia="黑体"/>
          <w:sz w:val="20"/>
          <w:szCs w:val="22"/>
          <w:highlight w:val="none"/>
        </w:rPr>
        <w:t>：</w:t>
      </w:r>
      <w:r>
        <w:rPr>
          <w:rFonts w:ascii="宋体" w:hAnsi="宋体"/>
          <w:sz w:val="18"/>
          <w:szCs w:val="21"/>
          <w:highlight w:val="none"/>
        </w:rPr>
        <w:t>宣称物料的发布宜一同发布相关证明（例如碳足迹认证），在官网等官方渠道，供公众查询。</w:t>
      </w:r>
    </w:p>
    <w:p>
      <w:pPr>
        <w:pStyle w:val="3"/>
        <w:spacing w:before="120" w:beforeLines="50" w:after="120" w:afterLines="50"/>
        <w:rPr>
          <w:rFonts w:ascii="黑体" w:hAnsi="黑体" w:eastAsia="黑体"/>
          <w:szCs w:val="21"/>
          <w:highlight w:val="none"/>
        </w:rPr>
      </w:pPr>
      <w:bookmarkStart w:id="47" w:name="_Toc166611384"/>
      <w:r>
        <w:rPr>
          <w:rFonts w:hint="eastAsia" w:ascii="黑体" w:hAnsi="黑体" w:eastAsia="黑体"/>
          <w:b w:val="0"/>
          <w:sz w:val="21"/>
          <w:szCs w:val="21"/>
          <w:highlight w:val="none"/>
        </w:rPr>
        <w:t xml:space="preserve">7.3 </w:t>
      </w:r>
      <w:r>
        <w:rPr>
          <w:rFonts w:hint="eastAsia" w:ascii="黑体" w:hAnsi="黑体" w:eastAsia="黑体"/>
          <w:b w:val="0"/>
          <w:bCs/>
          <w:sz w:val="21"/>
          <w:szCs w:val="21"/>
          <w:highlight w:val="none"/>
        </w:rPr>
        <w:t>面向资本市场或特定利益相关方的公开披露</w:t>
      </w:r>
      <w:bookmarkEnd w:id="47"/>
    </w:p>
    <w:p>
      <w:pPr>
        <w:spacing w:before="156" w:beforeLines="50"/>
        <w:ind w:firstLine="360"/>
        <w:rPr>
          <w:highlight w:val="none"/>
        </w:rPr>
      </w:pPr>
      <w:r>
        <w:rPr>
          <w:rFonts w:hint="eastAsia"/>
          <w:highlight w:val="none"/>
        </w:rPr>
        <w:t>面向资本市场或特定利益相关方的公开披</w:t>
      </w:r>
      <w:r>
        <w:rPr>
          <w:rFonts w:hint="eastAsia" w:ascii="宋体" w:hAnsi="宋体"/>
          <w:highlight w:val="none"/>
        </w:rPr>
        <w:t>露（见</w:t>
      </w:r>
      <w:r>
        <w:rPr>
          <w:rFonts w:ascii="宋体" w:hAnsi="宋体"/>
          <w:highlight w:val="none"/>
        </w:rPr>
        <w:t>5.4.2），</w:t>
      </w:r>
      <w:r>
        <w:rPr>
          <w:highlight w:val="none"/>
        </w:rPr>
        <w:t>企业CSR或ESG报告，以及其他类似信息披露途径</w:t>
      </w:r>
      <w:r>
        <w:rPr>
          <w:b/>
          <w:bCs/>
          <w:highlight w:val="none"/>
        </w:rPr>
        <w:t>应</w:t>
      </w:r>
      <w:r>
        <w:rPr>
          <w:highlight w:val="none"/>
        </w:rPr>
        <w:t>主要遵循/参考附录</w:t>
      </w:r>
      <w:r>
        <w:rPr>
          <w:rFonts w:hint="eastAsia"/>
          <w:highlight w:val="none"/>
        </w:rPr>
        <w:t>F</w:t>
      </w:r>
      <w:r>
        <w:rPr>
          <w:highlight w:val="none"/>
        </w:rPr>
        <w:t>，并</w:t>
      </w:r>
      <w:r>
        <w:rPr>
          <w:b/>
          <w:bCs/>
          <w:highlight w:val="none"/>
        </w:rPr>
        <w:t>应</w:t>
      </w:r>
      <w:r>
        <w:rPr>
          <w:highlight w:val="none"/>
        </w:rPr>
        <w:t>重点关注如下方面：</w:t>
      </w:r>
    </w:p>
    <w:p>
      <w:pPr>
        <w:pStyle w:val="175"/>
        <w:numPr>
          <w:ilvl w:val="0"/>
          <w:numId w:val="27"/>
        </w:numPr>
        <w:ind w:firstLineChars="0"/>
        <w:rPr>
          <w:rFonts w:ascii="宋体" w:hAnsi="宋体"/>
          <w:highlight w:val="none"/>
        </w:rPr>
      </w:pPr>
      <w:r>
        <w:rPr>
          <w:rFonts w:hint="eastAsia" w:ascii="宋体" w:hAnsi="宋体"/>
          <w:highlight w:val="none"/>
        </w:rPr>
        <w:t>避免不实披露，并提升信息质量和透明度；</w:t>
      </w:r>
    </w:p>
    <w:p>
      <w:pPr>
        <w:pStyle w:val="175"/>
        <w:numPr>
          <w:ilvl w:val="0"/>
          <w:numId w:val="27"/>
        </w:numPr>
        <w:ind w:firstLineChars="0"/>
        <w:rPr>
          <w:rFonts w:ascii="宋体" w:hAnsi="宋体"/>
          <w:highlight w:val="none"/>
        </w:rPr>
      </w:pPr>
      <w:r>
        <w:rPr>
          <w:rFonts w:hint="eastAsia" w:ascii="宋体" w:hAnsi="宋体"/>
          <w:highlight w:val="none"/>
        </w:rPr>
        <w:t>充分分析与气候相关的企业治理、战略、风险管理、指标与目标等议题；</w:t>
      </w:r>
    </w:p>
    <w:p>
      <w:pPr>
        <w:pStyle w:val="175"/>
        <w:numPr>
          <w:ilvl w:val="0"/>
          <w:numId w:val="27"/>
        </w:numPr>
        <w:ind w:firstLineChars="0"/>
        <w:rPr>
          <w:rFonts w:ascii="宋体" w:hAnsi="宋体"/>
          <w:highlight w:val="none"/>
        </w:rPr>
      </w:pPr>
      <w:r>
        <w:rPr>
          <w:rFonts w:hint="eastAsia" w:ascii="宋体" w:hAnsi="宋体"/>
          <w:highlight w:val="none"/>
        </w:rPr>
        <w:t>确保信息披露的全面性，包含积极影响和消极影响；</w:t>
      </w:r>
    </w:p>
    <w:p>
      <w:pPr>
        <w:pStyle w:val="175"/>
        <w:numPr>
          <w:ilvl w:val="0"/>
          <w:numId w:val="27"/>
        </w:numPr>
        <w:ind w:firstLineChars="0"/>
        <w:rPr>
          <w:rFonts w:ascii="宋体" w:hAnsi="宋体"/>
          <w:highlight w:val="none"/>
        </w:rPr>
      </w:pPr>
      <w:r>
        <w:rPr>
          <w:rFonts w:hint="eastAsia" w:ascii="宋体" w:hAnsi="宋体"/>
          <w:highlight w:val="none"/>
        </w:rPr>
        <w:t>确保碳信息披露所遵循特定框架，以满足可比性相关要求；</w:t>
      </w:r>
    </w:p>
    <w:p>
      <w:pPr>
        <w:pStyle w:val="175"/>
        <w:numPr>
          <w:ilvl w:val="0"/>
          <w:numId w:val="27"/>
        </w:numPr>
        <w:ind w:firstLineChars="0"/>
        <w:rPr>
          <w:rFonts w:ascii="宋体" w:hAnsi="宋体"/>
          <w:highlight w:val="none"/>
        </w:rPr>
      </w:pPr>
      <w:r>
        <w:rPr>
          <w:rFonts w:hint="eastAsia" w:ascii="宋体" w:hAnsi="宋体"/>
          <w:highlight w:val="none"/>
        </w:rPr>
        <w:t>应确保碳信息的更新，以及与利益相关方（包括投资者、债权人和监管机构）持续沟通。</w:t>
      </w:r>
    </w:p>
    <w:p>
      <w:pPr>
        <w:pStyle w:val="3"/>
        <w:widowControl/>
        <w:spacing w:before="120" w:after="120"/>
        <w:jc w:val="left"/>
        <w:rPr>
          <w:rFonts w:ascii="黑体" w:hAnsi="黑体" w:eastAsia="黑体" w:cs="宋体"/>
          <w:kern w:val="0"/>
          <w:sz w:val="21"/>
          <w:szCs w:val="21"/>
          <w:highlight w:val="none"/>
        </w:rPr>
      </w:pPr>
      <w:bookmarkStart w:id="48" w:name="_Toc166611385"/>
      <w:r>
        <w:rPr>
          <w:rFonts w:ascii="黑体" w:hAnsi="黑体" w:eastAsia="黑体"/>
          <w:b w:val="0"/>
          <w:bCs/>
          <w:sz w:val="21"/>
          <w:szCs w:val="21"/>
          <w:highlight w:val="none"/>
        </w:rPr>
        <w:t>7.</w:t>
      </w:r>
      <w:r>
        <w:rPr>
          <w:rFonts w:hint="eastAsia" w:ascii="黑体" w:hAnsi="黑体" w:eastAsia="黑体"/>
          <w:b w:val="0"/>
          <w:bCs/>
          <w:sz w:val="21"/>
          <w:szCs w:val="21"/>
          <w:highlight w:val="none"/>
          <w:lang w:val="en-US" w:eastAsia="zh-CN"/>
        </w:rPr>
        <w:t xml:space="preserve">4 </w:t>
      </w:r>
      <w:r>
        <w:rPr>
          <w:rFonts w:hint="eastAsia" w:ascii="黑体" w:hAnsi="黑体" w:eastAsia="黑体"/>
          <w:b w:val="0"/>
          <w:bCs/>
          <w:sz w:val="21"/>
          <w:szCs w:val="21"/>
          <w:highlight w:val="none"/>
        </w:rPr>
        <w:t>面向商业活动特定对象的正式非公开披露</w:t>
      </w:r>
      <w:bookmarkEnd w:id="48"/>
    </w:p>
    <w:p>
      <w:pPr>
        <w:rPr>
          <w:szCs w:val="22"/>
          <w:highlight w:val="none"/>
        </w:rPr>
      </w:pPr>
      <w:r>
        <w:rPr>
          <w:highlight w:val="none"/>
        </w:rPr>
        <w:tab/>
      </w:r>
      <w:r>
        <w:rPr>
          <w:rFonts w:hint="eastAsia"/>
          <w:highlight w:val="none"/>
        </w:rPr>
        <w:t>面向商业活动特定对象的正式非公开披</w:t>
      </w:r>
      <w:r>
        <w:rPr>
          <w:rFonts w:hint="eastAsia"/>
          <w:szCs w:val="22"/>
          <w:highlight w:val="none"/>
        </w:rPr>
        <w:t>露</w:t>
      </w:r>
      <w:r>
        <w:rPr>
          <w:rFonts w:hint="eastAsia" w:ascii="Times New Roman" w:hAnsi="Times New Roman" w:eastAsia="宋体"/>
          <w:szCs w:val="22"/>
          <w:highlight w:val="none"/>
        </w:rPr>
        <w:t>（见</w:t>
      </w:r>
      <w:r>
        <w:rPr>
          <w:rFonts w:ascii="宋体" w:hAnsi="宋体"/>
          <w:highlight w:val="none"/>
        </w:rPr>
        <w:t>5.4.</w:t>
      </w:r>
      <w:r>
        <w:rPr>
          <w:rFonts w:hint="eastAsia" w:ascii="宋体" w:hAnsi="宋体"/>
          <w:highlight w:val="none"/>
        </w:rPr>
        <w:t>3</w:t>
      </w:r>
      <w:r>
        <w:rPr>
          <w:rFonts w:ascii="Times New Roman" w:hAnsi="Times New Roman" w:eastAsia="宋体"/>
          <w:szCs w:val="22"/>
          <w:highlight w:val="none"/>
        </w:rPr>
        <w:t>）</w:t>
      </w:r>
      <w:r>
        <w:rPr>
          <w:rFonts w:ascii="Times New Roman" w:hAnsi="Times New Roman" w:cs="Times New Roman"/>
          <w:kern w:val="2"/>
          <w:sz w:val="21"/>
          <w:szCs w:val="22"/>
          <w:highlight w:val="none"/>
        </w:rPr>
        <w:t>，</w:t>
      </w:r>
      <w:r>
        <w:rPr>
          <w:rFonts w:ascii="Times New Roman" w:hAnsi="Times New Roman" w:cs="Times New Roman"/>
          <w:b/>
          <w:bCs/>
          <w:kern w:val="2"/>
          <w:sz w:val="21"/>
          <w:szCs w:val="22"/>
          <w:highlight w:val="none"/>
        </w:rPr>
        <w:t>应</w:t>
      </w:r>
      <w:r>
        <w:rPr>
          <w:rFonts w:ascii="Times New Roman" w:hAnsi="Times New Roman" w:cs="Times New Roman"/>
          <w:kern w:val="2"/>
          <w:sz w:val="21"/>
          <w:szCs w:val="22"/>
          <w:highlight w:val="none"/>
        </w:rPr>
        <w:t>主要遵循所在国</w:t>
      </w:r>
      <w:r>
        <w:rPr>
          <w:rFonts w:hint="eastAsia"/>
          <w:highlight w:val="none"/>
        </w:rPr>
        <w:t>关于特定类型产品进出口申报、投融资活动信息披露、</w:t>
      </w:r>
      <w:r>
        <w:rPr>
          <w:rFonts w:ascii="Times New Roman" w:hAnsi="Times New Roman" w:cs="Times New Roman"/>
          <w:kern w:val="2"/>
          <w:sz w:val="21"/>
          <w:szCs w:val="22"/>
          <w:highlight w:val="none"/>
        </w:rPr>
        <w:t>供应链的可持续性信息披露</w:t>
      </w:r>
      <w:r>
        <w:rPr>
          <w:rFonts w:hint="eastAsia"/>
          <w:highlight w:val="none"/>
        </w:rPr>
        <w:t>或尽职调查等具体要求，</w:t>
      </w:r>
      <w:r>
        <w:rPr>
          <w:rFonts w:hint="eastAsia"/>
          <w:b/>
          <w:bCs/>
          <w:highlight w:val="none"/>
        </w:rPr>
        <w:t>宜</w:t>
      </w:r>
      <w:r>
        <w:rPr>
          <w:rFonts w:hint="eastAsia"/>
          <w:highlight w:val="none"/>
        </w:rPr>
        <w:t>遵循采购方制定的</w:t>
      </w:r>
      <w:r>
        <w:rPr>
          <w:rFonts w:ascii="Times New Roman" w:hAnsi="Times New Roman" w:cs="Times New Roman"/>
          <w:kern w:val="2"/>
          <w:sz w:val="21"/>
          <w:szCs w:val="22"/>
          <w:highlight w:val="none"/>
        </w:rPr>
        <w:t>供应商行为准则</w:t>
      </w:r>
      <w:r>
        <w:rPr>
          <w:rFonts w:hint="eastAsia"/>
          <w:highlight w:val="none"/>
        </w:rPr>
        <w:t>和</w:t>
      </w:r>
      <w:r>
        <w:rPr>
          <w:rFonts w:ascii="Times New Roman" w:hAnsi="Times New Roman" w:cs="Times New Roman"/>
          <w:kern w:val="2"/>
          <w:sz w:val="21"/>
          <w:szCs w:val="22"/>
          <w:highlight w:val="none"/>
        </w:rPr>
        <w:t>供应链尽职调查需求</w:t>
      </w:r>
      <w:r>
        <w:rPr>
          <w:rFonts w:hint="eastAsia"/>
          <w:szCs w:val="22"/>
          <w:highlight w:val="none"/>
        </w:rPr>
        <w:t>。</w:t>
      </w:r>
    </w:p>
    <w:p>
      <w:pPr>
        <w:ind w:left="420" w:leftChars="200"/>
        <w:rPr>
          <w:rStyle w:val="181"/>
          <w:rFonts w:ascii="宋体" w:hAnsi="宋体" w:eastAsia="宋体"/>
          <w:highlight w:val="none"/>
        </w:rPr>
      </w:pPr>
      <w:r>
        <w:rPr>
          <w:rStyle w:val="181"/>
          <w:rFonts w:hint="eastAsia"/>
          <w:highlight w:val="none"/>
        </w:rPr>
        <w:t>示例：</w:t>
      </w:r>
      <w:r>
        <w:rPr>
          <w:rStyle w:val="181"/>
          <w:rFonts w:hint="eastAsia" w:ascii="宋体" w:hAnsi="宋体" w:eastAsia="宋体"/>
          <w:highlight w:val="none"/>
        </w:rPr>
        <w:t>欧盟针对供应链的可持续性信息披露要求。</w:t>
      </w:r>
    </w:p>
    <w:p>
      <w:pPr>
        <w:widowControl w:val="0"/>
        <w:numPr>
          <w:ilvl w:val="0"/>
          <w:numId w:val="0"/>
        </w:numPr>
        <w:spacing w:before="0" w:beforeAutospacing="0" w:after="0" w:afterAutospacing="0"/>
        <w:ind w:left="420" w:leftChars="200" w:firstLine="0"/>
        <w:jc w:val="both"/>
        <w:rPr>
          <w:rFonts w:ascii="Times New Roman" w:hAnsi="Times New Roman" w:cs="Times New Roman"/>
          <w:kern w:val="2"/>
          <w:sz w:val="21"/>
          <w:szCs w:val="22"/>
          <w:highlight w:val="none"/>
        </w:rPr>
      </w:pPr>
      <w:r>
        <w:rPr>
          <w:rStyle w:val="42"/>
          <w:rFonts w:hint="eastAsia" w:ascii="宋体" w:hAnsi="宋体" w:eastAsia="宋体"/>
          <w:szCs w:val="22"/>
          <w:highlight w:val="none"/>
        </w:rPr>
        <w:t>在遵循相关规范的同时</w:t>
      </w:r>
      <w:r>
        <w:rPr>
          <w:rFonts w:ascii="Times New Roman" w:hAnsi="Times New Roman" w:cs="Times New Roman"/>
          <w:kern w:val="2"/>
          <w:sz w:val="21"/>
          <w:szCs w:val="22"/>
          <w:highlight w:val="none"/>
        </w:rPr>
        <w:t>，</w:t>
      </w:r>
      <w:r>
        <w:rPr>
          <w:rFonts w:ascii="Times New Roman" w:hAnsi="Times New Roman" w:cs="Times New Roman"/>
          <w:b/>
          <w:bCs/>
          <w:kern w:val="2"/>
          <w:sz w:val="21"/>
          <w:szCs w:val="22"/>
          <w:highlight w:val="none"/>
        </w:rPr>
        <w:t>应</w:t>
      </w:r>
      <w:r>
        <w:rPr>
          <w:rFonts w:ascii="Times New Roman" w:hAnsi="Times New Roman" w:cs="Times New Roman"/>
          <w:kern w:val="2"/>
          <w:sz w:val="21"/>
          <w:szCs w:val="22"/>
          <w:highlight w:val="none"/>
        </w:rPr>
        <w:t>重点关注如下方面：</w:t>
      </w:r>
    </w:p>
    <w:p>
      <w:pPr>
        <w:pStyle w:val="175"/>
        <w:widowControl/>
        <w:numPr>
          <w:ilvl w:val="0"/>
          <w:numId w:val="28"/>
        </w:numPr>
        <w:spacing w:before="100" w:beforeAutospacing="1" w:after="100" w:afterAutospacing="1"/>
        <w:ind w:left="1440" w:firstLineChars="0"/>
        <w:jc w:val="left"/>
        <w:rPr>
          <w:rFonts w:ascii="宋体" w:hAnsi="宋体" w:cs="宋体"/>
          <w:kern w:val="0"/>
          <w:sz w:val="24"/>
          <w:highlight w:val="none"/>
        </w:rPr>
      </w:pPr>
      <w:r>
        <w:rPr>
          <w:rFonts w:ascii="宋体" w:hAnsi="宋体" w:cs="宋体"/>
          <w:kern w:val="0"/>
          <w:sz w:val="24"/>
          <w:highlight w:val="none"/>
        </w:rPr>
        <w:t>针对特定的评价指标，例如交易货品的碳足迹，</w:t>
      </w:r>
      <w:r>
        <w:rPr>
          <w:rFonts w:ascii="宋体" w:hAnsi="宋体" w:cs="宋体"/>
          <w:b/>
          <w:bCs/>
          <w:kern w:val="0"/>
          <w:sz w:val="24"/>
          <w:highlight w:val="none"/>
        </w:rPr>
        <w:t>应</w:t>
      </w:r>
      <w:r>
        <w:rPr>
          <w:rFonts w:ascii="宋体" w:hAnsi="宋体" w:cs="宋体"/>
          <w:kern w:val="0"/>
          <w:sz w:val="24"/>
          <w:highlight w:val="none"/>
        </w:rPr>
        <w:t>提供详细的解释和说明，这可能包括如何测量碳足迹、使用的方法和标准等；</w:t>
      </w:r>
    </w:p>
    <w:p>
      <w:pPr>
        <w:pStyle w:val="175"/>
        <w:widowControl/>
        <w:numPr>
          <w:ilvl w:val="0"/>
          <w:numId w:val="28"/>
        </w:numPr>
        <w:spacing w:before="100" w:beforeAutospacing="1" w:after="100" w:afterAutospacing="1"/>
        <w:ind w:left="1440" w:firstLineChars="0"/>
        <w:jc w:val="left"/>
        <w:rPr>
          <w:rFonts w:ascii="宋体" w:hAnsi="宋体" w:cs="宋体"/>
          <w:kern w:val="0"/>
          <w:sz w:val="24"/>
          <w:highlight w:val="none"/>
        </w:rPr>
      </w:pPr>
      <w:r>
        <w:rPr>
          <w:rFonts w:ascii="宋体" w:hAnsi="宋体" w:cs="宋体"/>
          <w:kern w:val="0"/>
          <w:sz w:val="24"/>
          <w:highlight w:val="none"/>
        </w:rPr>
        <w:t>充分分析碳相关议题对企业运营的影响，这可能包括潜在的法规变化对企业业务产生的相关风险，例如供应风险、合规风险等，以及企业应对风险的准备和管理计划；</w:t>
      </w:r>
    </w:p>
    <w:p>
      <w:pPr>
        <w:pStyle w:val="175"/>
        <w:widowControl/>
        <w:numPr>
          <w:ilvl w:val="0"/>
          <w:numId w:val="28"/>
        </w:numPr>
        <w:spacing w:before="100" w:beforeAutospacing="1" w:after="100" w:afterAutospacing="1"/>
        <w:ind w:left="1440" w:firstLineChars="0"/>
        <w:jc w:val="left"/>
        <w:rPr>
          <w:rFonts w:ascii="宋体" w:hAnsi="宋体" w:cs="宋体"/>
          <w:kern w:val="0"/>
          <w:sz w:val="24"/>
          <w:highlight w:val="none"/>
        </w:rPr>
      </w:pPr>
      <w:r>
        <w:rPr>
          <w:rFonts w:ascii="宋体" w:hAnsi="宋体" w:cs="宋体"/>
          <w:kern w:val="0"/>
          <w:sz w:val="24"/>
          <w:highlight w:val="none"/>
        </w:rPr>
        <w:t>企业碳排放、碳绩效指标是否符合相关行业规定，</w:t>
      </w:r>
      <w:r>
        <w:rPr>
          <w:rFonts w:ascii="宋体" w:hAnsi="宋体" w:cs="宋体"/>
          <w:b/>
          <w:bCs/>
          <w:kern w:val="0"/>
          <w:sz w:val="24"/>
          <w:highlight w:val="none"/>
        </w:rPr>
        <w:t>应</w:t>
      </w:r>
      <w:r>
        <w:rPr>
          <w:rFonts w:ascii="宋体" w:hAnsi="宋体" w:cs="宋体"/>
          <w:kern w:val="0"/>
          <w:sz w:val="24"/>
          <w:highlight w:val="none"/>
        </w:rPr>
        <w:t>披露符合或不符合的相关规定；</w:t>
      </w:r>
    </w:p>
    <w:p>
      <w:pPr>
        <w:pStyle w:val="175"/>
        <w:numPr>
          <w:ilvl w:val="0"/>
          <w:numId w:val="0"/>
        </w:numPr>
        <w:ind w:left="0" w:firstLine="420" w:firstLineChars="200"/>
        <w:rPr>
          <w:highlight w:val="none"/>
        </w:rPr>
      </w:pPr>
      <w:r>
        <w:rPr>
          <w:rFonts w:ascii="宋体" w:hAnsi="宋体" w:cs="Times New Roman"/>
          <w:kern w:val="2"/>
          <w:sz w:val="21"/>
          <w:highlight w:val="none"/>
        </w:rPr>
        <w:t>商业伙伴之间行动一致性分析，评估是否对齐应对气候变化的目标和行动。</w:t>
      </w:r>
    </w:p>
    <w:p>
      <w:pPr>
        <w:pStyle w:val="2"/>
        <w:spacing w:before="240" w:beforeLines="100" w:after="240" w:afterLines="100" w:line="240" w:lineRule="auto"/>
        <w:rPr>
          <w:rFonts w:ascii="黑体" w:hAnsi="黑体" w:eastAsia="黑体"/>
          <w:b w:val="0"/>
          <w:sz w:val="21"/>
          <w:szCs w:val="21"/>
          <w:highlight w:val="none"/>
        </w:rPr>
      </w:pPr>
      <w:bookmarkStart w:id="49" w:name="_Toc166611386"/>
      <w:bookmarkStart w:id="50" w:name="heading_55"/>
      <w:r>
        <w:rPr>
          <w:rFonts w:ascii="黑体" w:hAnsi="黑体" w:eastAsia="黑体"/>
          <w:b w:val="0"/>
          <w:sz w:val="21"/>
          <w:szCs w:val="21"/>
          <w:highlight w:val="none"/>
        </w:rPr>
        <w:t xml:space="preserve">8. </w:t>
      </w:r>
      <w:r>
        <w:rPr>
          <w:rFonts w:hint="eastAsia" w:ascii="黑体" w:hAnsi="黑体" w:eastAsia="黑体"/>
          <w:b w:val="0"/>
          <w:sz w:val="21"/>
          <w:szCs w:val="21"/>
          <w:highlight w:val="none"/>
        </w:rPr>
        <w:t>合规性验证</w:t>
      </w:r>
      <w:bookmarkEnd w:id="49"/>
      <w:bookmarkEnd w:id="50"/>
    </w:p>
    <w:p>
      <w:pPr>
        <w:pStyle w:val="3"/>
        <w:spacing w:before="120" w:after="120"/>
        <w:rPr>
          <w:rFonts w:ascii="黑体" w:hAnsi="黑体" w:eastAsia="黑体"/>
          <w:szCs w:val="21"/>
          <w:highlight w:val="none"/>
        </w:rPr>
      </w:pPr>
      <w:bookmarkStart w:id="51" w:name="_Toc166611387"/>
      <w:r>
        <w:rPr>
          <w:rFonts w:ascii="黑体" w:hAnsi="黑体" w:eastAsia="黑体"/>
          <w:b w:val="0"/>
          <w:bCs/>
          <w:sz w:val="21"/>
          <w:szCs w:val="21"/>
          <w:highlight w:val="none"/>
        </w:rPr>
        <w:t>8.</w:t>
      </w:r>
      <w:r>
        <w:rPr>
          <w:rFonts w:hint="eastAsia" w:ascii="黑体" w:hAnsi="黑体" w:eastAsia="黑体"/>
          <w:b w:val="0"/>
          <w:sz w:val="21"/>
          <w:szCs w:val="21"/>
          <w:highlight w:val="none"/>
        </w:rPr>
        <w:t>1</w:t>
      </w:r>
      <w:r>
        <w:rPr>
          <w:rFonts w:ascii="黑体" w:hAnsi="黑体" w:eastAsia="黑体"/>
          <w:b w:val="0"/>
          <w:bCs/>
          <w:sz w:val="21"/>
          <w:szCs w:val="21"/>
          <w:highlight w:val="none"/>
        </w:rPr>
        <w:t xml:space="preserve"> </w:t>
      </w:r>
      <w:r>
        <w:rPr>
          <w:rFonts w:hint="eastAsia" w:ascii="黑体" w:hAnsi="黑体" w:eastAsia="黑体"/>
          <w:b w:val="0"/>
          <w:sz w:val="21"/>
          <w:szCs w:val="21"/>
          <w:highlight w:val="none"/>
        </w:rPr>
        <w:t>通用要求</w:t>
      </w:r>
      <w:bookmarkEnd w:id="51"/>
    </w:p>
    <w:p>
      <w:pPr>
        <w:ind w:firstLine="420"/>
        <w:rPr>
          <w:rFonts w:ascii="宋体" w:hAnsi="宋体"/>
          <w:highlight w:val="none"/>
        </w:rPr>
      </w:pPr>
      <w:r>
        <w:rPr>
          <w:rFonts w:hint="eastAsia" w:ascii="宋体" w:hAnsi="宋体"/>
          <w:highlight w:val="none"/>
        </w:rPr>
        <w:t>企业对描述对象碳信息声明可以通过自我验证和独立第三方验证来进行，无论何种验证方式，均</w:t>
      </w:r>
      <w:r>
        <w:rPr>
          <w:rFonts w:hint="eastAsia" w:ascii="宋体" w:hAnsi="宋体"/>
          <w:b/>
          <w:bCs/>
          <w:highlight w:val="none"/>
        </w:rPr>
        <w:t>应</w:t>
      </w:r>
      <w:r>
        <w:rPr>
          <w:rFonts w:hint="eastAsia" w:ascii="宋体" w:hAnsi="宋体"/>
          <w:highlight w:val="none"/>
        </w:rPr>
        <w:t>满足以下规定：</w:t>
      </w:r>
      <w:r>
        <w:rPr>
          <w:rFonts w:ascii="宋体" w:hAnsi="宋体"/>
          <w:highlight w:val="none"/>
        </w:rPr>
        <w:t xml:space="preserve"> </w:t>
      </w:r>
    </w:p>
    <w:p>
      <w:pPr>
        <w:ind w:left="424" w:leftChars="202"/>
        <w:rPr>
          <w:rFonts w:asciiTheme="minorEastAsia" w:hAnsiTheme="minorEastAsia" w:eastAsiaTheme="minorEastAsia"/>
          <w:highlight w:val="none"/>
        </w:rPr>
      </w:pPr>
      <w:r>
        <w:rPr>
          <w:rFonts w:asciiTheme="minorEastAsia" w:hAnsiTheme="minorEastAsia" w:eastAsiaTheme="minorEastAsia"/>
          <w:highlight w:val="none"/>
        </w:rPr>
        <w:t>a</w:t>
      </w:r>
      <w:r>
        <w:rPr>
          <w:rFonts w:hint="eastAsia" w:asciiTheme="minorEastAsia" w:hAnsiTheme="minorEastAsia" w:eastAsiaTheme="minorEastAsia"/>
          <w:highlight w:val="none"/>
        </w:rPr>
        <w:t>）</w:t>
      </w:r>
      <w:r>
        <w:rPr>
          <w:rFonts w:asciiTheme="minorEastAsia" w:hAnsiTheme="minorEastAsia" w:eastAsiaTheme="minorEastAsia"/>
          <w:highlight w:val="none"/>
        </w:rPr>
        <w:t>确保碳信息满足合规性要求：</w:t>
      </w:r>
    </w:p>
    <w:p>
      <w:pPr>
        <w:pStyle w:val="175"/>
        <w:numPr>
          <w:ilvl w:val="0"/>
          <w:numId w:val="29"/>
        </w:numPr>
        <w:ind w:firstLineChars="0"/>
        <w:rPr>
          <w:rFonts w:asciiTheme="minorEastAsia" w:hAnsiTheme="minorEastAsia" w:eastAsiaTheme="minorEastAsia"/>
          <w:highlight w:val="none"/>
        </w:rPr>
      </w:pPr>
      <w:r>
        <w:rPr>
          <w:rFonts w:asciiTheme="minorEastAsia" w:hAnsiTheme="minorEastAsia" w:eastAsiaTheme="minorEastAsia"/>
          <w:highlight w:val="none"/>
        </w:rPr>
        <w:t>企业所披露碳信息代表最高管理层的决定（</w:t>
      </w:r>
      <w:r>
        <w:rPr>
          <w:rFonts w:hint="eastAsia" w:asciiTheme="minorEastAsia" w:hAnsiTheme="minorEastAsia" w:eastAsiaTheme="minorEastAsia"/>
          <w:highlight w:val="none"/>
        </w:rPr>
        <w:t>见</w:t>
      </w:r>
      <w:r>
        <w:rPr>
          <w:rFonts w:asciiTheme="minorEastAsia" w:hAnsiTheme="minorEastAsia" w:eastAsiaTheme="minorEastAsia"/>
          <w:highlight w:val="none"/>
        </w:rPr>
        <w:t>6.2.1）；</w:t>
      </w:r>
    </w:p>
    <w:p>
      <w:pPr>
        <w:pStyle w:val="175"/>
        <w:numPr>
          <w:ilvl w:val="0"/>
          <w:numId w:val="29"/>
        </w:numPr>
        <w:ind w:firstLineChars="0"/>
        <w:rPr>
          <w:rFonts w:asciiTheme="minorEastAsia" w:hAnsiTheme="minorEastAsia" w:eastAsiaTheme="minorEastAsia"/>
          <w:highlight w:val="none"/>
        </w:rPr>
      </w:pPr>
      <w:r>
        <w:rPr>
          <w:rFonts w:asciiTheme="minorEastAsia" w:hAnsiTheme="minorEastAsia" w:eastAsiaTheme="minorEastAsia"/>
          <w:highlight w:val="none"/>
        </w:rPr>
        <w:t>披露对象被明确定义，且验证披露信息满足对</w:t>
      </w:r>
      <w:r>
        <w:rPr>
          <w:rFonts w:hint="eastAsia" w:asciiTheme="minorEastAsia" w:hAnsiTheme="minorEastAsia" w:eastAsiaTheme="minorEastAsia"/>
          <w:highlight w:val="none"/>
        </w:rPr>
        <w:t>应</w:t>
      </w:r>
      <w:r>
        <w:rPr>
          <w:rFonts w:asciiTheme="minorEastAsia" w:hAnsiTheme="minorEastAsia" w:eastAsiaTheme="minorEastAsia"/>
          <w:highlight w:val="none"/>
        </w:rPr>
        <w:t>的关键性原则（</w:t>
      </w:r>
      <w:r>
        <w:rPr>
          <w:rFonts w:hint="eastAsia" w:asciiTheme="minorEastAsia" w:hAnsiTheme="minorEastAsia" w:eastAsiaTheme="minorEastAsia"/>
          <w:highlight w:val="none"/>
        </w:rPr>
        <w:t>见</w:t>
      </w:r>
      <w:r>
        <w:rPr>
          <w:rFonts w:asciiTheme="minorEastAsia" w:hAnsiTheme="minorEastAsia" w:eastAsiaTheme="minorEastAsia"/>
          <w:highlight w:val="none"/>
        </w:rPr>
        <w:t>6.3）；</w:t>
      </w:r>
    </w:p>
    <w:p>
      <w:pPr>
        <w:pStyle w:val="175"/>
        <w:numPr>
          <w:ilvl w:val="0"/>
          <w:numId w:val="29"/>
        </w:numPr>
        <w:ind w:firstLineChars="0"/>
        <w:rPr>
          <w:rFonts w:asciiTheme="minorEastAsia" w:hAnsiTheme="minorEastAsia" w:eastAsiaTheme="minorEastAsia"/>
          <w:highlight w:val="none"/>
        </w:rPr>
      </w:pPr>
      <w:r>
        <w:rPr>
          <w:rFonts w:asciiTheme="minorEastAsia" w:hAnsiTheme="minorEastAsia" w:eastAsiaTheme="minorEastAsia"/>
          <w:highlight w:val="none"/>
        </w:rPr>
        <w:t>逐条验证碳信息符合所对应的关键性原则（</w:t>
      </w:r>
      <w:r>
        <w:rPr>
          <w:rFonts w:hint="eastAsia" w:asciiTheme="minorEastAsia" w:hAnsiTheme="minorEastAsia" w:eastAsiaTheme="minorEastAsia"/>
          <w:highlight w:val="none"/>
        </w:rPr>
        <w:t>见</w:t>
      </w:r>
      <w:r>
        <w:rPr>
          <w:rFonts w:asciiTheme="minorEastAsia" w:hAnsiTheme="minorEastAsia" w:eastAsiaTheme="minorEastAsia"/>
          <w:highlight w:val="none"/>
        </w:rPr>
        <w:t>6.4）；</w:t>
      </w:r>
    </w:p>
    <w:p>
      <w:pPr>
        <w:pStyle w:val="175"/>
        <w:numPr>
          <w:ilvl w:val="0"/>
          <w:numId w:val="29"/>
        </w:numPr>
        <w:ind w:firstLineChars="0"/>
        <w:rPr>
          <w:rFonts w:asciiTheme="minorEastAsia" w:hAnsiTheme="minorEastAsia" w:eastAsiaTheme="minorEastAsia"/>
          <w:highlight w:val="none"/>
        </w:rPr>
      </w:pPr>
      <w:r>
        <w:rPr>
          <w:rFonts w:asciiTheme="minorEastAsia" w:hAnsiTheme="minorEastAsia" w:eastAsiaTheme="minorEastAsia"/>
          <w:highlight w:val="none"/>
        </w:rPr>
        <w:t>披露主要有足够的证明材料以支持问询。</w:t>
      </w:r>
    </w:p>
    <w:p>
      <w:pPr>
        <w:ind w:left="424" w:leftChars="202"/>
        <w:rPr>
          <w:rFonts w:asciiTheme="minorEastAsia" w:hAnsiTheme="minorEastAsia" w:eastAsiaTheme="minorEastAsia"/>
          <w:highlight w:val="none"/>
        </w:rPr>
      </w:pPr>
      <w:r>
        <w:rPr>
          <w:rFonts w:asciiTheme="minorEastAsia" w:hAnsiTheme="minorEastAsia" w:eastAsiaTheme="minorEastAsia"/>
          <w:highlight w:val="none"/>
        </w:rPr>
        <w:t>b) 确保碳信息满足特定披露情形下的披露要求：</w:t>
      </w:r>
    </w:p>
    <w:p>
      <w:pPr>
        <w:pStyle w:val="175"/>
        <w:numPr>
          <w:ilvl w:val="0"/>
          <w:numId w:val="29"/>
        </w:numPr>
        <w:ind w:firstLineChars="0"/>
        <w:rPr>
          <w:rFonts w:asciiTheme="minorEastAsia" w:hAnsiTheme="minorEastAsia" w:eastAsiaTheme="minorEastAsia"/>
          <w:highlight w:val="none"/>
        </w:rPr>
      </w:pPr>
      <w:r>
        <w:rPr>
          <w:rFonts w:asciiTheme="minorEastAsia" w:hAnsiTheme="minorEastAsia" w:eastAsiaTheme="minorEastAsia"/>
          <w:highlight w:val="none"/>
        </w:rPr>
        <w:t>披露内容符合特定情形下的披露规范（</w:t>
      </w:r>
      <w:r>
        <w:rPr>
          <w:rFonts w:hint="eastAsia" w:asciiTheme="minorEastAsia" w:hAnsiTheme="minorEastAsia" w:eastAsiaTheme="minorEastAsia"/>
          <w:highlight w:val="none"/>
        </w:rPr>
        <w:t>见</w:t>
      </w:r>
      <w:r>
        <w:rPr>
          <w:rFonts w:asciiTheme="minorEastAsia" w:hAnsiTheme="minorEastAsia" w:eastAsiaTheme="minorEastAsia"/>
          <w:highlight w:val="none"/>
        </w:rPr>
        <w:t>第7章）；</w:t>
      </w:r>
    </w:p>
    <w:p>
      <w:pPr>
        <w:pStyle w:val="175"/>
        <w:numPr>
          <w:ilvl w:val="0"/>
          <w:numId w:val="29"/>
        </w:numPr>
        <w:ind w:firstLineChars="0"/>
        <w:rPr>
          <w:rFonts w:asciiTheme="minorEastAsia" w:hAnsiTheme="minorEastAsia" w:eastAsiaTheme="minorEastAsia"/>
          <w:highlight w:val="none"/>
        </w:rPr>
      </w:pPr>
      <w:r>
        <w:rPr>
          <w:rFonts w:asciiTheme="minorEastAsia" w:hAnsiTheme="minorEastAsia" w:eastAsiaTheme="minorEastAsia"/>
          <w:highlight w:val="none"/>
        </w:rPr>
        <w:t>可以清晰明确地向特定受众传达其所关注的内容（</w:t>
      </w:r>
      <w:r>
        <w:rPr>
          <w:rFonts w:hint="eastAsia" w:asciiTheme="minorEastAsia" w:hAnsiTheme="minorEastAsia" w:eastAsiaTheme="minorEastAsia"/>
          <w:highlight w:val="none"/>
        </w:rPr>
        <w:t>见</w:t>
      </w:r>
      <w:r>
        <w:rPr>
          <w:rFonts w:asciiTheme="minorEastAsia" w:hAnsiTheme="minorEastAsia" w:eastAsiaTheme="minorEastAsia"/>
          <w:highlight w:val="none"/>
        </w:rPr>
        <w:t>第7章）；</w:t>
      </w:r>
    </w:p>
    <w:p>
      <w:pPr>
        <w:ind w:left="424" w:leftChars="202"/>
        <w:rPr>
          <w:rFonts w:asciiTheme="minorEastAsia" w:hAnsiTheme="minorEastAsia" w:eastAsiaTheme="minorEastAsia"/>
          <w:highlight w:val="none"/>
        </w:rPr>
      </w:pPr>
      <w:r>
        <w:rPr>
          <w:rFonts w:asciiTheme="minorEastAsia" w:hAnsiTheme="minorEastAsia" w:eastAsiaTheme="minorEastAsia"/>
          <w:highlight w:val="none"/>
        </w:rPr>
        <w:t>c) 确保碳信息内容满足规范性要求（</w:t>
      </w:r>
      <w:r>
        <w:rPr>
          <w:rFonts w:hint="eastAsia" w:asciiTheme="minorEastAsia" w:hAnsiTheme="minorEastAsia" w:eastAsiaTheme="minorEastAsia"/>
          <w:highlight w:val="none"/>
        </w:rPr>
        <w:t>见附录D</w:t>
      </w:r>
      <w:r>
        <w:rPr>
          <w:rFonts w:asciiTheme="minorEastAsia" w:hAnsiTheme="minorEastAsia" w:eastAsiaTheme="minorEastAsia"/>
          <w:highlight w:val="none"/>
        </w:rPr>
        <w:t>）。</w:t>
      </w:r>
    </w:p>
    <w:p>
      <w:pPr>
        <w:pStyle w:val="3"/>
        <w:spacing w:before="0" w:beforeLines="50" w:after="120" w:afterLines="50" w:line="240" w:lineRule="auto"/>
        <w:rPr>
          <w:rFonts w:ascii="黑体" w:hAnsi="黑体" w:eastAsia="黑体"/>
          <w:b w:val="0"/>
          <w:sz w:val="21"/>
          <w:szCs w:val="21"/>
          <w:highlight w:val="none"/>
        </w:rPr>
      </w:pPr>
      <w:bookmarkStart w:id="52" w:name="heading_56"/>
      <w:bookmarkStart w:id="53" w:name="_Toc166611388"/>
      <w:r>
        <w:rPr>
          <w:rFonts w:ascii="黑体" w:hAnsi="黑体" w:eastAsia="黑体"/>
          <w:b w:val="0"/>
          <w:sz w:val="21"/>
          <w:szCs w:val="21"/>
          <w:highlight w:val="none"/>
        </w:rPr>
        <w:t>8.</w:t>
      </w:r>
      <w:r>
        <w:rPr>
          <w:rFonts w:hint="eastAsia" w:ascii="黑体" w:hAnsi="黑体" w:eastAsia="黑体"/>
          <w:b w:val="0"/>
          <w:sz w:val="21"/>
          <w:szCs w:val="21"/>
          <w:highlight w:val="none"/>
        </w:rPr>
        <w:t>2</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自我验证</w:t>
      </w:r>
      <w:bookmarkEnd w:id="52"/>
      <w:bookmarkEnd w:id="53"/>
    </w:p>
    <w:p>
      <w:pPr>
        <w:spacing w:before="156" w:beforeLines="50" w:after="156" w:afterLines="50"/>
        <w:rPr>
          <w:rFonts w:ascii="黑体" w:hAnsi="黑体" w:eastAsia="黑体"/>
          <w:highlight w:val="none"/>
        </w:rPr>
      </w:pPr>
      <w:r>
        <w:rPr>
          <w:rFonts w:hint="eastAsia" w:ascii="黑体" w:hAnsi="黑体" w:eastAsia="黑体"/>
          <w:highlight w:val="none"/>
        </w:rPr>
        <w:t>8</w:t>
      </w:r>
      <w:r>
        <w:rPr>
          <w:rFonts w:ascii="黑体" w:hAnsi="黑体" w:eastAsia="黑体"/>
          <w:highlight w:val="none"/>
        </w:rPr>
        <w:t>.</w:t>
      </w:r>
      <w:r>
        <w:rPr>
          <w:rFonts w:hint="eastAsia" w:ascii="黑体" w:hAnsi="黑体" w:eastAsia="黑体"/>
          <w:highlight w:val="none"/>
        </w:rPr>
        <w:t>2</w:t>
      </w:r>
      <w:r>
        <w:rPr>
          <w:rFonts w:ascii="黑体" w:hAnsi="黑体" w:eastAsia="黑体"/>
          <w:highlight w:val="none"/>
        </w:rPr>
        <w:t>.</w:t>
      </w:r>
      <w:r>
        <w:rPr>
          <w:rFonts w:hint="eastAsia" w:ascii="黑体" w:hAnsi="黑体" w:eastAsia="黑体"/>
          <w:highlight w:val="none"/>
        </w:rPr>
        <w:t>1</w:t>
      </w:r>
      <w:r>
        <w:rPr>
          <w:rFonts w:ascii="黑体" w:hAnsi="黑体" w:eastAsia="黑体"/>
          <w:highlight w:val="none"/>
        </w:rPr>
        <w:t xml:space="preserve"> 验证步骤</w:t>
      </w:r>
    </w:p>
    <w:p>
      <w:pPr>
        <w:pStyle w:val="175"/>
        <w:numPr>
          <w:ilvl w:val="0"/>
          <w:numId w:val="30"/>
        </w:numPr>
        <w:ind w:firstLineChars="0"/>
        <w:rPr>
          <w:rFonts w:asciiTheme="minorEastAsia" w:hAnsiTheme="minorEastAsia" w:eastAsiaTheme="minorEastAsia"/>
          <w:highlight w:val="none"/>
        </w:rPr>
      </w:pPr>
      <w:r>
        <w:rPr>
          <w:rFonts w:asciiTheme="minorEastAsia" w:hAnsiTheme="minorEastAsia" w:eastAsiaTheme="minorEastAsia"/>
          <w:highlight w:val="none"/>
        </w:rPr>
        <w:t>确定验证的目标、主题、范围和遵循准则；</w:t>
      </w:r>
    </w:p>
    <w:p>
      <w:pPr>
        <w:pStyle w:val="175"/>
        <w:numPr>
          <w:ilvl w:val="0"/>
          <w:numId w:val="30"/>
        </w:numPr>
        <w:ind w:firstLineChars="0"/>
        <w:rPr>
          <w:rFonts w:asciiTheme="minorEastAsia" w:hAnsiTheme="minorEastAsia" w:eastAsiaTheme="minorEastAsia"/>
          <w:highlight w:val="none"/>
        </w:rPr>
      </w:pPr>
      <w:r>
        <w:rPr>
          <w:rFonts w:asciiTheme="minorEastAsia" w:hAnsiTheme="minorEastAsia" w:eastAsiaTheme="minorEastAsia"/>
          <w:highlight w:val="none"/>
        </w:rPr>
        <w:t>系统识别验证碳信息所产生的合规义务；</w:t>
      </w:r>
    </w:p>
    <w:p>
      <w:pPr>
        <w:pStyle w:val="175"/>
        <w:numPr>
          <w:ilvl w:val="0"/>
          <w:numId w:val="30"/>
        </w:numPr>
        <w:ind w:firstLineChars="0"/>
        <w:rPr>
          <w:rFonts w:asciiTheme="minorEastAsia" w:hAnsiTheme="minorEastAsia" w:eastAsiaTheme="minorEastAsia"/>
          <w:highlight w:val="none"/>
        </w:rPr>
      </w:pPr>
      <w:r>
        <w:rPr>
          <w:rFonts w:asciiTheme="minorEastAsia" w:hAnsiTheme="minorEastAsia" w:eastAsiaTheme="minorEastAsia"/>
          <w:highlight w:val="none"/>
        </w:rPr>
        <w:t xml:space="preserve">选择审核部门并进行审核，以确保审核过程的客观性和公正性； </w:t>
      </w:r>
    </w:p>
    <w:p>
      <w:pPr>
        <w:ind w:firstLine="420"/>
        <w:rPr>
          <w:rFonts w:asciiTheme="minorEastAsia" w:hAnsiTheme="minorEastAsia" w:eastAsiaTheme="minorEastAsia"/>
          <w:sz w:val="18"/>
          <w:szCs w:val="21"/>
          <w:highlight w:val="none"/>
        </w:rPr>
      </w:pPr>
      <w:r>
        <w:rPr>
          <w:rFonts w:ascii="黑体" w:hAnsi="黑体" w:eastAsia="黑体"/>
          <w:sz w:val="18"/>
          <w:szCs w:val="18"/>
          <w:highlight w:val="none"/>
        </w:rPr>
        <w:t>注1：</w:t>
      </w:r>
      <w:r>
        <w:rPr>
          <w:rFonts w:asciiTheme="minorEastAsia" w:hAnsiTheme="minorEastAsia" w:eastAsiaTheme="minorEastAsia"/>
          <w:sz w:val="18"/>
          <w:szCs w:val="21"/>
          <w:highlight w:val="none"/>
        </w:rPr>
        <w:t>审核职能部门，</w:t>
      </w:r>
      <w:r>
        <w:rPr>
          <w:rFonts w:asciiTheme="minorEastAsia" w:hAnsiTheme="minorEastAsia" w:eastAsiaTheme="minorEastAsia"/>
          <w:b/>
          <w:bCs/>
          <w:sz w:val="18"/>
          <w:szCs w:val="21"/>
          <w:highlight w:val="none"/>
        </w:rPr>
        <w:t>应</w:t>
      </w:r>
      <w:r>
        <w:rPr>
          <w:rFonts w:asciiTheme="minorEastAsia" w:hAnsiTheme="minorEastAsia" w:eastAsiaTheme="minorEastAsia"/>
          <w:sz w:val="18"/>
          <w:szCs w:val="21"/>
          <w:highlight w:val="none"/>
        </w:rPr>
        <w:t>该避免利益冲突并保持独立性，以履行其职责</w:t>
      </w:r>
      <w:r>
        <w:rPr>
          <w:rFonts w:hint="eastAsia" w:asciiTheme="minorEastAsia" w:hAnsiTheme="minorEastAsia" w:eastAsiaTheme="minorEastAsia"/>
          <w:sz w:val="18"/>
          <w:szCs w:val="21"/>
          <w:highlight w:val="none"/>
        </w:rPr>
        <w:t>。</w:t>
      </w:r>
    </w:p>
    <w:p>
      <w:pPr>
        <w:ind w:left="420" w:leftChars="200"/>
        <w:rPr>
          <w:rFonts w:asciiTheme="minorEastAsia" w:hAnsiTheme="minorEastAsia" w:eastAsiaTheme="minorEastAsia"/>
          <w:sz w:val="18"/>
          <w:szCs w:val="21"/>
          <w:highlight w:val="none"/>
        </w:rPr>
      </w:pPr>
      <w:r>
        <w:rPr>
          <w:rFonts w:ascii="黑体" w:hAnsi="黑体" w:eastAsia="黑体"/>
          <w:sz w:val="18"/>
          <w:szCs w:val="18"/>
          <w:highlight w:val="none"/>
        </w:rPr>
        <w:t>注2：</w:t>
      </w:r>
      <w:r>
        <w:rPr>
          <w:rFonts w:asciiTheme="minorEastAsia" w:hAnsiTheme="minorEastAsia" w:eastAsiaTheme="minorEastAsia"/>
          <w:sz w:val="18"/>
          <w:szCs w:val="21"/>
          <w:highlight w:val="none"/>
        </w:rPr>
        <w:t>若存在不满足合规要求的情况，</w:t>
      </w:r>
      <w:r>
        <w:rPr>
          <w:rFonts w:asciiTheme="minorEastAsia" w:hAnsiTheme="minorEastAsia" w:eastAsiaTheme="minorEastAsia"/>
          <w:b/>
          <w:bCs/>
          <w:sz w:val="18"/>
          <w:szCs w:val="21"/>
          <w:highlight w:val="none"/>
        </w:rPr>
        <w:t>应</w:t>
      </w:r>
      <w:r>
        <w:rPr>
          <w:rFonts w:asciiTheme="minorEastAsia" w:hAnsiTheme="minorEastAsia" w:eastAsiaTheme="minorEastAsia"/>
          <w:sz w:val="18"/>
          <w:szCs w:val="21"/>
          <w:highlight w:val="none"/>
        </w:rPr>
        <w:t>在披露编制团队对信息进行纠正并达到合规要求后，再进行以下步骤</w:t>
      </w:r>
      <w:r>
        <w:rPr>
          <w:rFonts w:hint="eastAsia" w:asciiTheme="minorEastAsia" w:hAnsiTheme="minorEastAsia" w:eastAsiaTheme="minorEastAsia"/>
          <w:sz w:val="18"/>
          <w:szCs w:val="21"/>
          <w:highlight w:val="none"/>
        </w:rPr>
        <w:t>。</w:t>
      </w:r>
    </w:p>
    <w:p>
      <w:pPr>
        <w:pStyle w:val="175"/>
        <w:numPr>
          <w:ilvl w:val="0"/>
          <w:numId w:val="30"/>
        </w:numPr>
        <w:ind w:firstLineChars="0"/>
        <w:rPr>
          <w:rFonts w:asciiTheme="minorEastAsia" w:hAnsiTheme="minorEastAsia" w:eastAsiaTheme="minorEastAsia"/>
          <w:highlight w:val="none"/>
        </w:rPr>
      </w:pPr>
      <w:r>
        <w:rPr>
          <w:rFonts w:asciiTheme="minorEastAsia" w:hAnsiTheme="minorEastAsia" w:eastAsiaTheme="minorEastAsia"/>
          <w:highlight w:val="none"/>
        </w:rPr>
        <w:t>向相关的管理者和管理层报告审核结果。</w:t>
      </w:r>
    </w:p>
    <w:p>
      <w:pPr>
        <w:spacing w:before="156" w:beforeLines="50" w:after="156" w:afterLines="50"/>
        <w:rPr>
          <w:rFonts w:ascii="黑体" w:hAnsi="黑体" w:eastAsia="黑体"/>
          <w:highlight w:val="none"/>
        </w:rPr>
      </w:pPr>
      <w:r>
        <w:rPr>
          <w:rFonts w:hint="eastAsia" w:ascii="黑体" w:hAnsi="黑体" w:eastAsia="黑体"/>
          <w:highlight w:val="none"/>
        </w:rPr>
        <w:t>8.2.2 合规性声明</w:t>
      </w:r>
    </w:p>
    <w:p>
      <w:pPr>
        <w:ind w:firstLine="480"/>
        <w:rPr>
          <w:rFonts w:ascii="宋体" w:hAnsi="宋体"/>
          <w:highlight w:val="none"/>
        </w:rPr>
      </w:pPr>
      <w:r>
        <w:rPr>
          <w:highlight w:val="none"/>
        </w:rPr>
        <w:t>碳信息在经过自我验证后，</w:t>
      </w:r>
      <w:r>
        <w:rPr>
          <w:rStyle w:val="43"/>
          <w:highlight w:val="none"/>
        </w:rPr>
        <w:t>应</w:t>
      </w:r>
      <w:r>
        <w:rPr>
          <w:highlight w:val="none"/>
        </w:rPr>
        <w:t>按照“自我声明：由（企业名称）根据（企业碳信息合规披露与评价指引）对所披露碳信息进行了合规性验证”的格式，在披露内容末尾做出声明。</w:t>
      </w:r>
    </w:p>
    <w:p>
      <w:pPr>
        <w:pStyle w:val="3"/>
        <w:spacing w:before="120" w:after="120"/>
        <w:rPr>
          <w:rFonts w:ascii="黑体" w:hAnsi="黑体" w:eastAsia="黑体"/>
          <w:b w:val="0"/>
          <w:sz w:val="21"/>
          <w:szCs w:val="21"/>
          <w:highlight w:val="none"/>
        </w:rPr>
      </w:pPr>
      <w:bookmarkStart w:id="54" w:name="_Toc166611389"/>
      <w:bookmarkStart w:id="55" w:name="heading_57"/>
      <w:r>
        <w:rPr>
          <w:rFonts w:ascii="黑体" w:hAnsi="黑体" w:eastAsia="黑体"/>
          <w:b w:val="0"/>
          <w:sz w:val="21"/>
          <w:szCs w:val="21"/>
          <w:highlight w:val="none"/>
        </w:rPr>
        <w:t>8.</w:t>
      </w:r>
      <w:r>
        <w:rPr>
          <w:rFonts w:hint="eastAsia" w:ascii="黑体" w:hAnsi="黑体" w:eastAsia="黑体"/>
          <w:b w:val="0"/>
          <w:sz w:val="21"/>
          <w:szCs w:val="21"/>
          <w:highlight w:val="none"/>
        </w:rPr>
        <w:t>3</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独立第三方验证声明</w:t>
      </w:r>
      <w:bookmarkEnd w:id="54"/>
      <w:bookmarkEnd w:id="55"/>
    </w:p>
    <w:p>
      <w:pPr>
        <w:ind w:firstLine="420"/>
        <w:rPr>
          <w:rFonts w:ascii="宋体" w:hAnsi="宋体"/>
          <w:highlight w:val="none"/>
        </w:rPr>
      </w:pPr>
      <w:r>
        <w:rPr>
          <w:rFonts w:hint="eastAsia" w:ascii="宋体" w:hAnsi="宋体"/>
          <w:highlight w:val="none"/>
        </w:rPr>
        <w:t>碳信息在经过第三方验证后，</w:t>
      </w:r>
      <w:r>
        <w:rPr>
          <w:rFonts w:hint="eastAsia" w:ascii="宋体" w:hAnsi="宋体"/>
          <w:b/>
          <w:bCs/>
          <w:highlight w:val="none"/>
        </w:rPr>
        <w:t>应</w:t>
      </w:r>
      <w:r>
        <w:rPr>
          <w:rFonts w:hint="eastAsia" w:ascii="宋体" w:hAnsi="宋体"/>
          <w:highlight w:val="none"/>
        </w:rPr>
        <w:t>按照“独立第三方声明：由（独立第三方名称）根据《企业碳信息披露与合规评价指引》对（企业名称）所披露碳信息进行了合规性验证”的格式进行声明。第三方验证声明可在披露内容末尾注明。</w:t>
      </w:r>
    </w:p>
    <w:p>
      <w:pPr>
        <w:ind w:left="453"/>
        <w:rPr>
          <w:rFonts w:asciiTheme="minorEastAsia" w:hAnsiTheme="minorEastAsia" w:eastAsiaTheme="minorEastAsia"/>
          <w:sz w:val="18"/>
          <w:szCs w:val="18"/>
          <w:highlight w:val="none"/>
        </w:rPr>
      </w:pPr>
      <w:r>
        <w:rPr>
          <w:rStyle w:val="181"/>
          <w:rFonts w:hint="eastAsia"/>
          <w:highlight w:val="none"/>
        </w:rPr>
        <w:t>注：</w:t>
      </w:r>
      <w:r>
        <w:rPr>
          <w:rFonts w:hint="eastAsia" w:cs="Arial" w:asciiTheme="minorEastAsia" w:hAnsiTheme="minorEastAsia" w:eastAsiaTheme="minorEastAsia"/>
          <w:sz w:val="18"/>
          <w:szCs w:val="18"/>
          <w:highlight w:val="none"/>
        </w:rPr>
        <w:t>关于本文件提及的</w:t>
      </w:r>
      <w:r>
        <w:rPr>
          <w:rFonts w:cs="Arial" w:asciiTheme="minorEastAsia" w:hAnsiTheme="minorEastAsia" w:eastAsiaTheme="minorEastAsia"/>
          <w:sz w:val="18"/>
          <w:szCs w:val="18"/>
          <w:highlight w:val="none"/>
        </w:rPr>
        <w:t>“</w:t>
      </w:r>
      <w:r>
        <w:rPr>
          <w:rFonts w:hint="eastAsia" w:cs="Arial" w:asciiTheme="minorEastAsia" w:hAnsiTheme="minorEastAsia" w:eastAsiaTheme="minorEastAsia"/>
          <w:sz w:val="18"/>
          <w:szCs w:val="18"/>
          <w:highlight w:val="none"/>
        </w:rPr>
        <w:t>第三方</w:t>
      </w:r>
      <w:r>
        <w:rPr>
          <w:rFonts w:cs="Arial" w:asciiTheme="minorEastAsia" w:hAnsiTheme="minorEastAsia" w:eastAsiaTheme="minorEastAsia"/>
          <w:sz w:val="18"/>
          <w:szCs w:val="18"/>
          <w:highlight w:val="none"/>
        </w:rPr>
        <w:t>”</w:t>
      </w:r>
      <w:r>
        <w:rPr>
          <w:rFonts w:hint="eastAsia" w:cs="Arial" w:asciiTheme="minorEastAsia" w:hAnsiTheme="minorEastAsia" w:eastAsiaTheme="minorEastAsia"/>
          <w:sz w:val="18"/>
          <w:szCs w:val="18"/>
          <w:highlight w:val="none"/>
        </w:rPr>
        <w:t>认证机构的定义和要求，可参考</w:t>
      </w:r>
      <w:r>
        <w:rPr>
          <w:rFonts w:cs="Arial" w:asciiTheme="minorEastAsia" w:hAnsiTheme="minorEastAsia" w:eastAsiaTheme="minorEastAsia"/>
          <w:sz w:val="18"/>
          <w:szCs w:val="18"/>
          <w:highlight w:val="none"/>
        </w:rPr>
        <w:t>ISO 14065:2020</w:t>
      </w:r>
      <w:r>
        <w:rPr>
          <w:rFonts w:hint="eastAsia" w:cs="Arial" w:asciiTheme="minorEastAsia" w:hAnsiTheme="minorEastAsia" w:eastAsiaTheme="minorEastAsia"/>
          <w:sz w:val="18"/>
          <w:szCs w:val="18"/>
          <w:highlight w:val="none"/>
        </w:rPr>
        <w:t>或类似审验和鉴证规范。</w:t>
      </w:r>
    </w:p>
    <w:p>
      <w:pPr>
        <w:pStyle w:val="2"/>
        <w:spacing w:before="240" w:after="240" w:line="240" w:lineRule="auto"/>
        <w:rPr>
          <w:rFonts w:ascii="黑体" w:hAnsi="黑体" w:eastAsia="黑体"/>
          <w:b w:val="0"/>
          <w:sz w:val="21"/>
          <w:szCs w:val="21"/>
          <w:highlight w:val="none"/>
        </w:rPr>
      </w:pPr>
      <w:bookmarkStart w:id="56" w:name="heading_59"/>
      <w:bookmarkStart w:id="57" w:name="_Toc166611390"/>
      <w:r>
        <w:rPr>
          <w:rFonts w:hint="eastAsia" w:ascii="黑体" w:hAnsi="黑体" w:eastAsia="黑体"/>
          <w:b w:val="0"/>
          <w:sz w:val="21"/>
          <w:szCs w:val="21"/>
          <w:highlight w:val="none"/>
        </w:rPr>
        <w:t>9</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合规性评价</w:t>
      </w:r>
      <w:bookmarkEnd w:id="56"/>
      <w:bookmarkEnd w:id="57"/>
    </w:p>
    <w:p>
      <w:pPr>
        <w:pStyle w:val="3"/>
        <w:spacing w:before="120" w:after="120"/>
        <w:rPr>
          <w:rFonts w:ascii="黑体" w:hAnsi="黑体" w:eastAsia="黑体"/>
          <w:b w:val="0"/>
          <w:sz w:val="21"/>
          <w:szCs w:val="21"/>
          <w:highlight w:val="none"/>
        </w:rPr>
      </w:pPr>
      <w:bookmarkStart w:id="58" w:name="heading_60"/>
      <w:bookmarkStart w:id="59" w:name="_Toc166611391"/>
      <w:r>
        <w:rPr>
          <w:rFonts w:hint="eastAsia" w:ascii="黑体" w:hAnsi="黑体" w:eastAsia="黑体"/>
          <w:b w:val="0"/>
          <w:sz w:val="21"/>
          <w:szCs w:val="21"/>
          <w:highlight w:val="none"/>
        </w:rPr>
        <w:t>9</w:t>
      </w:r>
      <w:r>
        <w:rPr>
          <w:rFonts w:ascii="黑体" w:hAnsi="黑体" w:eastAsia="黑体"/>
          <w:b w:val="0"/>
          <w:sz w:val="21"/>
          <w:szCs w:val="21"/>
          <w:highlight w:val="none"/>
        </w:rPr>
        <w:t xml:space="preserve">.1 </w:t>
      </w:r>
      <w:r>
        <w:rPr>
          <w:rFonts w:hint="eastAsia" w:ascii="黑体" w:hAnsi="黑体" w:eastAsia="黑体"/>
          <w:b w:val="0"/>
          <w:sz w:val="21"/>
          <w:szCs w:val="21"/>
          <w:highlight w:val="none"/>
        </w:rPr>
        <w:t>评价要求</w:t>
      </w:r>
      <w:bookmarkEnd w:id="58"/>
      <w:bookmarkEnd w:id="59"/>
    </w:p>
    <w:p>
      <w:pPr>
        <w:ind w:firstLine="420"/>
        <w:rPr>
          <w:rFonts w:ascii="宋体" w:hAnsi="宋体" w:cs="Arial"/>
          <w:szCs w:val="21"/>
          <w:highlight w:val="none"/>
        </w:rPr>
      </w:pPr>
      <w:r>
        <w:rPr>
          <w:rFonts w:hint="eastAsia" w:ascii="宋体" w:hAnsi="宋体" w:cs="Arial"/>
          <w:szCs w:val="21"/>
          <w:highlight w:val="none"/>
        </w:rPr>
        <w:t>企业</w:t>
      </w:r>
      <w:r>
        <w:rPr>
          <w:rFonts w:hint="eastAsia" w:ascii="宋体" w:hAnsi="宋体" w:cs="Arial"/>
          <w:b/>
          <w:bCs/>
          <w:szCs w:val="21"/>
          <w:highlight w:val="none"/>
        </w:rPr>
        <w:t>宜</w:t>
      </w:r>
      <w:r>
        <w:rPr>
          <w:rFonts w:hint="eastAsia" w:ascii="宋体" w:hAnsi="宋体" w:cs="Arial"/>
          <w:szCs w:val="21"/>
          <w:highlight w:val="none"/>
        </w:rPr>
        <w:t>委托第三方机构开展碳信息合规披露评价，确认所披露碳信息满足合规通用要求、披露主体要求、描述对象要求、碳信息内容要求、披露与声明情形要求、合规性验证要求等内容。</w:t>
      </w:r>
    </w:p>
    <w:p>
      <w:pPr>
        <w:pStyle w:val="3"/>
        <w:spacing w:before="120" w:after="120"/>
        <w:rPr>
          <w:rFonts w:ascii="黑体" w:hAnsi="黑体" w:eastAsia="黑体" w:cs="Arial"/>
          <w:szCs w:val="21"/>
          <w:highlight w:val="none"/>
        </w:rPr>
      </w:pPr>
      <w:bookmarkStart w:id="60" w:name="_Toc166611392"/>
      <w:r>
        <w:rPr>
          <w:rFonts w:hint="eastAsia" w:ascii="黑体" w:hAnsi="黑体" w:eastAsia="黑体"/>
          <w:b w:val="0"/>
          <w:sz w:val="21"/>
          <w:szCs w:val="21"/>
          <w:highlight w:val="none"/>
        </w:rPr>
        <w:t>9</w:t>
      </w:r>
      <w:r>
        <w:rPr>
          <w:rFonts w:ascii="黑体" w:hAnsi="黑体" w:eastAsia="黑体"/>
          <w:b w:val="0"/>
          <w:sz w:val="21"/>
          <w:szCs w:val="21"/>
          <w:highlight w:val="none"/>
        </w:rPr>
        <w:t>.</w:t>
      </w:r>
      <w:r>
        <w:rPr>
          <w:rFonts w:hint="eastAsia" w:ascii="黑体" w:hAnsi="黑体" w:eastAsia="黑体"/>
          <w:b w:val="0"/>
          <w:sz w:val="21"/>
          <w:szCs w:val="21"/>
          <w:highlight w:val="none"/>
        </w:rPr>
        <w:t>2</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评价方式</w:t>
      </w:r>
      <w:bookmarkEnd w:id="60"/>
    </w:p>
    <w:p>
      <w:pPr>
        <w:ind w:firstLine="420"/>
        <w:rPr>
          <w:rFonts w:ascii="宋体" w:hAnsi="宋体"/>
          <w:szCs w:val="21"/>
          <w:highlight w:val="none"/>
        </w:rPr>
      </w:pPr>
      <w:r>
        <w:rPr>
          <w:rFonts w:hint="eastAsia" w:ascii="宋体" w:hAnsi="宋体" w:cs="Arial"/>
          <w:szCs w:val="21"/>
          <w:highlight w:val="none"/>
        </w:rPr>
        <w:t>评价方</w:t>
      </w:r>
      <w:r>
        <w:rPr>
          <w:rFonts w:hint="eastAsia" w:ascii="宋体" w:hAnsi="宋体" w:cs="Arial"/>
          <w:b/>
          <w:bCs/>
          <w:szCs w:val="21"/>
          <w:highlight w:val="none"/>
        </w:rPr>
        <w:t>应</w:t>
      </w:r>
      <w:r>
        <w:rPr>
          <w:rFonts w:hint="eastAsia" w:ascii="宋体" w:hAnsi="宋体" w:cs="Arial"/>
          <w:szCs w:val="21"/>
          <w:highlight w:val="none"/>
        </w:rPr>
        <w:t>通过查看报告文件、统计报表、原始记录，并根据实际情况，开展对相关人员的访谈，采用实地调查、抽样调查等方式收集评价证据，确保证据的完整性和准确性。</w:t>
      </w:r>
    </w:p>
    <w:p>
      <w:pPr>
        <w:pStyle w:val="3"/>
        <w:spacing w:before="120" w:beforeLines="50" w:after="120" w:afterLines="50" w:line="240" w:lineRule="auto"/>
        <w:rPr>
          <w:rFonts w:ascii="黑体" w:hAnsi="黑体" w:eastAsia="黑体"/>
          <w:b w:val="0"/>
          <w:sz w:val="21"/>
          <w:szCs w:val="21"/>
          <w:highlight w:val="none"/>
        </w:rPr>
      </w:pPr>
      <w:bookmarkStart w:id="61" w:name="heading_61"/>
      <w:bookmarkStart w:id="62" w:name="_Toc166611393"/>
      <w:r>
        <w:rPr>
          <w:rFonts w:hint="eastAsia" w:ascii="黑体" w:hAnsi="黑体" w:eastAsia="黑体"/>
          <w:b w:val="0"/>
          <w:sz w:val="21"/>
          <w:szCs w:val="21"/>
          <w:highlight w:val="none"/>
        </w:rPr>
        <w:t>9</w:t>
      </w:r>
      <w:r>
        <w:rPr>
          <w:rFonts w:ascii="黑体" w:hAnsi="黑体" w:eastAsia="黑体"/>
          <w:b w:val="0"/>
          <w:sz w:val="21"/>
          <w:szCs w:val="21"/>
          <w:highlight w:val="none"/>
        </w:rPr>
        <w:t>.</w:t>
      </w:r>
      <w:r>
        <w:rPr>
          <w:rFonts w:hint="eastAsia" w:ascii="黑体" w:hAnsi="黑体" w:eastAsia="黑体"/>
          <w:b w:val="0"/>
          <w:sz w:val="21"/>
          <w:szCs w:val="21"/>
          <w:highlight w:val="none"/>
        </w:rPr>
        <w:t>3</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评价评级</w:t>
      </w:r>
      <w:bookmarkEnd w:id="61"/>
      <w:bookmarkEnd w:id="62"/>
    </w:p>
    <w:p>
      <w:pPr>
        <w:spacing w:before="156" w:beforeLines="50" w:after="156" w:afterLines="50"/>
        <w:ind w:firstLine="420"/>
        <w:jc w:val="both"/>
        <w:rPr>
          <w:rFonts w:ascii="黑体" w:hAnsi="黑体" w:eastAsia="黑体" w:cs="Arial"/>
          <w:bCs/>
          <w:szCs w:val="21"/>
          <w:highlight w:val="none"/>
        </w:rPr>
      </w:pPr>
      <w:r>
        <w:rPr>
          <w:rFonts w:hint="eastAsia" w:ascii="宋体" w:hAnsi="宋体" w:cs="Arial"/>
          <w:szCs w:val="21"/>
          <w:highlight w:val="none"/>
        </w:rPr>
        <w:t>根据企业所披露信息达成的评估分值，评价结果共分为4个等级：</w:t>
      </w:r>
      <w:r>
        <w:rPr>
          <w:rFonts w:ascii="宋体" w:hAnsi="宋体" w:cs="Arial"/>
          <w:szCs w:val="21"/>
          <w:highlight w:val="none"/>
        </w:rPr>
        <w:t>“</w:t>
      </w:r>
      <w:r>
        <w:rPr>
          <w:rFonts w:ascii="Times New Roman" w:hAnsi="Times New Roman" w:cs="Times New Roman"/>
          <w:szCs w:val="21"/>
          <w:highlight w:val="none"/>
        </w:rPr>
        <w:t>A-</w:t>
      </w:r>
      <w:r>
        <w:rPr>
          <w:rFonts w:hint="eastAsia" w:ascii="Times New Roman" w:hAnsi="Times New Roman" w:cs="Times New Roman"/>
          <w:szCs w:val="21"/>
          <w:highlight w:val="none"/>
        </w:rPr>
        <w:t>完备</w:t>
      </w:r>
      <w:r>
        <w:rPr>
          <w:rFonts w:hint="eastAsia" w:ascii="宋体" w:hAnsi="宋体" w:cs="Arial"/>
          <w:szCs w:val="21"/>
          <w:highlight w:val="none"/>
        </w:rPr>
        <w:t>”、“</w:t>
      </w:r>
      <w:r>
        <w:rPr>
          <w:rFonts w:ascii="Times New Roman" w:hAnsi="Times New Roman" w:cs="Times New Roman"/>
          <w:szCs w:val="21"/>
          <w:highlight w:val="none"/>
        </w:rPr>
        <w:t>B-</w:t>
      </w:r>
      <w:r>
        <w:rPr>
          <w:rFonts w:hint="eastAsia" w:ascii="Times New Roman" w:hAnsi="Times New Roman" w:cs="Times New Roman"/>
          <w:szCs w:val="21"/>
          <w:highlight w:val="none"/>
        </w:rPr>
        <w:t>充分</w:t>
      </w:r>
      <w:r>
        <w:rPr>
          <w:rFonts w:hint="eastAsia" w:ascii="宋体" w:hAnsi="宋体" w:cs="Arial"/>
          <w:szCs w:val="21"/>
          <w:highlight w:val="none"/>
        </w:rPr>
        <w:t>”、“</w:t>
      </w:r>
      <w:r>
        <w:rPr>
          <w:rFonts w:ascii="Times New Roman" w:hAnsi="Times New Roman" w:cs="Times New Roman"/>
          <w:szCs w:val="21"/>
          <w:highlight w:val="none"/>
        </w:rPr>
        <w:t>C-</w:t>
      </w:r>
      <w:r>
        <w:rPr>
          <w:rFonts w:hint="eastAsia" w:ascii="Times New Roman" w:hAnsi="Times New Roman" w:cs="Times New Roman"/>
          <w:szCs w:val="21"/>
          <w:highlight w:val="none"/>
        </w:rPr>
        <w:t>合格</w:t>
      </w:r>
      <w:r>
        <w:rPr>
          <w:rFonts w:hint="eastAsia" w:ascii="宋体" w:hAnsi="宋体" w:cs="Arial"/>
          <w:szCs w:val="21"/>
          <w:highlight w:val="none"/>
        </w:rPr>
        <w:t>”和“</w:t>
      </w:r>
      <w:r>
        <w:rPr>
          <w:rFonts w:ascii="Times New Roman" w:hAnsi="Times New Roman" w:cs="Times New Roman"/>
          <w:szCs w:val="21"/>
          <w:highlight w:val="none"/>
        </w:rPr>
        <w:t>D-</w:t>
      </w:r>
      <w:r>
        <w:rPr>
          <w:rFonts w:hint="eastAsia" w:ascii="Times New Roman" w:hAnsi="Times New Roman" w:cs="Times New Roman"/>
          <w:szCs w:val="21"/>
          <w:highlight w:val="none"/>
        </w:rPr>
        <w:t>有限</w:t>
      </w:r>
      <w:r>
        <w:rPr>
          <w:rFonts w:hint="eastAsia" w:ascii="宋体" w:hAnsi="宋体" w:cs="Arial"/>
          <w:szCs w:val="21"/>
          <w:highlight w:val="none"/>
        </w:rPr>
        <w:t>”。各评价等级的分数区间及评价要求如表9所示。评价过程中使用的评价要求表和计算方法参见附录</w:t>
      </w:r>
      <w:r>
        <w:rPr>
          <w:rFonts w:hint="eastAsia"/>
          <w:szCs w:val="21"/>
          <w:highlight w:val="none"/>
        </w:rPr>
        <w:t>G</w:t>
      </w:r>
      <w:r>
        <w:rPr>
          <w:rFonts w:hint="eastAsia" w:ascii="宋体" w:hAnsi="宋体" w:cs="Arial"/>
          <w:szCs w:val="21"/>
          <w:highlight w:val="none"/>
        </w:rPr>
        <w:t>。</w:t>
      </w:r>
    </w:p>
    <w:p>
      <w:pPr>
        <w:spacing w:before="156" w:beforeLines="50" w:after="156" w:afterLines="50"/>
        <w:jc w:val="center"/>
        <w:rPr>
          <w:rFonts w:ascii="黑体" w:hAnsi="黑体" w:eastAsia="黑体" w:cs="Arial"/>
          <w:b w:val="0"/>
          <w:bCs/>
          <w:sz w:val="21"/>
          <w:szCs w:val="21"/>
          <w:highlight w:val="none"/>
        </w:rPr>
      </w:pPr>
      <w:r>
        <w:rPr>
          <w:rFonts w:ascii="黑体" w:hAnsi="黑体" w:eastAsia="黑体" w:cs="Arial"/>
          <w:b w:val="0"/>
          <w:bCs/>
          <w:sz w:val="21"/>
          <w:szCs w:val="21"/>
          <w:highlight w:val="none"/>
        </w:rPr>
        <w:t xml:space="preserve">表 </w:t>
      </w:r>
      <w:r>
        <w:rPr>
          <w:rFonts w:ascii="黑体" w:hAnsi="黑体" w:eastAsia="黑体" w:cs="Arial"/>
          <w:bCs/>
          <w:sz w:val="21"/>
          <w:szCs w:val="21"/>
          <w:highlight w:val="none"/>
        </w:rPr>
        <w:t>9</w:t>
      </w:r>
      <w:r>
        <w:rPr>
          <w:rFonts w:ascii="黑体" w:hAnsi="黑体" w:eastAsia="黑体" w:cs="Arial"/>
          <w:b w:val="0"/>
          <w:bCs/>
          <w:sz w:val="21"/>
          <w:szCs w:val="21"/>
          <w:highlight w:val="none"/>
        </w:rPr>
        <w:t xml:space="preserve"> </w:t>
      </w:r>
      <w:r>
        <w:rPr>
          <w:rFonts w:hint="eastAsia" w:ascii="黑体" w:hAnsi="黑体" w:eastAsia="黑体" w:cs="Arial"/>
          <w:bCs/>
          <w:sz w:val="21"/>
          <w:szCs w:val="21"/>
          <w:highlight w:val="none"/>
        </w:rPr>
        <w:t>企业碳信息合规披露评级</w:t>
      </w:r>
    </w:p>
    <w:tbl>
      <w:tblPr>
        <w:tblStyle w:val="41"/>
        <w:tblW w:w="9351" w:type="dxa"/>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1297"/>
        <w:gridCol w:w="1321"/>
        <w:gridCol w:w="6733"/>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297" w:type="dxa"/>
            <w:tcBorders>
              <w:top w:val="single" w:color="auto" w:sz="8" w:space="0"/>
              <w:bottom w:val="single" w:color="auto" w:sz="8" w:space="0"/>
              <w:right w:val="single" w:color="auto" w:sz="6" w:space="0"/>
            </w:tcBorders>
          </w:tcPr>
          <w:p>
            <w:pPr>
              <w:jc w:val="center"/>
              <w:rPr>
                <w:rFonts w:ascii="宋体" w:hAnsi="宋体" w:cs="Arial"/>
                <w:sz w:val="18"/>
                <w:szCs w:val="18"/>
                <w:highlight w:val="none"/>
              </w:rPr>
            </w:pPr>
            <w:r>
              <w:rPr>
                <w:rFonts w:hint="eastAsia" w:ascii="宋体" w:hAnsi="宋体" w:cs="Arial"/>
                <w:sz w:val="18"/>
                <w:szCs w:val="18"/>
                <w:highlight w:val="none"/>
              </w:rPr>
              <w:t>评价分数</w:t>
            </w:r>
          </w:p>
        </w:tc>
        <w:tc>
          <w:tcPr>
            <w:tcW w:w="1321" w:type="dxa"/>
            <w:tcBorders>
              <w:top w:val="single" w:color="auto" w:sz="8" w:space="0"/>
              <w:left w:val="single" w:color="auto" w:sz="6" w:space="0"/>
              <w:bottom w:val="single" w:color="auto" w:sz="8" w:space="0"/>
              <w:right w:val="single" w:color="auto" w:sz="6" w:space="0"/>
            </w:tcBorders>
          </w:tcPr>
          <w:p>
            <w:pPr>
              <w:jc w:val="center"/>
              <w:rPr>
                <w:rFonts w:ascii="宋体" w:hAnsi="宋体" w:cs="Arial"/>
                <w:sz w:val="18"/>
                <w:szCs w:val="18"/>
                <w:highlight w:val="none"/>
              </w:rPr>
            </w:pPr>
            <w:r>
              <w:rPr>
                <w:rFonts w:hint="eastAsia" w:ascii="宋体" w:hAnsi="宋体" w:cs="Arial"/>
                <w:sz w:val="18"/>
                <w:szCs w:val="18"/>
                <w:highlight w:val="none"/>
              </w:rPr>
              <w:t>披露质量等级</w:t>
            </w:r>
          </w:p>
        </w:tc>
        <w:tc>
          <w:tcPr>
            <w:tcW w:w="6733" w:type="dxa"/>
            <w:tcBorders>
              <w:top w:val="single" w:color="auto" w:sz="8" w:space="0"/>
              <w:left w:val="single" w:color="auto" w:sz="6" w:space="0"/>
              <w:bottom w:val="single" w:color="auto" w:sz="8" w:space="0"/>
            </w:tcBorders>
          </w:tcPr>
          <w:p>
            <w:pPr>
              <w:jc w:val="center"/>
              <w:rPr>
                <w:rFonts w:ascii="宋体" w:hAnsi="宋体" w:cs="Arial"/>
                <w:sz w:val="18"/>
                <w:szCs w:val="18"/>
                <w:highlight w:val="none"/>
              </w:rPr>
            </w:pPr>
            <w:r>
              <w:rPr>
                <w:rFonts w:hint="eastAsia" w:ascii="宋体" w:hAnsi="宋体" w:cs="Arial"/>
                <w:sz w:val="18"/>
                <w:szCs w:val="18"/>
                <w:highlight w:val="none"/>
              </w:rPr>
              <w:t>评价要求</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297" w:type="dxa"/>
            <w:tcBorders>
              <w:top w:val="single" w:color="auto" w:sz="8" w:space="0"/>
              <w:bottom w:val="single" w:color="auto" w:sz="6" w:space="0"/>
              <w:right w:val="single" w:color="auto" w:sz="6" w:space="0"/>
            </w:tcBorders>
            <w:vAlign w:val="center"/>
          </w:tcPr>
          <w:p>
            <w:pPr>
              <w:jc w:val="center"/>
              <w:rPr>
                <w:rFonts w:ascii="宋体" w:hAnsi="Times New Roman" w:cs="Times New Roman"/>
                <w:sz w:val="18"/>
                <w:szCs w:val="18"/>
                <w:highlight w:val="none"/>
              </w:rPr>
            </w:pPr>
            <w:r>
              <w:rPr>
                <w:rFonts w:ascii="宋体" w:hAnsi="Times New Roman" w:cs="Times New Roman"/>
                <w:sz w:val="18"/>
                <w:szCs w:val="18"/>
                <w:highlight w:val="none"/>
              </w:rPr>
              <w:t>[80，100)</w:t>
            </w:r>
          </w:p>
        </w:tc>
        <w:tc>
          <w:tcPr>
            <w:tcW w:w="1321" w:type="dxa"/>
            <w:tcBorders>
              <w:top w:val="single" w:color="auto" w:sz="8" w:space="0"/>
              <w:left w:val="single" w:color="auto" w:sz="6" w:space="0"/>
              <w:bottom w:val="single" w:color="auto" w:sz="6" w:space="0"/>
              <w:right w:val="single" w:color="auto" w:sz="6" w:space="0"/>
            </w:tcBorders>
            <w:vAlign w:val="center"/>
          </w:tcPr>
          <w:p>
            <w:pPr>
              <w:jc w:val="center"/>
              <w:rPr>
                <w:rFonts w:ascii="宋体" w:hAnsi="Times New Roman" w:cs="Times New Roman"/>
                <w:sz w:val="18"/>
                <w:szCs w:val="18"/>
                <w:highlight w:val="none"/>
              </w:rPr>
            </w:pPr>
            <w:r>
              <w:rPr>
                <w:rFonts w:ascii="宋体" w:hAnsi="Times New Roman" w:cs="Times New Roman"/>
                <w:sz w:val="18"/>
                <w:szCs w:val="18"/>
                <w:highlight w:val="none"/>
              </w:rPr>
              <w:t>A-</w:t>
            </w:r>
            <w:r>
              <w:rPr>
                <w:rFonts w:hint="eastAsia" w:ascii="宋体" w:hAnsi="Times New Roman" w:cs="Times New Roman"/>
                <w:sz w:val="18"/>
                <w:szCs w:val="18"/>
                <w:highlight w:val="none"/>
              </w:rPr>
              <w:t>完备</w:t>
            </w:r>
          </w:p>
        </w:tc>
        <w:tc>
          <w:tcPr>
            <w:tcW w:w="6733" w:type="dxa"/>
            <w:tcBorders>
              <w:top w:val="single" w:color="auto" w:sz="8" w:space="0"/>
              <w:left w:val="single" w:color="auto" w:sz="6" w:space="0"/>
              <w:bottom w:val="single" w:color="auto" w:sz="6" w:space="0"/>
            </w:tcBorders>
          </w:tcPr>
          <w:p>
            <w:pPr>
              <w:rPr>
                <w:rFonts w:ascii="宋体" w:hAnsi="宋体" w:cs="Arial"/>
                <w:sz w:val="18"/>
                <w:szCs w:val="18"/>
                <w:highlight w:val="none"/>
              </w:rPr>
            </w:pPr>
            <w:r>
              <w:rPr>
                <w:rFonts w:hint="eastAsia" w:ascii="宋体" w:hAnsi="宋体" w:cs="Arial"/>
                <w:sz w:val="18"/>
                <w:szCs w:val="18"/>
                <w:highlight w:val="none"/>
              </w:rPr>
              <w:t>全部内容基本满足各项合规披露原则和规范性要求的情况下，并在详细程度有所提升。此外，该级别碳披露信息披露企业有健全、完善的碳信息管理和披露的政策和体系，企业披露其各个方面的碳信息在透明度、时效性、保持历史</w:t>
            </w:r>
            <w:r>
              <w:rPr>
                <w:rFonts w:hint="eastAsia" w:ascii="宋体" w:hAnsi="宋体" w:cs="Arial"/>
                <w:sz w:val="18"/>
                <w:szCs w:val="18"/>
                <w:highlight w:val="none"/>
                <w:lang w:val="en-US" w:eastAsia="zh-CN"/>
              </w:rPr>
              <w:t>一贯性</w:t>
            </w:r>
            <w:r>
              <w:rPr>
                <w:rFonts w:hint="eastAsia" w:ascii="宋体" w:hAnsi="宋体" w:cs="Arial"/>
                <w:sz w:val="18"/>
                <w:szCs w:val="18"/>
                <w:highlight w:val="none"/>
              </w:rPr>
              <w:t>等方面较为突出，且披露的碳信息通常由第三方审核以确保可信度</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297" w:type="dxa"/>
            <w:tcBorders>
              <w:top w:val="single" w:color="auto" w:sz="6" w:space="0"/>
              <w:bottom w:val="single" w:color="auto" w:sz="6" w:space="0"/>
              <w:right w:val="single" w:color="auto" w:sz="6" w:space="0"/>
            </w:tcBorders>
            <w:vAlign w:val="center"/>
          </w:tcPr>
          <w:p>
            <w:pPr>
              <w:jc w:val="center"/>
              <w:rPr>
                <w:rFonts w:ascii="宋体" w:hAnsi="Times New Roman" w:cs="Times New Roman"/>
                <w:sz w:val="18"/>
                <w:szCs w:val="18"/>
                <w:highlight w:val="none"/>
              </w:rPr>
            </w:pPr>
            <w:r>
              <w:rPr>
                <w:rFonts w:ascii="宋体" w:hAnsi="Times New Roman" w:cs="Times New Roman"/>
                <w:sz w:val="18"/>
                <w:szCs w:val="18"/>
                <w:highlight w:val="none"/>
              </w:rPr>
              <w:t>[65</w:t>
            </w:r>
            <w:r>
              <w:rPr>
                <w:rFonts w:hint="eastAsia" w:ascii="Times New Roman" w:hAnsi="Times New Roman" w:eastAsia="宋体" w:cs="Times New Roman"/>
                <w:sz w:val="18"/>
                <w:szCs w:val="18"/>
                <w:highlight w:val="none"/>
              </w:rPr>
              <w:t>，</w:t>
            </w:r>
            <w:r>
              <w:rPr>
                <w:rFonts w:ascii="Times New Roman" w:hAnsi="Times New Roman" w:eastAsia="宋体" w:cs="Times New Roman"/>
                <w:sz w:val="18"/>
                <w:szCs w:val="18"/>
                <w:highlight w:val="none"/>
              </w:rPr>
              <w:t>80)</w:t>
            </w:r>
          </w:p>
        </w:tc>
        <w:tc>
          <w:tcPr>
            <w:tcW w:w="1321" w:type="dxa"/>
            <w:tcBorders>
              <w:top w:val="single" w:color="auto" w:sz="6" w:space="0"/>
              <w:left w:val="single" w:color="auto" w:sz="6" w:space="0"/>
              <w:bottom w:val="single" w:color="auto" w:sz="6" w:space="0"/>
              <w:right w:val="single" w:color="auto" w:sz="6" w:space="0"/>
            </w:tcBorders>
            <w:vAlign w:val="center"/>
          </w:tcPr>
          <w:p>
            <w:pPr>
              <w:jc w:val="center"/>
              <w:rPr>
                <w:rFonts w:ascii="宋体" w:hAnsi="Times New Roman" w:cs="Times New Roman"/>
                <w:sz w:val="18"/>
                <w:szCs w:val="18"/>
                <w:highlight w:val="none"/>
              </w:rPr>
            </w:pPr>
            <w:r>
              <w:rPr>
                <w:rFonts w:ascii="宋体" w:hAnsi="Times New Roman" w:cs="Times New Roman"/>
                <w:sz w:val="18"/>
                <w:szCs w:val="18"/>
                <w:highlight w:val="none"/>
              </w:rPr>
              <w:t>B-</w:t>
            </w:r>
            <w:r>
              <w:rPr>
                <w:rFonts w:hint="eastAsia" w:ascii="宋体" w:hAnsi="Times New Roman" w:cs="Times New Roman"/>
                <w:sz w:val="18"/>
                <w:szCs w:val="18"/>
                <w:highlight w:val="none"/>
              </w:rPr>
              <w:t>充分</w:t>
            </w:r>
          </w:p>
        </w:tc>
        <w:tc>
          <w:tcPr>
            <w:tcW w:w="6733" w:type="dxa"/>
            <w:tcBorders>
              <w:top w:val="single" w:color="auto" w:sz="6" w:space="0"/>
              <w:left w:val="single" w:color="auto" w:sz="6" w:space="0"/>
              <w:bottom w:val="single" w:color="auto" w:sz="6" w:space="0"/>
            </w:tcBorders>
          </w:tcPr>
          <w:p>
            <w:pPr>
              <w:rPr>
                <w:rFonts w:ascii="宋体" w:hAnsi="宋体" w:cs="Arial"/>
                <w:sz w:val="18"/>
                <w:szCs w:val="18"/>
                <w:highlight w:val="none"/>
              </w:rPr>
            </w:pPr>
            <w:r>
              <w:rPr>
                <w:rFonts w:hint="eastAsia" w:ascii="Times New Roman" w:hAnsi="宋体" w:cs="Arial"/>
                <w:sz w:val="18"/>
                <w:szCs w:val="18"/>
                <w:highlight w:val="none"/>
              </w:rPr>
              <w:t>全部内容</w:t>
            </w:r>
            <w:r>
              <w:rPr>
                <w:rFonts w:hint="eastAsia" w:ascii="宋体" w:hAnsi="宋体" w:cs="Arial"/>
                <w:sz w:val="18"/>
                <w:szCs w:val="18"/>
                <w:highlight w:val="none"/>
              </w:rPr>
              <w:t>基本满足各项合规披露原则和规范性要求。</w:t>
            </w:r>
            <w:r>
              <w:rPr>
                <w:rFonts w:hint="eastAsia" w:ascii="Times New Roman" w:hAnsi="宋体" w:cs="Arial"/>
                <w:sz w:val="18"/>
                <w:szCs w:val="18"/>
                <w:highlight w:val="none"/>
              </w:rPr>
              <w:t>企业内部已建立碳信息合规管理体系。依据行业最佳实践和相关参考标准，碳信息披露在详细程度仍有提升空间。披露的碳信息已完成自主或第三方验证</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297" w:type="dxa"/>
            <w:tcBorders>
              <w:top w:val="single" w:color="auto" w:sz="6" w:space="0"/>
              <w:bottom w:val="single" w:color="auto" w:sz="6" w:space="0"/>
              <w:right w:val="single" w:color="auto" w:sz="6" w:space="0"/>
            </w:tcBorders>
            <w:vAlign w:val="center"/>
          </w:tcPr>
          <w:p>
            <w:pPr>
              <w:jc w:val="center"/>
              <w:rPr>
                <w:rFonts w:ascii="宋体" w:hAnsi="Times New Roman" w:cs="Times New Roman"/>
                <w:sz w:val="18"/>
                <w:szCs w:val="18"/>
                <w:highlight w:val="none"/>
              </w:rPr>
            </w:pPr>
            <w:r>
              <w:rPr>
                <w:rFonts w:ascii="宋体" w:hAnsi="Times New Roman" w:cs="Times New Roman"/>
                <w:sz w:val="18"/>
                <w:szCs w:val="18"/>
                <w:highlight w:val="none"/>
              </w:rPr>
              <w:t>[45</w:t>
            </w:r>
            <w:r>
              <w:rPr>
                <w:rFonts w:hint="eastAsia" w:ascii="宋体" w:hAnsi="Times New Roman" w:cs="Times New Roman"/>
                <w:sz w:val="18"/>
                <w:szCs w:val="18"/>
                <w:highlight w:val="none"/>
              </w:rPr>
              <w:t>，</w:t>
            </w:r>
            <w:r>
              <w:rPr>
                <w:rFonts w:ascii="宋体" w:hAnsi="Times New Roman" w:cs="Times New Roman"/>
                <w:sz w:val="18"/>
                <w:szCs w:val="18"/>
                <w:highlight w:val="none"/>
              </w:rPr>
              <w:t>60)</w:t>
            </w:r>
          </w:p>
        </w:tc>
        <w:tc>
          <w:tcPr>
            <w:tcW w:w="1321" w:type="dxa"/>
            <w:tcBorders>
              <w:top w:val="single" w:color="auto" w:sz="6" w:space="0"/>
              <w:left w:val="single" w:color="auto" w:sz="6" w:space="0"/>
              <w:bottom w:val="single" w:color="auto" w:sz="6" w:space="0"/>
              <w:right w:val="single" w:color="auto" w:sz="6" w:space="0"/>
            </w:tcBorders>
            <w:vAlign w:val="center"/>
          </w:tcPr>
          <w:p>
            <w:pPr>
              <w:jc w:val="center"/>
              <w:rPr>
                <w:rFonts w:ascii="宋体" w:hAnsi="Times New Roman" w:cs="Times New Roman"/>
                <w:sz w:val="18"/>
                <w:szCs w:val="18"/>
                <w:highlight w:val="none"/>
              </w:rPr>
            </w:pPr>
            <w:r>
              <w:rPr>
                <w:rFonts w:ascii="宋体" w:hAnsi="Times New Roman" w:cs="Times New Roman"/>
                <w:sz w:val="18"/>
                <w:szCs w:val="18"/>
                <w:highlight w:val="none"/>
              </w:rPr>
              <w:t>C-</w:t>
            </w:r>
            <w:r>
              <w:rPr>
                <w:rFonts w:hint="eastAsia" w:ascii="宋体" w:hAnsi="Times New Roman" w:cs="Times New Roman"/>
                <w:sz w:val="18"/>
                <w:szCs w:val="18"/>
                <w:highlight w:val="none"/>
              </w:rPr>
              <w:t>合格</w:t>
            </w:r>
          </w:p>
        </w:tc>
        <w:tc>
          <w:tcPr>
            <w:tcW w:w="6733" w:type="dxa"/>
            <w:tcBorders>
              <w:top w:val="single" w:color="auto" w:sz="6" w:space="0"/>
              <w:left w:val="single" w:color="auto" w:sz="6" w:space="0"/>
              <w:bottom w:val="single" w:color="auto" w:sz="6" w:space="0"/>
            </w:tcBorders>
          </w:tcPr>
          <w:p>
            <w:pPr>
              <w:rPr>
                <w:rFonts w:ascii="宋体" w:hAnsi="宋体" w:cs="Arial"/>
                <w:sz w:val="18"/>
                <w:szCs w:val="18"/>
                <w:highlight w:val="none"/>
              </w:rPr>
            </w:pPr>
            <w:r>
              <w:rPr>
                <w:rFonts w:hint="eastAsia" w:ascii="Times New Roman" w:hAnsi="宋体" w:cs="Arial"/>
                <w:sz w:val="18"/>
                <w:szCs w:val="18"/>
                <w:highlight w:val="none"/>
              </w:rPr>
              <w:t>大部分内容基本满足合规披露原则和规范性要求，部分内容仍需对齐原则要求提升合规性。企业内已初步建立碳信息合规管理体系。披露的碳信息已完成自主或第三方验证</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1297" w:type="dxa"/>
            <w:tcBorders>
              <w:top w:val="single" w:color="auto" w:sz="6" w:space="0"/>
              <w:bottom w:val="single" w:color="auto" w:sz="8" w:space="0"/>
              <w:right w:val="single" w:color="auto" w:sz="6" w:space="0"/>
            </w:tcBorders>
            <w:vAlign w:val="center"/>
          </w:tcPr>
          <w:p>
            <w:pPr>
              <w:jc w:val="center"/>
              <w:rPr>
                <w:rFonts w:ascii="宋体" w:hAnsi="Times New Roman" w:cs="Times New Roman"/>
                <w:sz w:val="18"/>
                <w:szCs w:val="18"/>
                <w:highlight w:val="none"/>
              </w:rPr>
            </w:pPr>
            <w:r>
              <w:rPr>
                <w:rFonts w:ascii="宋体" w:hAnsi="Times New Roman" w:cs="Times New Roman"/>
                <w:sz w:val="18"/>
                <w:szCs w:val="18"/>
                <w:highlight w:val="none"/>
              </w:rPr>
              <w:t>[30，45)</w:t>
            </w:r>
          </w:p>
        </w:tc>
        <w:tc>
          <w:tcPr>
            <w:tcW w:w="1321" w:type="dxa"/>
            <w:tcBorders>
              <w:top w:val="single" w:color="auto" w:sz="6" w:space="0"/>
              <w:left w:val="single" w:color="auto" w:sz="6" w:space="0"/>
              <w:bottom w:val="single" w:color="auto" w:sz="8" w:space="0"/>
              <w:right w:val="single" w:color="auto" w:sz="6" w:space="0"/>
            </w:tcBorders>
            <w:vAlign w:val="center"/>
          </w:tcPr>
          <w:p>
            <w:pPr>
              <w:jc w:val="center"/>
              <w:rPr>
                <w:rFonts w:ascii="宋体" w:hAnsi="Times New Roman" w:cs="Times New Roman"/>
                <w:sz w:val="18"/>
                <w:szCs w:val="18"/>
                <w:highlight w:val="none"/>
              </w:rPr>
            </w:pPr>
            <w:r>
              <w:rPr>
                <w:rFonts w:ascii="宋体" w:hAnsi="Times New Roman" w:cs="Times New Roman"/>
                <w:sz w:val="18"/>
                <w:szCs w:val="18"/>
                <w:highlight w:val="none"/>
              </w:rPr>
              <w:t>D-</w:t>
            </w:r>
            <w:r>
              <w:rPr>
                <w:rFonts w:hint="eastAsia" w:ascii="宋体" w:hAnsi="Times New Roman" w:cs="Times New Roman"/>
                <w:sz w:val="18"/>
                <w:szCs w:val="18"/>
                <w:highlight w:val="none"/>
              </w:rPr>
              <w:t>有限</w:t>
            </w:r>
          </w:p>
        </w:tc>
        <w:tc>
          <w:tcPr>
            <w:tcW w:w="6733" w:type="dxa"/>
            <w:tcBorders>
              <w:top w:val="single" w:color="auto" w:sz="6" w:space="0"/>
              <w:left w:val="single" w:color="auto" w:sz="6" w:space="0"/>
              <w:bottom w:val="single" w:color="auto" w:sz="8" w:space="0"/>
            </w:tcBorders>
          </w:tcPr>
          <w:p>
            <w:pPr>
              <w:rPr>
                <w:rFonts w:ascii="宋体" w:hAnsi="宋体" w:cs="Arial"/>
                <w:b/>
                <w:bCs/>
                <w:sz w:val="18"/>
                <w:szCs w:val="18"/>
                <w:highlight w:val="none"/>
              </w:rPr>
            </w:pPr>
            <w:r>
              <w:rPr>
                <w:rFonts w:hint="eastAsia" w:ascii="宋体" w:hAnsi="宋体" w:cs="Arial"/>
                <w:sz w:val="18"/>
                <w:szCs w:val="18"/>
                <w:highlight w:val="none"/>
              </w:rPr>
              <w:t>披露内容仅满足</w:t>
            </w:r>
            <w:r>
              <w:rPr>
                <w:rFonts w:hint="eastAsia" w:ascii="Times New Roman" w:hAnsi="宋体" w:cs="Arial"/>
                <w:sz w:val="18"/>
                <w:szCs w:val="18"/>
                <w:highlight w:val="none"/>
              </w:rPr>
              <w:t>部分合规披露原则</w:t>
            </w:r>
            <w:r>
              <w:rPr>
                <w:rFonts w:hint="eastAsia" w:ascii="宋体" w:hAnsi="宋体" w:cs="Arial"/>
                <w:sz w:val="18"/>
                <w:szCs w:val="18"/>
                <w:highlight w:val="none"/>
              </w:rPr>
              <w:t>和规范性要求，如真实性、准确性，大部分内容并未遵照披露原则进行披露。企业内未建立碳信息管理体系。</w:t>
            </w:r>
            <w:r>
              <w:rPr>
                <w:rFonts w:hint="eastAsia" w:ascii="Times New Roman" w:hAnsi="宋体" w:cs="Arial"/>
                <w:sz w:val="18"/>
                <w:szCs w:val="18"/>
                <w:highlight w:val="none"/>
              </w:rPr>
              <w:t>披露的碳信息未经过自主或第三方验证</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9351" w:type="dxa"/>
            <w:gridSpan w:val="3"/>
            <w:tcBorders>
              <w:top w:val="single" w:color="auto" w:sz="8" w:space="0"/>
              <w:bottom w:val="single" w:color="auto" w:sz="8" w:space="0"/>
            </w:tcBorders>
          </w:tcPr>
          <w:p>
            <w:pPr>
              <w:ind w:left="420" w:leftChars="200"/>
              <w:rPr>
                <w:rFonts w:ascii="宋体" w:hAnsi="宋体" w:cs="Arial"/>
                <w:color w:val="1F2329"/>
                <w:sz w:val="18"/>
                <w:szCs w:val="18"/>
                <w:highlight w:val="none"/>
              </w:rPr>
            </w:pPr>
            <w:r>
              <w:rPr>
                <w:rFonts w:hint="eastAsia" w:ascii="黑体" w:hAnsi="黑体" w:eastAsia="黑体" w:cs="Arial"/>
                <w:color w:val="1F2329"/>
                <w:sz w:val="18"/>
                <w:szCs w:val="18"/>
                <w:highlight w:val="none"/>
              </w:rPr>
              <w:t>注</w:t>
            </w:r>
            <w:r>
              <w:rPr>
                <w:rFonts w:ascii="黑体" w:hAnsi="黑体" w:eastAsia="黑体" w:cs="Arial"/>
                <w:color w:val="1F2329"/>
                <w:sz w:val="18"/>
                <w:szCs w:val="18"/>
                <w:highlight w:val="none"/>
              </w:rPr>
              <w:t>1</w:t>
            </w:r>
            <w:r>
              <w:rPr>
                <w:rFonts w:hint="eastAsia" w:ascii="黑体" w:hAnsi="黑体" w:eastAsia="黑体" w:cs="Arial"/>
                <w:color w:val="1F2329"/>
                <w:sz w:val="18"/>
                <w:szCs w:val="18"/>
                <w:highlight w:val="none"/>
              </w:rPr>
              <w:t>：</w:t>
            </w:r>
            <w:r>
              <w:rPr>
                <w:rFonts w:hint="eastAsia" w:ascii="宋体" w:hAnsi="宋体" w:cs="Arial"/>
                <w:color w:val="1F2329"/>
                <w:sz w:val="18"/>
                <w:szCs w:val="18"/>
                <w:highlight w:val="none"/>
              </w:rPr>
              <w:t>规范性要求</w:t>
            </w:r>
            <w:r>
              <w:rPr>
                <w:rFonts w:hint="eastAsia" w:ascii="宋体" w:hAnsi="宋体" w:cs="Arial"/>
                <w:b/>
                <w:color w:val="1F2329"/>
                <w:sz w:val="18"/>
                <w:szCs w:val="18"/>
                <w:highlight w:val="none"/>
              </w:rPr>
              <w:t>应</w:t>
            </w:r>
            <w:r>
              <w:rPr>
                <w:rFonts w:hint="eastAsia" w:ascii="宋体" w:hAnsi="宋体" w:cs="Arial"/>
                <w:color w:val="1F2329"/>
                <w:sz w:val="18"/>
                <w:szCs w:val="18"/>
                <w:highlight w:val="none"/>
              </w:rPr>
              <w:t>满足附录</w:t>
            </w:r>
            <w:r>
              <w:rPr>
                <w:rFonts w:hint="eastAsia" w:ascii="宋体"/>
                <w:color w:val="1F2329"/>
                <w:sz w:val="18"/>
                <w:szCs w:val="18"/>
                <w:highlight w:val="none"/>
              </w:rPr>
              <w:t>D</w:t>
            </w:r>
            <w:r>
              <w:rPr>
                <w:rFonts w:ascii="宋体" w:hAnsi="宋体" w:cs="Arial"/>
                <w:color w:val="1F2329"/>
                <w:sz w:val="18"/>
                <w:szCs w:val="18"/>
                <w:highlight w:val="none"/>
              </w:rPr>
              <w:t>-</w:t>
            </w:r>
            <w:r>
              <w:rPr>
                <w:rFonts w:hint="eastAsia" w:ascii="宋体" w:hAnsi="宋体" w:cs="Arial"/>
                <w:color w:val="1F2329"/>
                <w:sz w:val="18"/>
                <w:szCs w:val="18"/>
                <w:highlight w:val="none"/>
              </w:rPr>
              <w:t>披露材料编制规范性的相关要求。</w:t>
            </w:r>
          </w:p>
          <w:p>
            <w:pPr>
              <w:ind w:left="420" w:leftChars="200"/>
              <w:rPr>
                <w:rFonts w:ascii="宋体" w:hAnsi="宋体" w:cs="Arial"/>
                <w:color w:val="1F2329"/>
                <w:sz w:val="18"/>
                <w:szCs w:val="18"/>
                <w:highlight w:val="none"/>
              </w:rPr>
            </w:pPr>
            <w:r>
              <w:rPr>
                <w:rFonts w:hint="eastAsia" w:ascii="黑体" w:hAnsi="黑体" w:eastAsia="黑体" w:cs="Arial"/>
                <w:color w:val="1F2329"/>
                <w:sz w:val="18"/>
                <w:szCs w:val="18"/>
                <w:highlight w:val="none"/>
              </w:rPr>
              <w:t>注</w:t>
            </w:r>
            <w:r>
              <w:rPr>
                <w:rFonts w:ascii="黑体" w:hAnsi="黑体" w:eastAsia="黑体" w:cs="Arial"/>
                <w:color w:val="1F2329"/>
                <w:sz w:val="18"/>
                <w:szCs w:val="18"/>
                <w:highlight w:val="none"/>
              </w:rPr>
              <w:t>2</w:t>
            </w:r>
            <w:r>
              <w:rPr>
                <w:rFonts w:hint="eastAsia" w:ascii="黑体" w:hAnsi="黑体" w:eastAsia="黑体" w:cs="Arial"/>
                <w:color w:val="1F2329"/>
                <w:sz w:val="18"/>
                <w:szCs w:val="18"/>
                <w:highlight w:val="none"/>
              </w:rPr>
              <w:t>：</w:t>
            </w:r>
            <w:r>
              <w:rPr>
                <w:rFonts w:hint="eastAsia" w:ascii="宋体" w:hAnsi="宋体" w:cs="Arial"/>
                <w:color w:val="1F2329"/>
                <w:sz w:val="18"/>
                <w:szCs w:val="18"/>
                <w:highlight w:val="none"/>
              </w:rPr>
              <w:t>附录B中“宜披露”的内容纳入评估范围。</w:t>
            </w:r>
          </w:p>
        </w:tc>
      </w:tr>
    </w:tbl>
    <w:p>
      <w:pPr>
        <w:pStyle w:val="2"/>
        <w:spacing w:before="240" w:after="240" w:line="240" w:lineRule="auto"/>
        <w:rPr>
          <w:rFonts w:ascii="黑体" w:hAnsi="黑体" w:eastAsia="黑体"/>
          <w:b w:val="0"/>
          <w:sz w:val="21"/>
          <w:szCs w:val="21"/>
          <w:highlight w:val="none"/>
        </w:rPr>
      </w:pPr>
      <w:bookmarkStart w:id="63" w:name="_Toc166611394"/>
      <w:r>
        <w:rPr>
          <w:rFonts w:ascii="黑体" w:hAnsi="黑体" w:eastAsia="黑体"/>
          <w:b w:val="0"/>
          <w:sz w:val="21"/>
          <w:szCs w:val="21"/>
          <w:highlight w:val="none"/>
        </w:rPr>
        <w:t>10.</w:t>
      </w:r>
      <w:r>
        <w:rPr>
          <w:rFonts w:hint="eastAsia" w:ascii="黑体" w:hAnsi="黑体" w:eastAsia="黑体"/>
          <w:b w:val="0"/>
          <w:sz w:val="21"/>
          <w:szCs w:val="21"/>
          <w:highlight w:val="none"/>
        </w:rPr>
        <w:t xml:space="preserve"> 社会监督</w:t>
      </w:r>
      <w:bookmarkEnd w:id="63"/>
    </w:p>
    <w:p>
      <w:pPr>
        <w:ind w:firstLine="420"/>
        <w:rPr>
          <w:rFonts w:ascii="宋体" w:hAnsi="宋体" w:cs="Arial"/>
          <w:szCs w:val="21"/>
          <w:highlight w:val="none"/>
        </w:rPr>
      </w:pPr>
      <w:r>
        <w:rPr>
          <w:rFonts w:hint="eastAsia" w:ascii="宋体" w:hAnsi="宋体" w:cs="Arial"/>
          <w:szCs w:val="21"/>
          <w:highlight w:val="none"/>
        </w:rPr>
        <w:t>披露主体宜提供社会监督联系方式，以接收利益相关方对所披露信息的关切或建议。</w:t>
      </w:r>
    </w:p>
    <w:p>
      <w:pPr>
        <w:widowControl/>
        <w:ind w:firstLine="420"/>
        <w:jc w:val="left"/>
        <w:rPr>
          <w:rFonts w:ascii="宋体" w:hAnsi="宋体" w:cs="Arial"/>
          <w:szCs w:val="21"/>
          <w:highlight w:val="none"/>
        </w:rPr>
      </w:pPr>
      <w:r>
        <w:rPr>
          <w:rFonts w:hint="eastAsia" w:ascii="宋体" w:hAnsi="宋体" w:cs="Arial"/>
          <w:szCs w:val="21"/>
          <w:highlight w:val="none"/>
        </w:rPr>
        <w:t>作为利益相关方，有关机构或个人也可以根据本文件提供的基本原则和评价方法对企业披露碳信息提出问题或建议。</w:t>
      </w:r>
    </w:p>
    <w:p>
      <w:pPr>
        <w:widowControl/>
        <w:spacing w:after="0"/>
        <w:ind w:right="172"/>
        <w:jc w:val="left"/>
        <w:outlineLvl w:val="0"/>
        <w:rPr>
          <w:rFonts w:hint="eastAsia" w:ascii="黑体" w:hAnsi="黑体" w:eastAsia="黑体" w:cs="黑体"/>
          <w:spacing w:val="51"/>
          <w:highlight w:val="none"/>
        </w:rPr>
      </w:pPr>
      <w:r>
        <w:rPr>
          <w:rFonts w:ascii="宋体" w:hAnsi="宋体" w:cs="Arial"/>
          <w:szCs w:val="21"/>
          <w:highlight w:val="none"/>
        </w:rPr>
        <w:br w:type="page"/>
      </w:r>
      <w:bookmarkStart w:id="64" w:name="_Toc166611395"/>
      <w:bookmarkStart w:id="65" w:name="_Toc27727"/>
    </w:p>
    <w:p>
      <w:pPr>
        <w:pStyle w:val="14"/>
        <w:spacing w:after="0"/>
        <w:ind w:right="172"/>
        <w:jc w:val="center"/>
        <w:outlineLvl w:val="0"/>
        <w:rPr>
          <w:rFonts w:ascii="黑体" w:hAnsi="黑体" w:eastAsia="黑体" w:cs="黑体"/>
          <w:spacing w:val="-1"/>
          <w:highlight w:val="none"/>
        </w:rPr>
      </w:pPr>
      <w:r>
        <w:rPr>
          <w:rFonts w:hint="eastAsia" w:ascii="黑体" w:hAnsi="黑体" w:eastAsia="黑体" w:cs="黑体"/>
          <w:spacing w:val="51"/>
          <w:highlight w:val="none"/>
        </w:rPr>
        <w:t>附 录</w:t>
      </w:r>
      <w:r>
        <w:rPr>
          <w:rFonts w:hint="eastAsia" w:ascii="Times New Roman" w:hAnsi="Times New Roman" w:eastAsia="黑体" w:cs="Times New Roman"/>
          <w:spacing w:val="51"/>
          <w:highlight w:val="none"/>
        </w:rPr>
        <w:t>A</w:t>
      </w:r>
    </w:p>
    <w:p>
      <w:pPr>
        <w:pStyle w:val="14"/>
        <w:spacing w:after="0"/>
        <w:ind w:right="172"/>
        <w:jc w:val="center"/>
        <w:rPr>
          <w:rFonts w:ascii="黑体" w:hAnsi="黑体" w:eastAsia="黑体" w:cs="黑体"/>
          <w:spacing w:val="-102"/>
          <w:highlight w:val="none"/>
        </w:rPr>
      </w:pPr>
      <w:r>
        <w:rPr>
          <w:rFonts w:hint="eastAsia" w:ascii="黑体" w:hAnsi="黑体" w:eastAsia="黑体" w:cs="黑体"/>
          <w:spacing w:val="-1"/>
          <w:highlight w:val="none"/>
        </w:rPr>
        <w:t>（资料性</w:t>
      </w:r>
      <w:r>
        <w:rPr>
          <w:rFonts w:hint="eastAsia" w:ascii="黑体" w:hAnsi="黑体" w:eastAsia="黑体" w:cs="黑体"/>
          <w:highlight w:val="none"/>
        </w:rPr>
        <w:t>）</w:t>
      </w:r>
    </w:p>
    <w:p>
      <w:pPr>
        <w:widowControl/>
        <w:jc w:val="center"/>
        <w:rPr>
          <w:rFonts w:hint="eastAsia" w:ascii="黑体" w:hAnsi="黑体" w:eastAsia="黑体"/>
          <w:spacing w:val="-1"/>
          <w:highlight w:val="none"/>
        </w:rPr>
      </w:pPr>
      <w:r>
        <w:rPr>
          <w:rFonts w:hint="eastAsia" w:ascii="黑体" w:hAnsi="黑体" w:eastAsia="黑体"/>
          <w:spacing w:val="-1"/>
          <w:highlight w:val="none"/>
        </w:rPr>
        <w:t>达成净零排放（3.2.1）和/或碳中和（3.2.2）要求和行动优先级</w:t>
      </w:r>
    </w:p>
    <w:p>
      <w:pPr>
        <w:spacing w:before="240"/>
        <w:rPr>
          <w:rFonts w:ascii="黑体" w:hAnsi="黑体" w:eastAsia="黑体" w:cs="Arial"/>
          <w:szCs w:val="21"/>
          <w:highlight w:val="none"/>
        </w:rPr>
      </w:pPr>
      <w:r>
        <w:rPr>
          <w:rFonts w:hint="eastAsia" w:ascii="黑体" w:hAnsi="黑体" w:eastAsia="黑体" w:cs="Arial"/>
          <w:szCs w:val="21"/>
          <w:highlight w:val="none"/>
        </w:rPr>
        <w:t>A.1 碳中和与净零排放的要求</w:t>
      </w:r>
    </w:p>
    <w:p>
      <w:pPr>
        <w:spacing w:before="120"/>
        <w:ind w:left="0" w:firstLine="424" w:firstLineChars="202"/>
        <w:rPr>
          <w:rFonts w:eastAsiaTheme="minorEastAsia"/>
          <w:highlight w:val="none"/>
        </w:rPr>
      </w:pPr>
      <w:r>
        <w:rPr>
          <w:rFonts w:hint="eastAsia" w:eastAsiaTheme="minorEastAsia"/>
          <w:highlight w:val="none"/>
        </w:rPr>
        <w:t>根据</w:t>
      </w:r>
      <w:r>
        <w:rPr>
          <w:rFonts w:eastAsiaTheme="minorEastAsia"/>
          <w:highlight w:val="none"/>
        </w:rPr>
        <w:t>ISO IWA 42:2022</w:t>
      </w:r>
      <w:r>
        <w:rPr>
          <w:rFonts w:hint="eastAsia" w:eastAsiaTheme="minorEastAsia"/>
          <w:highlight w:val="none"/>
        </w:rPr>
        <w:t>相关要求，当描述主体排放减少至仅有残留排放（3.1.8）的水平，且与其价值链以内和以外的碳移除量（3.2.5）处于平衡状态，可主张其达成</w:t>
      </w:r>
      <w:r>
        <w:rPr>
          <w:rFonts w:hint="eastAsia" w:eastAsiaTheme="minorEastAsia"/>
          <w:b/>
          <w:bCs/>
          <w:highlight w:val="none"/>
        </w:rPr>
        <w:t>净零排放</w:t>
      </w:r>
      <w:r>
        <w:rPr>
          <w:rFonts w:hint="eastAsia" w:eastAsiaTheme="minorEastAsia"/>
          <w:highlight w:val="none"/>
        </w:rPr>
        <w:t>（3.2.1），且亦满足</w:t>
      </w:r>
      <w:r>
        <w:rPr>
          <w:rFonts w:eastAsiaTheme="minorEastAsia"/>
          <w:highlight w:val="none"/>
        </w:rPr>
        <w:t>ISO 14068-1:2018</w:t>
      </w:r>
      <w:r>
        <w:rPr>
          <w:rFonts w:hint="eastAsia" w:eastAsiaTheme="minorEastAsia"/>
          <w:highlight w:val="none"/>
        </w:rPr>
        <w:t>有关碳中和的定义，亦可主张达成</w:t>
      </w:r>
      <w:r>
        <w:rPr>
          <w:rFonts w:hint="eastAsia" w:eastAsiaTheme="minorEastAsia"/>
          <w:b/>
          <w:bCs/>
          <w:highlight w:val="none"/>
        </w:rPr>
        <w:t>碳中和</w:t>
      </w:r>
      <w:r>
        <w:rPr>
          <w:rFonts w:hint="eastAsia" w:eastAsiaTheme="minorEastAsia"/>
          <w:highlight w:val="none"/>
        </w:rPr>
        <w:t>（3.2.2）。</w:t>
      </w:r>
    </w:p>
    <w:p>
      <w:pPr>
        <w:spacing w:before="120"/>
        <w:ind w:firstLine="424" w:firstLineChars="202"/>
        <w:rPr>
          <w:rFonts w:eastAsiaTheme="minorEastAsia"/>
          <w:highlight w:val="none"/>
        </w:rPr>
      </w:pPr>
      <w:r>
        <w:rPr>
          <w:rFonts w:hint="eastAsia" w:eastAsiaTheme="minorEastAsia"/>
          <w:highlight w:val="none"/>
        </w:rPr>
        <w:t>当描述主体剩余排放（3.1.7）高于残留排放（3.1.8）时，若与其价值链以内和以外的碳移除量处于平衡状态，可主张达成</w:t>
      </w:r>
      <w:r>
        <w:rPr>
          <w:rFonts w:hint="eastAsia" w:eastAsiaTheme="minorEastAsia"/>
          <w:b/>
          <w:bCs/>
          <w:highlight w:val="none"/>
        </w:rPr>
        <w:t>碳中和</w:t>
      </w:r>
      <w:r>
        <w:rPr>
          <w:rFonts w:hint="eastAsia" w:eastAsiaTheme="minorEastAsia"/>
          <w:highlight w:val="none"/>
        </w:rPr>
        <w:t>（3.2.2），但不应主张达成</w:t>
      </w:r>
      <w:r>
        <w:rPr>
          <w:rFonts w:hint="eastAsia" w:eastAsiaTheme="minorEastAsia"/>
          <w:b/>
          <w:bCs/>
          <w:highlight w:val="none"/>
        </w:rPr>
        <w:t>净零排放</w:t>
      </w:r>
      <w:r>
        <w:rPr>
          <w:rFonts w:hint="eastAsia" w:eastAsiaTheme="minorEastAsia"/>
          <w:highlight w:val="none"/>
        </w:rPr>
        <w:t>（3.2.1）。相关术语之间关系参见图A.1。</w:t>
      </w:r>
    </w:p>
    <w:p>
      <w:pPr>
        <w:spacing w:before="156" w:beforeLines="50" w:after="156" w:afterLines="50"/>
        <w:jc w:val="center"/>
        <w:rPr>
          <w:rFonts w:hint="eastAsia" w:eastAsiaTheme="minorEastAsia"/>
          <w:highlight w:val="none"/>
        </w:rPr>
      </w:pPr>
      <w:r>
        <w:rPr>
          <w:rFonts w:hint="eastAsia" w:ascii="黑体" w:hAnsi="黑体" w:eastAsia="黑体" w:cs="Arial"/>
          <w:bCs/>
          <w:szCs w:val="21"/>
          <w:highlight w:val="none"/>
        </w:rPr>
        <w:t>图A.1 实现碳中和或净零排放排放行动包含的各类行动</w:t>
      </w:r>
    </w:p>
    <w:p>
      <w:pPr>
        <w:spacing w:before="240"/>
        <w:ind w:firstLine="424" w:firstLineChars="202"/>
        <w:rPr>
          <w:rFonts w:eastAsiaTheme="minorEastAsia"/>
          <w:highlight w:val="none"/>
        </w:rPr>
      </w:pPr>
      <w:r>
        <w:rPr>
          <w:rFonts w:ascii="宋体" w:hAnsi="宋体" w:cs="Arial"/>
          <w:szCs w:val="21"/>
          <w:highlight w:val="none"/>
        </w:rPr>
        <mc:AlternateContent>
          <mc:Choice Requires="wpg">
            <w:drawing>
              <wp:inline distT="0" distB="0" distL="0" distR="0">
                <wp:extent cx="5816600" cy="2694305"/>
                <wp:effectExtent l="0" t="38100" r="0" b="0"/>
                <wp:docPr id="1829131751" name="组合 11"/>
                <wp:cNvGraphicFramePr/>
                <a:graphic xmlns:a="http://schemas.openxmlformats.org/drawingml/2006/main">
                  <a:graphicData uri="http://schemas.microsoft.com/office/word/2010/wordprocessingGroup">
                    <wpg:wgp>
                      <wpg:cNvGrpSpPr/>
                      <wpg:grpSpPr>
                        <a:xfrm>
                          <a:off x="0" y="0"/>
                          <a:ext cx="5817098" cy="2694589"/>
                          <a:chOff x="0" y="0"/>
                          <a:chExt cx="6286691" cy="3016290"/>
                        </a:xfrm>
                      </wpg:grpSpPr>
                      <wpg:grpSp>
                        <wpg:cNvPr id="1157208771" name="组合 10"/>
                        <wpg:cNvGrpSpPr/>
                        <wpg:grpSpPr>
                          <a:xfrm>
                            <a:off x="567359" y="0"/>
                            <a:ext cx="5502352" cy="2947811"/>
                            <a:chOff x="0" y="0"/>
                            <a:chExt cx="6479406" cy="3472016"/>
                          </a:xfrm>
                        </wpg:grpSpPr>
                        <wps:wsp>
                          <wps:cNvPr id="1816457779" name="矩形 1816457779"/>
                          <wps:cNvSpPr/>
                          <wps:spPr>
                            <a:xfrm>
                              <a:off x="1" y="2166509"/>
                              <a:ext cx="4101964" cy="573695"/>
                            </a:xfrm>
                            <a:prstGeom prst="rect">
                              <a:avLst/>
                            </a:prstGeom>
                            <a:pattFill prst="pct80">
                              <a:fgClr>
                                <a:schemeClr val="accent1"/>
                              </a:fgClr>
                              <a:bgClr>
                                <a:schemeClr val="bg1"/>
                              </a:bgClr>
                            </a:patt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40994450" name="矩形 340994450"/>
                          <wps:cNvSpPr/>
                          <wps:spPr>
                            <a:xfrm>
                              <a:off x="0" y="1169350"/>
                              <a:ext cx="4101965" cy="982564"/>
                            </a:xfrm>
                            <a:prstGeom prst="rect">
                              <a:avLst/>
                            </a:prstGeom>
                            <a:pattFill prst="pct10">
                              <a:fgClr>
                                <a:schemeClr val="accent1"/>
                              </a:fgClr>
                              <a:bgClr>
                                <a:schemeClr val="bg1"/>
                              </a:bgClr>
                            </a:patt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88515792" name="矩形 1388515792"/>
                          <wps:cNvSpPr/>
                          <wps:spPr>
                            <a:xfrm>
                              <a:off x="0" y="1757642"/>
                              <a:ext cx="4101965" cy="394282"/>
                            </a:xfrm>
                            <a:prstGeom prst="rect">
                              <a:avLst/>
                            </a:prstGeom>
                            <a:pattFill prst="ltUpDiag">
                              <a:fgClr>
                                <a:schemeClr val="accent1"/>
                              </a:fgClr>
                              <a:bgClr>
                                <a:schemeClr val="bg1"/>
                              </a:bgClr>
                            </a:pattFill>
                            <a:ln w="635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57937662" name="矩形 2057937662"/>
                          <wps:cNvSpPr/>
                          <wps:spPr>
                            <a:xfrm>
                              <a:off x="0" y="590230"/>
                              <a:ext cx="4101965" cy="1561684"/>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93184" name="直接箭头连接符 15693184"/>
                          <wps:cNvCnPr/>
                          <wps:spPr>
                            <a:xfrm flipV="1">
                              <a:off x="4101967" y="371260"/>
                              <a:ext cx="0" cy="3100756"/>
                            </a:xfrm>
                            <a:prstGeom prst="straightConnector1">
                              <a:avLst/>
                            </a:prstGeom>
                            <a:ln w="12700">
                              <a:solidFill>
                                <a:schemeClr val="tx1"/>
                              </a:solidFill>
                              <a:headEnd type="none" w="med" len="med"/>
                              <a:tailEnd type="none" w="med" len="med"/>
                            </a:ln>
                          </wps:spPr>
                          <wps:style>
                            <a:lnRef idx="2">
                              <a:schemeClr val="accent1"/>
                            </a:lnRef>
                            <a:fillRef idx="0">
                              <a:schemeClr val="accent1"/>
                            </a:fillRef>
                            <a:effectRef idx="1">
                              <a:schemeClr val="accent1"/>
                            </a:effectRef>
                            <a:fontRef idx="minor">
                              <a:schemeClr val="tx1"/>
                            </a:fontRef>
                          </wps:style>
                          <wps:bodyPr/>
                        </wps:wsp>
                        <wps:wsp>
                          <wps:cNvPr id="1309460890" name="矩形 1309460890"/>
                          <wps:cNvSpPr/>
                          <wps:spPr>
                            <a:xfrm>
                              <a:off x="4101967" y="783680"/>
                              <a:ext cx="1824439" cy="1368234"/>
                            </a:xfrm>
                            <a:prstGeom prst="rect">
                              <a:avLst/>
                            </a:prstGeom>
                            <a:noFill/>
                            <a:ln w="63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29955366" name="矩形 1329955366"/>
                          <wps:cNvSpPr/>
                          <wps:spPr>
                            <a:xfrm>
                              <a:off x="4101967" y="1545680"/>
                              <a:ext cx="1824438" cy="606233"/>
                            </a:xfrm>
                            <a:prstGeom prst="rect">
                              <a:avLst/>
                            </a:prstGeom>
                            <a:pattFill prst="wdDnDiag">
                              <a:fgClr>
                                <a:schemeClr val="accent6"/>
                              </a:fgClr>
                              <a:bgClr>
                                <a:schemeClr val="bg1"/>
                              </a:bgClr>
                            </a:pattFill>
                            <a:ln w="63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6382418" name="直接箭头连接符 86382418"/>
                          <wps:cNvCnPr/>
                          <wps:spPr>
                            <a:xfrm>
                              <a:off x="0" y="2151933"/>
                              <a:ext cx="6479406" cy="0"/>
                            </a:xfrm>
                            <a:prstGeom prst="straightConnector1">
                              <a:avLst/>
                            </a:prstGeom>
                            <a:ln w="28575">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1600967202" name="直接箭头连接符 1600967202"/>
                          <wps:cNvCnPr/>
                          <wps:spPr>
                            <a:xfrm flipV="1">
                              <a:off x="0" y="0"/>
                              <a:ext cx="0" cy="3398864"/>
                            </a:xfrm>
                            <a:prstGeom prst="straightConnector1">
                              <a:avLst/>
                            </a:prstGeom>
                            <a:ln w="28575">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123661108" name="直接箭头连接符 123661108"/>
                          <wps:cNvCnPr/>
                          <wps:spPr>
                            <a:xfrm>
                              <a:off x="474846" y="590230"/>
                              <a:ext cx="0" cy="579120"/>
                            </a:xfrm>
                            <a:prstGeom prst="straightConnector1">
                              <a:avLst/>
                            </a:prstGeom>
                            <a:ln w="9525">
                              <a:prstDash val="sysDash"/>
                              <a:tailEnd type="triangle"/>
                            </a:ln>
                          </wps:spPr>
                          <wps:style>
                            <a:lnRef idx="2">
                              <a:schemeClr val="accent1"/>
                            </a:lnRef>
                            <a:fillRef idx="0">
                              <a:schemeClr val="accent1"/>
                            </a:fillRef>
                            <a:effectRef idx="1">
                              <a:schemeClr val="accent1"/>
                            </a:effectRef>
                            <a:fontRef idx="minor">
                              <a:schemeClr val="tx1"/>
                            </a:fontRef>
                          </wps:style>
                          <wps:bodyPr/>
                        </wps:wsp>
                        <wps:wsp>
                          <wps:cNvPr id="45145865" name="直接箭头连接符 45145865"/>
                          <wps:cNvCnPr/>
                          <wps:spPr>
                            <a:xfrm>
                              <a:off x="4629244" y="801968"/>
                              <a:ext cx="0" cy="743712"/>
                            </a:xfrm>
                            <a:prstGeom prst="straightConnector1">
                              <a:avLst/>
                            </a:prstGeom>
                            <a:ln w="9525">
                              <a:solidFill>
                                <a:schemeClr val="accent6"/>
                              </a:solidFill>
                              <a:prstDash val="sysDash"/>
                              <a:tailEnd type="triangle"/>
                            </a:ln>
                          </wps:spPr>
                          <wps:style>
                            <a:lnRef idx="2">
                              <a:schemeClr val="accent1"/>
                            </a:lnRef>
                            <a:fillRef idx="0">
                              <a:schemeClr val="accent1"/>
                            </a:fillRef>
                            <a:effectRef idx="1">
                              <a:schemeClr val="accent1"/>
                            </a:effectRef>
                            <a:fontRef idx="minor">
                              <a:schemeClr val="tx1"/>
                            </a:fontRef>
                          </wps:style>
                          <wps:bodyPr/>
                        </wps:wsp>
                        <wps:wsp>
                          <wps:cNvPr id="852951863" name="矩形 852951863"/>
                          <wps:cNvSpPr/>
                          <wps:spPr>
                            <a:xfrm>
                              <a:off x="4101967" y="2166510"/>
                              <a:ext cx="1824438" cy="394282"/>
                            </a:xfrm>
                            <a:prstGeom prst="rect">
                              <a:avLst/>
                            </a:prstGeom>
                            <a:pattFill prst="pct80">
                              <a:fgClr>
                                <a:schemeClr val="accent6">
                                  <a:lumMod val="75000"/>
                                </a:schemeClr>
                              </a:fgClr>
                              <a:bgClr>
                                <a:schemeClr val="bg1"/>
                              </a:bgClr>
                            </a:patt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22062334" name="直接箭头连接符 2022062334"/>
                          <wps:cNvCnPr/>
                          <wps:spPr>
                            <a:xfrm>
                              <a:off x="60318" y="3270848"/>
                              <a:ext cx="4041647" cy="0"/>
                            </a:xfrm>
                            <a:prstGeom prst="straightConnector1">
                              <a:avLst/>
                            </a:prstGeom>
                            <a:ln w="9525">
                              <a:prstDash val="lgDash"/>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1517356038" name="直接箭头连接符 1517356038"/>
                          <wps:cNvCnPr/>
                          <wps:spPr>
                            <a:xfrm flipV="1">
                              <a:off x="5920310" y="371260"/>
                              <a:ext cx="0" cy="3100756"/>
                            </a:xfrm>
                            <a:prstGeom prst="straightConnector1">
                              <a:avLst/>
                            </a:prstGeom>
                            <a:ln w="12700">
                              <a:solidFill>
                                <a:schemeClr val="tx1"/>
                              </a:solidFill>
                              <a:headEnd type="none" w="med" len="med"/>
                              <a:tailEnd type="none" w="med" len="med"/>
                            </a:ln>
                          </wps:spPr>
                          <wps:style>
                            <a:lnRef idx="2">
                              <a:schemeClr val="accent1"/>
                            </a:lnRef>
                            <a:fillRef idx="0">
                              <a:schemeClr val="accent1"/>
                            </a:fillRef>
                            <a:effectRef idx="1">
                              <a:schemeClr val="accent1"/>
                            </a:effectRef>
                            <a:fontRef idx="minor">
                              <a:schemeClr val="tx1"/>
                            </a:fontRef>
                          </wps:style>
                          <wps:bodyPr/>
                        </wps:wsp>
                        <wps:wsp>
                          <wps:cNvPr id="694157472" name="直接箭头连接符 694157472"/>
                          <wps:cNvCnPr/>
                          <wps:spPr>
                            <a:xfrm>
                              <a:off x="4101965" y="3270848"/>
                              <a:ext cx="1818345" cy="0"/>
                            </a:xfrm>
                            <a:prstGeom prst="straightConnector1">
                              <a:avLst/>
                            </a:prstGeom>
                            <a:ln w="9525">
                              <a:solidFill>
                                <a:schemeClr val="accent6"/>
                              </a:solidFill>
                              <a:prstDash val="lgDash"/>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856827658" name="矩形 856827658"/>
                          <wps:cNvSpPr/>
                          <wps:spPr>
                            <a:xfrm>
                              <a:off x="1224654" y="3106256"/>
                              <a:ext cx="2066541" cy="29260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43147260" name="矩形 2143147260"/>
                          <wps:cNvSpPr/>
                          <wps:spPr>
                            <a:xfrm>
                              <a:off x="4356689" y="3106256"/>
                              <a:ext cx="1348526" cy="29260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2052981640" name="文本框 2"/>
                        <wps:cNvSpPr txBox="1">
                          <a:spLocks noChangeArrowheads="1"/>
                        </wps:cNvSpPr>
                        <wps:spPr bwMode="auto">
                          <a:xfrm>
                            <a:off x="1563757" y="2652091"/>
                            <a:ext cx="1732280" cy="298450"/>
                          </a:xfrm>
                          <a:prstGeom prst="rect">
                            <a:avLst/>
                          </a:prstGeom>
                          <a:solidFill>
                            <a:srgbClr val="FFFFFF"/>
                          </a:solidFill>
                          <a:ln w="9525">
                            <a:noFill/>
                            <a:miter lim="800000"/>
                          </a:ln>
                        </wps:spPr>
                        <wps:txbx>
                          <w:txbxContent>
                            <w:p>
                              <w:pPr>
                                <w:jc w:val="center"/>
                                <w:rPr>
                                  <w:rFonts w:hint="eastAsia" w:ascii="黑体" w:hAnsi="黑体" w:eastAsia="黑体"/>
                                  <w:b/>
                                  <w:bCs/>
                                  <w:sz w:val="20"/>
                                  <w:szCs w:val="22"/>
                                </w:rPr>
                              </w:pPr>
                              <w:r>
                                <w:rPr>
                                  <w:rFonts w:hint="eastAsia" w:ascii="黑体" w:hAnsi="黑体" w:eastAsia="黑体"/>
                                  <w:b/>
                                  <w:bCs/>
                                  <w:sz w:val="20"/>
                                  <w:szCs w:val="22"/>
                                </w:rPr>
                                <w:t>价值链（边界）范围以内</w:t>
                              </w:r>
                            </w:p>
                          </w:txbxContent>
                        </wps:txbx>
                        <wps:bodyPr rot="0" vert="horz" wrap="square" lIns="91440" tIns="45720" rIns="91440" bIns="45720" anchor="t" anchorCtr="0">
                          <a:noAutofit/>
                        </wps:bodyPr>
                      </wps:wsp>
                      <wps:wsp>
                        <wps:cNvPr id="200146422" name="文本框 2"/>
                        <wps:cNvSpPr txBox="1">
                          <a:spLocks noChangeArrowheads="1"/>
                        </wps:cNvSpPr>
                        <wps:spPr bwMode="auto">
                          <a:xfrm>
                            <a:off x="4260538" y="2519086"/>
                            <a:ext cx="1151726" cy="497204"/>
                          </a:xfrm>
                          <a:prstGeom prst="rect">
                            <a:avLst/>
                          </a:prstGeom>
                          <a:solidFill>
                            <a:srgbClr val="FFFFFF"/>
                          </a:solidFill>
                          <a:ln w="9525">
                            <a:noFill/>
                            <a:miter lim="800000"/>
                          </a:ln>
                        </wps:spPr>
                        <wps:txbx>
                          <w:txbxContent>
                            <w:p>
                              <w:pPr>
                                <w:jc w:val="center"/>
                                <w:rPr>
                                  <w:rFonts w:hint="eastAsia" w:ascii="黑体" w:hAnsi="黑体" w:eastAsia="黑体"/>
                                  <w:b/>
                                  <w:bCs/>
                                  <w:sz w:val="20"/>
                                  <w:szCs w:val="22"/>
                                </w:rPr>
                              </w:pPr>
                              <w:r>
                                <w:rPr>
                                  <w:rFonts w:hint="eastAsia" w:ascii="黑体" w:hAnsi="黑体" w:eastAsia="黑体"/>
                                  <w:b/>
                                  <w:bCs/>
                                  <w:sz w:val="20"/>
                                  <w:szCs w:val="22"/>
                                </w:rPr>
                                <w:t>价值链（边界）范围以外</w:t>
                              </w:r>
                            </w:p>
                          </w:txbxContent>
                        </wps:txbx>
                        <wps:bodyPr rot="0" vert="horz" wrap="square" lIns="72000" tIns="36000" rIns="72000" bIns="36000" anchor="t" anchorCtr="0">
                          <a:noAutofit/>
                        </wps:bodyPr>
                      </wps:wsp>
                      <wps:wsp>
                        <wps:cNvPr id="994327871" name="文本框 2"/>
                        <wps:cNvSpPr txBox="1">
                          <a:spLocks noChangeArrowheads="1"/>
                        </wps:cNvSpPr>
                        <wps:spPr bwMode="auto">
                          <a:xfrm>
                            <a:off x="1630018" y="266700"/>
                            <a:ext cx="1732280" cy="298450"/>
                          </a:xfrm>
                          <a:prstGeom prst="rect">
                            <a:avLst/>
                          </a:prstGeom>
                          <a:noFill/>
                          <a:ln w="9525">
                            <a:noFill/>
                            <a:miter lim="800000"/>
                          </a:ln>
                        </wps:spPr>
                        <wps:txbx>
                          <w:txbxContent>
                            <w:p>
                              <w:pPr>
                                <w:jc w:val="center"/>
                                <w:rPr>
                                  <w:rFonts w:hint="eastAsia" w:ascii="黑体" w:hAnsi="黑体" w:eastAsia="黑体"/>
                                  <w:b/>
                                  <w:bCs/>
                                  <w:sz w:val="18"/>
                                  <w:szCs w:val="21"/>
                                </w:rPr>
                              </w:pPr>
                              <w:r>
                                <w:rPr>
                                  <w:rFonts w:hint="eastAsia" w:ascii="黑体" w:hAnsi="黑体" w:eastAsia="黑体"/>
                                  <w:b/>
                                  <w:bCs/>
                                  <w:sz w:val="18"/>
                                  <w:szCs w:val="21"/>
                                </w:rPr>
                                <w:t>基准年排放量</w:t>
                              </w:r>
                            </w:p>
                          </w:txbxContent>
                        </wps:txbx>
                        <wps:bodyPr rot="0" vert="horz" wrap="square" lIns="91440" tIns="45720" rIns="91440" bIns="45720" anchor="t" anchorCtr="0">
                          <a:noAutofit/>
                        </wps:bodyPr>
                      </wps:wsp>
                      <wps:wsp>
                        <wps:cNvPr id="1924989850" name="文本框 2"/>
                        <wps:cNvSpPr txBox="1">
                          <a:spLocks noChangeArrowheads="1"/>
                        </wps:cNvSpPr>
                        <wps:spPr bwMode="auto">
                          <a:xfrm>
                            <a:off x="1069621" y="1029326"/>
                            <a:ext cx="2385912" cy="299084"/>
                          </a:xfrm>
                          <a:prstGeom prst="rect">
                            <a:avLst/>
                          </a:prstGeom>
                          <a:noFill/>
                          <a:ln w="9525">
                            <a:noFill/>
                            <a:miter lim="800000"/>
                          </a:ln>
                        </wps:spPr>
                        <wps:txbx>
                          <w:txbxContent>
                            <w:p>
                              <w:pPr>
                                <w:jc w:val="center"/>
                                <w:rPr>
                                  <w:rFonts w:hint="eastAsia" w:ascii="黑体" w:hAnsi="黑体" w:eastAsia="黑体"/>
                                  <w:b/>
                                  <w:bCs/>
                                  <w:sz w:val="18"/>
                                  <w:szCs w:val="21"/>
                                </w:rPr>
                              </w:pPr>
                              <w:r>
                                <w:rPr>
                                  <w:rFonts w:hint="eastAsia" w:ascii="黑体" w:hAnsi="黑体" w:eastAsia="黑体"/>
                                  <w:b/>
                                  <w:bCs/>
                                  <w:sz w:val="18"/>
                                  <w:szCs w:val="21"/>
                                </w:rPr>
                                <w:t>剩余排放量（3.1.7，基于既有减排行动）</w:t>
                              </w:r>
                            </w:p>
                          </w:txbxContent>
                        </wps:txbx>
                        <wps:bodyPr rot="0" vert="horz" wrap="square" lIns="91440" tIns="45720" rIns="91440" bIns="45720" anchor="t" anchorCtr="0">
                          <a:noAutofit/>
                        </wps:bodyPr>
                      </wps:wsp>
                      <wps:wsp>
                        <wps:cNvPr id="646958588" name="文本框 2"/>
                        <wps:cNvSpPr txBox="1">
                          <a:spLocks noChangeArrowheads="1"/>
                        </wps:cNvSpPr>
                        <wps:spPr bwMode="auto">
                          <a:xfrm>
                            <a:off x="970571" y="1531002"/>
                            <a:ext cx="2802843" cy="299084"/>
                          </a:xfrm>
                          <a:prstGeom prst="rect">
                            <a:avLst/>
                          </a:prstGeom>
                          <a:noFill/>
                          <a:ln w="9525">
                            <a:noFill/>
                            <a:miter lim="800000"/>
                          </a:ln>
                        </wps:spPr>
                        <wps:txbx>
                          <w:txbxContent>
                            <w:p>
                              <w:pPr>
                                <w:jc w:val="center"/>
                                <w:rPr>
                                  <w:rFonts w:hint="eastAsia" w:ascii="黑体" w:hAnsi="黑体" w:eastAsia="黑体"/>
                                  <w:b/>
                                  <w:bCs/>
                                  <w:sz w:val="18"/>
                                  <w:szCs w:val="21"/>
                                </w:rPr>
                              </w:pPr>
                              <w:r>
                                <w:rPr>
                                  <w:rFonts w:hint="eastAsia" w:ascii="黑体" w:hAnsi="黑体" w:eastAsia="黑体"/>
                                  <w:b/>
                                  <w:bCs/>
                                  <w:sz w:val="18"/>
                                  <w:szCs w:val="21"/>
                                </w:rPr>
                                <w:t>残留排放量（3.1.8，基于所有可行减排举措）</w:t>
                              </w:r>
                            </w:p>
                          </w:txbxContent>
                        </wps:txbx>
                        <wps:bodyPr rot="0" vert="horz" wrap="square" lIns="91440" tIns="45720" rIns="91440" bIns="45720" anchor="t" anchorCtr="0">
                          <a:noAutofit/>
                        </wps:bodyPr>
                      </wps:wsp>
                      <wps:wsp>
                        <wps:cNvPr id="594896373" name="文本框 2"/>
                        <wps:cNvSpPr txBox="1">
                          <a:spLocks noChangeArrowheads="1"/>
                        </wps:cNvSpPr>
                        <wps:spPr bwMode="auto">
                          <a:xfrm>
                            <a:off x="4492187" y="849310"/>
                            <a:ext cx="1067522" cy="462742"/>
                          </a:xfrm>
                          <a:prstGeom prst="rect">
                            <a:avLst/>
                          </a:prstGeom>
                          <a:noFill/>
                          <a:ln w="9525">
                            <a:noFill/>
                            <a:miter lim="800000"/>
                          </a:ln>
                        </wps:spPr>
                        <wps:txbx>
                          <w:txbxContent>
                            <w:p>
                              <w:pPr>
                                <w:adjustRightInd w:val="0"/>
                                <w:snapToGrid w:val="0"/>
                                <w:jc w:val="center"/>
                                <w:rPr>
                                  <w:rFonts w:hint="eastAsia" w:ascii="黑体" w:hAnsi="黑体" w:eastAsia="黑体"/>
                                  <w:b/>
                                  <w:bCs/>
                                  <w:color w:val="70AD47" w:themeColor="accent6"/>
                                  <w:sz w:val="18"/>
                                  <w:szCs w:val="21"/>
                                  <w14:textFill>
                                    <w14:solidFill>
                                      <w14:schemeClr w14:val="accent6"/>
                                    </w14:solidFill>
                                  </w14:textFill>
                                </w:rPr>
                              </w:pPr>
                              <w:r>
                                <w:rPr>
                                  <w:rFonts w:hint="eastAsia" w:ascii="黑体" w:hAnsi="黑体" w:eastAsia="黑体"/>
                                  <w:b/>
                                  <w:bCs/>
                                  <w:color w:val="70AD47" w:themeColor="accent6"/>
                                  <w:sz w:val="18"/>
                                  <w:szCs w:val="21"/>
                                  <w14:textFill>
                                    <w14:solidFill>
                                      <w14:schemeClr w14:val="accent6"/>
                                    </w14:solidFill>
                                  </w14:textFill>
                                </w:rPr>
                                <w:t>避免排放（3.2.7）</w:t>
                              </w:r>
                            </w:p>
                          </w:txbxContent>
                        </wps:txbx>
                        <wps:bodyPr rot="0" vert="horz" wrap="square" lIns="72000" tIns="36000" rIns="72000" bIns="36000" anchor="t" anchorCtr="0">
                          <a:noAutofit/>
                        </wps:bodyPr>
                      </wps:wsp>
                      <wps:wsp>
                        <wps:cNvPr id="972540364" name="文本框 2"/>
                        <wps:cNvSpPr txBox="1">
                          <a:spLocks noChangeArrowheads="1"/>
                        </wps:cNvSpPr>
                        <wps:spPr bwMode="auto">
                          <a:xfrm>
                            <a:off x="1431112" y="1969397"/>
                            <a:ext cx="2158270" cy="298450"/>
                          </a:xfrm>
                          <a:prstGeom prst="rect">
                            <a:avLst/>
                          </a:prstGeom>
                          <a:noFill/>
                          <a:ln w="9525">
                            <a:noFill/>
                            <a:miter lim="800000"/>
                          </a:ln>
                        </wps:spPr>
                        <wps:txbx>
                          <w:txbxContent>
                            <w:p>
                              <w:pPr>
                                <w:jc w:val="center"/>
                                <w:rPr>
                                  <w:rFonts w:hint="eastAsia" w:ascii="黑体" w:hAnsi="黑体" w:eastAsia="黑体"/>
                                  <w:b/>
                                  <w:bCs/>
                                  <w:color w:val="FFFFFF" w:themeColor="background1"/>
                                  <w:sz w:val="18"/>
                                  <w:szCs w:val="21"/>
                                  <w14:textFill>
                                    <w14:solidFill>
                                      <w14:schemeClr w14:val="bg1"/>
                                    </w14:solidFill>
                                  </w14:textFill>
                                </w:rPr>
                              </w:pPr>
                              <w:r>
                                <w:rPr>
                                  <w:rFonts w:hint="eastAsia" w:ascii="黑体" w:hAnsi="黑体" w:eastAsia="黑体"/>
                                  <w:b/>
                                  <w:bCs/>
                                  <w:color w:val="FFFFFF" w:themeColor="background1"/>
                                  <w:sz w:val="18"/>
                                  <w:szCs w:val="21"/>
                                  <w14:textFill>
                                    <w14:solidFill>
                                      <w14:schemeClr w14:val="bg1"/>
                                    </w14:solidFill>
                                  </w14:textFill>
                                </w:rPr>
                                <w:t>碳清除量（3.2.5，边界内）</w:t>
                              </w:r>
                            </w:p>
                          </w:txbxContent>
                        </wps:txbx>
                        <wps:bodyPr rot="0" vert="horz" wrap="square" lIns="91440" tIns="45720" rIns="91440" bIns="45720" anchor="t" anchorCtr="0">
                          <a:noAutofit/>
                        </wps:bodyPr>
                      </wps:wsp>
                      <wps:wsp>
                        <wps:cNvPr id="1344915998" name="文本框 2"/>
                        <wps:cNvSpPr txBox="1">
                          <a:spLocks noChangeArrowheads="1"/>
                        </wps:cNvSpPr>
                        <wps:spPr bwMode="auto">
                          <a:xfrm>
                            <a:off x="4070968" y="1863438"/>
                            <a:ext cx="1517323" cy="298450"/>
                          </a:xfrm>
                          <a:prstGeom prst="rect">
                            <a:avLst/>
                          </a:prstGeom>
                          <a:noFill/>
                          <a:ln w="9525">
                            <a:noFill/>
                            <a:miter lim="800000"/>
                          </a:ln>
                        </wps:spPr>
                        <wps:txbx>
                          <w:txbxContent>
                            <w:p>
                              <w:pPr>
                                <w:jc w:val="center"/>
                                <w:rPr>
                                  <w:rFonts w:hint="eastAsia" w:ascii="黑体" w:hAnsi="黑体" w:eastAsia="黑体"/>
                                  <w:b/>
                                  <w:bCs/>
                                  <w:color w:val="FFFFFF" w:themeColor="background1"/>
                                  <w:sz w:val="18"/>
                                  <w:szCs w:val="21"/>
                                  <w14:textFill>
                                    <w14:solidFill>
                                      <w14:schemeClr w14:val="bg1"/>
                                    </w14:solidFill>
                                  </w14:textFill>
                                </w:rPr>
                              </w:pPr>
                              <w:r>
                                <w:rPr>
                                  <w:rFonts w:hint="eastAsia" w:ascii="黑体" w:hAnsi="黑体" w:eastAsia="黑体"/>
                                  <w:b/>
                                  <w:bCs/>
                                  <w:color w:val="FFFFFF" w:themeColor="background1"/>
                                  <w:sz w:val="18"/>
                                  <w:szCs w:val="21"/>
                                  <w14:textFill>
                                    <w14:solidFill>
                                      <w14:schemeClr w14:val="bg1"/>
                                    </w14:solidFill>
                                  </w14:textFill>
                                </w:rPr>
                                <w:t>碳清除量（边界外）</w:t>
                              </w:r>
                            </w:p>
                          </w:txbxContent>
                        </wps:txbx>
                        <wps:bodyPr rot="0" vert="horz" wrap="square" lIns="91440" tIns="45720" rIns="91440" bIns="45720" anchor="t" anchorCtr="0">
                          <a:noAutofit/>
                        </wps:bodyPr>
                      </wps:wsp>
                      <wps:wsp>
                        <wps:cNvPr id="1489839254" name="文本框 2"/>
                        <wps:cNvSpPr txBox="1">
                          <a:spLocks noChangeArrowheads="1"/>
                        </wps:cNvSpPr>
                        <wps:spPr bwMode="auto">
                          <a:xfrm>
                            <a:off x="0" y="1654"/>
                            <a:ext cx="563879" cy="443950"/>
                          </a:xfrm>
                          <a:prstGeom prst="rect">
                            <a:avLst/>
                          </a:prstGeom>
                          <a:noFill/>
                          <a:ln w="9525">
                            <a:noFill/>
                            <a:miter lim="800000"/>
                          </a:ln>
                        </wps:spPr>
                        <wps:txbx>
                          <w:txbxContent>
                            <w:p>
                              <w:pPr>
                                <w:adjustRightInd w:val="0"/>
                                <w:snapToGrid w:val="0"/>
                                <w:jc w:val="center"/>
                                <w:rPr>
                                  <w:rFonts w:hint="eastAsia" w:ascii="黑体" w:hAnsi="黑体" w:eastAsia="黑体"/>
                                  <w:b/>
                                  <w:bCs/>
                                  <w:sz w:val="18"/>
                                  <w:szCs w:val="21"/>
                                </w:rPr>
                              </w:pPr>
                              <w:r>
                                <w:rPr>
                                  <w:rFonts w:eastAsia="黑体"/>
                                  <w:b/>
                                  <w:bCs/>
                                  <w:sz w:val="18"/>
                                  <w:szCs w:val="21"/>
                                </w:rPr>
                                <w:t>GHG</w:t>
                              </w:r>
                              <w:r>
                                <w:rPr>
                                  <w:rFonts w:hint="eastAsia" w:ascii="黑体" w:hAnsi="黑体" w:eastAsia="黑体"/>
                                  <w:b/>
                                  <w:bCs/>
                                  <w:sz w:val="18"/>
                                  <w:szCs w:val="21"/>
                                </w:rPr>
                                <w:t>排放量</w:t>
                              </w:r>
                            </w:p>
                          </w:txbxContent>
                        </wps:txbx>
                        <wps:bodyPr rot="0" vert="horz" wrap="square" lIns="36000" tIns="36000" rIns="36000" bIns="36000" anchor="t" anchorCtr="0">
                          <a:noAutofit/>
                        </wps:bodyPr>
                      </wps:wsp>
                      <wps:wsp>
                        <wps:cNvPr id="1124240033" name="文本框 2"/>
                        <wps:cNvSpPr txBox="1">
                          <a:spLocks noChangeArrowheads="1"/>
                        </wps:cNvSpPr>
                        <wps:spPr bwMode="auto">
                          <a:xfrm>
                            <a:off x="5600094" y="1411550"/>
                            <a:ext cx="686597" cy="483387"/>
                          </a:xfrm>
                          <a:prstGeom prst="rect">
                            <a:avLst/>
                          </a:prstGeom>
                          <a:noFill/>
                          <a:ln w="9525">
                            <a:noFill/>
                            <a:miter lim="800000"/>
                          </a:ln>
                        </wps:spPr>
                        <wps:txbx>
                          <w:txbxContent>
                            <w:p>
                              <w:pPr>
                                <w:adjustRightInd w:val="0"/>
                                <w:snapToGrid w:val="0"/>
                                <w:jc w:val="center"/>
                                <w:rPr>
                                  <w:rFonts w:hint="eastAsia" w:ascii="黑体" w:hAnsi="黑体" w:eastAsia="黑体"/>
                                  <w:b/>
                                  <w:bCs/>
                                  <w:sz w:val="18"/>
                                  <w:szCs w:val="21"/>
                                </w:rPr>
                              </w:pPr>
                              <w:r>
                                <w:rPr>
                                  <w:rFonts w:hint="eastAsia" w:eastAsia="黑体"/>
                                  <w:b/>
                                  <w:bCs/>
                                  <w:sz w:val="18"/>
                                  <w:szCs w:val="21"/>
                                </w:rPr>
                                <w:t>控制或影响范围</w:t>
                              </w:r>
                            </w:p>
                          </w:txbxContent>
                        </wps:txbx>
                        <wps:bodyPr rot="0" vert="horz" wrap="square" lIns="36000" tIns="36000" rIns="36000" bIns="36000" anchor="t" anchorCtr="0">
                          <a:noAutofit/>
                        </wps:bodyPr>
                      </wps:wsp>
                      <wps:wsp>
                        <wps:cNvPr id="1316389803" name="文本框 2"/>
                        <wps:cNvSpPr txBox="1">
                          <a:spLocks noChangeArrowheads="1"/>
                        </wps:cNvSpPr>
                        <wps:spPr bwMode="auto">
                          <a:xfrm>
                            <a:off x="744749" y="575788"/>
                            <a:ext cx="1655110" cy="298450"/>
                          </a:xfrm>
                          <a:prstGeom prst="rect">
                            <a:avLst/>
                          </a:prstGeom>
                          <a:noFill/>
                          <a:ln w="9525">
                            <a:noFill/>
                            <a:miter lim="800000"/>
                          </a:ln>
                        </wps:spPr>
                        <wps:txbx>
                          <w:txbxContent>
                            <w:p>
                              <w:pPr>
                                <w:jc w:val="center"/>
                                <w:rPr>
                                  <w:rFonts w:hint="eastAsia" w:ascii="黑体" w:hAnsi="黑体" w:eastAsia="黑体"/>
                                  <w:b/>
                                  <w:bCs/>
                                  <w:color w:val="5B9BD5" w:themeColor="accent1"/>
                                  <w:sz w:val="18"/>
                                  <w:szCs w:val="21"/>
                                  <w14:textFill>
                                    <w14:solidFill>
                                      <w14:schemeClr w14:val="accent1"/>
                                    </w14:solidFill>
                                  </w14:textFill>
                                </w:rPr>
                              </w:pPr>
                              <w:r>
                                <w:rPr>
                                  <w:rFonts w:hint="eastAsia" w:ascii="黑体" w:hAnsi="黑体" w:eastAsia="黑体"/>
                                  <w:b/>
                                  <w:bCs/>
                                  <w:color w:val="5B9BD5" w:themeColor="accent1"/>
                                  <w:sz w:val="18"/>
                                  <w:szCs w:val="21"/>
                                  <w14:textFill>
                                    <w14:solidFill>
                                      <w14:schemeClr w14:val="accent1"/>
                                    </w14:solidFill>
                                  </w14:textFill>
                                </w:rPr>
                                <w:t>减少排放（3.2.4）</w:t>
                              </w:r>
                            </w:p>
                          </w:txbxContent>
                        </wps:txbx>
                        <wps:bodyPr rot="0" vert="horz" wrap="square" lIns="91440" tIns="45720" rIns="91440" bIns="45720" anchor="t" anchorCtr="0">
                          <a:noAutofit/>
                        </wps:bodyPr>
                      </wps:wsp>
                      <wps:wsp>
                        <wps:cNvPr id="1608778894" name="文本框 2"/>
                        <wps:cNvSpPr txBox="1">
                          <a:spLocks noChangeArrowheads="1"/>
                        </wps:cNvSpPr>
                        <wps:spPr bwMode="auto">
                          <a:xfrm>
                            <a:off x="4104386" y="2161662"/>
                            <a:ext cx="1411504" cy="357172"/>
                          </a:xfrm>
                          <a:prstGeom prst="rect">
                            <a:avLst/>
                          </a:prstGeom>
                          <a:noFill/>
                          <a:ln w="9525">
                            <a:noFill/>
                            <a:miter lim="800000"/>
                          </a:ln>
                        </wps:spPr>
                        <wps:txbx>
                          <w:txbxContent>
                            <w:p>
                              <w:pPr>
                                <w:jc w:val="center"/>
                                <w:rPr>
                                  <w:rFonts w:hint="eastAsia" w:ascii="黑体" w:hAnsi="黑体" w:eastAsia="黑体"/>
                                  <w:b/>
                                  <w:bCs/>
                                  <w:color w:val="70AD47" w:themeColor="accent6"/>
                                  <w:sz w:val="18"/>
                                  <w:szCs w:val="21"/>
                                  <w14:textFill>
                                    <w14:solidFill>
                                      <w14:schemeClr w14:val="accent6"/>
                                    </w14:solidFill>
                                  </w14:textFill>
                                </w:rPr>
                              </w:pPr>
                              <w:r>
                                <w:rPr>
                                  <w:rFonts w:hint="eastAsia" w:ascii="黑体" w:hAnsi="黑体" w:eastAsia="黑体"/>
                                  <w:b/>
                                  <w:bCs/>
                                  <w:color w:val="70AD47" w:themeColor="accent6"/>
                                  <w:sz w:val="18"/>
                                  <w:szCs w:val="21"/>
                                  <w14:textFill>
                                    <w14:solidFill>
                                      <w14:schemeClr w14:val="accent6"/>
                                    </w14:solidFill>
                                  </w14:textFill>
                                </w:rPr>
                                <w:t>可作为碳抵消（3.2.6）</w:t>
                              </w:r>
                            </w:p>
                          </w:txbxContent>
                        </wps:txbx>
                        <wps:bodyPr rot="0" vert="horz" wrap="square" lIns="36000" tIns="36000" rIns="36000" bIns="36000" anchor="t" anchorCtr="0">
                          <a:noAutofit/>
                        </wps:bodyPr>
                      </wps:wsp>
                    </wpg:wgp>
                  </a:graphicData>
                </a:graphic>
              </wp:inline>
            </w:drawing>
          </mc:Choice>
          <mc:Fallback>
            <w:pict>
              <v:group id="组合 11" o:spid="_x0000_s1026" o:spt="203" style="height:212.15pt;width:458pt;" coordsize="6286691,3016290" o:gfxdata="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">
                <o:lock v:ext="edit" aspectratio="f"/>
                <v:group id="组合 10" o:spid="_x0000_s1026" o:spt="203" style="position:absolute;left:567359;top:0;height:2947811;width:5502352;" coordsize="6479406,3472016" o:gfxdata="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DI/CGbwgAAAOMAAAAPAAAAAAAAAAEAIAAAACIAAABkcnMvZG93bnJl&#10;di54bWxQSwECFAAUAAAACACHTuJAMy8FnjsAAAA5AAAAFQAAAAAAAAABACAAAAARAQAAZHJzL2dy&#10;b3Vwc2hhcGV4bWwueG1sUEsFBgAAAAAGAAYAYAEAAM4DAAAAAA==&#10;">
                  <o:lock v:ext="edit" aspectratio="f"/>
                  <v:rect id="_x0000_s1026" o:spid="_x0000_s1026" o:spt="1" style="position:absolute;left:1;top:2166509;height:573695;width:4101964;v-text-anchor:middle;" fillcolor="#5B9BD5 [3204]" filled="t" stroked="t" coordsize="21600,21600" o:gfxdata="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RPS1i&#10;wAAAAOMAAAAPAAAAAAAAAAEAIAAAACIAAABkcnMvZG93bnJldi54bWxQSwECFAAUAAAACACHTuJA&#10;My8FnjsAAAA5AAAAEAAAAAAAAAABACAAAAAPAQAAZHJzL3NoYXBleG1sLnhtbFBLBQYAAAAABgAG&#10;AFsBAAC5AwAAAAA=&#10;">
                    <v:fill type="pattern" on="t" color2="#FFFFFF [3212]" o:title="80%" focussize="0,0" r:id="rId17"/>
                    <v:stroke weight="0.5pt" color="#223F59 [3204]" miterlimit="8" joinstyle="miter"/>
                    <v:imagedata o:title=""/>
                    <o:lock v:ext="edit" aspectratio="f"/>
                  </v:rect>
                  <v:rect id="_x0000_s1026" o:spid="_x0000_s1026" o:spt="1" style="position:absolute;left:0;top:1169350;height:982564;width:4101965;v-text-anchor:middle;" fillcolor="#5B9BD5 [3204]" filled="t" stroked="t" coordsize="21600,21600" o:gfxdata="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dTj9IsQAAADiAAAADwAAAAAAAAABACAAAAAiAAAAZHJzL2Rvd25yZXYueG1sUEsBAhQAFAAAAAgA&#10;h07iQDMvBZ47AAAAOQAAABAAAAAAAAAAAQAgAAAAEwEAAGRycy9zaGFwZXhtbC54bWxQSwUGAAAA&#10;AAYABgBbAQAAvQMAAAAA&#10;">
                    <v:fill type="pattern" on="t" color2="#FFFFFF [3212]" o:title="10%" focussize="0,0" r:id="rId18"/>
                    <v:stroke weight="0.5pt" color="#223F59 [3204]" miterlimit="8" joinstyle="miter"/>
                    <v:imagedata o:title=""/>
                    <o:lock v:ext="edit" aspectratio="f"/>
                  </v:rect>
                  <v:rect id="_x0000_s1026" o:spid="_x0000_s1026" o:spt="1" style="position:absolute;left:0;top:1757642;height:394282;width:4101965;v-text-anchor:middle;" fillcolor="#5B9BD5 [3204]" filled="t" stroked="f" coordsize="21600,21600" o:gfxdata="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pCrBTcQAAADjAAAADwAAAAAAAAABACAAAAAiAAAAZHJzL2Rvd25yZXYueG1sUEsBAhQAFAAAAAgA&#10;h07iQDMvBZ47AAAAOQAAABAAAAAAAAAAAQAgAAAAEwEAAGRycy9zaGFwZXhtbC54bWxQSwUGAAAA&#10;AAYABgBbAQAAvQMAAAAA&#10;">
                    <v:fill type="pattern" on="t" color2="#FFFFFF [3212]" o:title="浅色上对角线" focussize="0,0" r:id="rId19"/>
                    <v:stroke on="f" weight="0.5pt" miterlimit="8" joinstyle="miter"/>
                    <v:imagedata o:title=""/>
                    <o:lock v:ext="edit" aspectratio="f"/>
                  </v:rect>
                  <v:rect id="_x0000_s1026" o:spid="_x0000_s1026" o:spt="1" style="position:absolute;left:0;top:590230;height:1561684;width:4101965;v-text-anchor:middle;" filled="f" stroked="t" coordsize="21600,21600" o:gfxdata="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uChL3FAAAA4wAAAA8AAAAAAAAAAQAgAAAAIgAAAGRycy9kb3ducmV2LnhtbFBLAQIUABQAAAAI&#10;AIdO4kAzLwWeOwAAADkAAAAQAAAAAAAAAAEAIAAAABQBAABkcnMvc2hhcGV4bWwueG1sUEsFBgAA&#10;AAAGAAYAWwEAAL4DAAAAAA==&#10;">
                    <v:fill on="f" focussize="0,0"/>
                    <v:stroke weight="0.5pt" color="#223F59 [3204]" miterlimit="8" joinstyle="miter"/>
                    <v:imagedata o:title=""/>
                    <o:lock v:ext="edit" aspectratio="f"/>
                  </v:rect>
                  <v:shape id="_x0000_s1026" o:spid="_x0000_s1026" o:spt="32" type="#_x0000_t32" style="position:absolute;left:4101967;top:371260;flip:y;height:3100756;width:0;" filled="f" stroked="t" coordsize="21600,21600" o:gfxdata="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K1O6y&#10;wAAAAOEAAAAPAAAAAAAAAAEAIAAAACIAAABkcnMvZG93bnJldi54bWxQSwECFAAUAAAACACHTuJA&#10;My8FnjsAAAA5AAAAEAAAAAAAAAABACAAAAAPAQAAZHJzL3NoYXBleG1sLnhtbFBLBQYAAAAABgAG&#10;AFsBAAC5AwAAAAA=&#10;">
                    <v:fill on="f" focussize="0,0"/>
                    <v:stroke weight="1pt" color="#000000 [3213]" miterlimit="8" joinstyle="miter"/>
                    <v:imagedata o:title=""/>
                    <o:lock v:ext="edit" aspectratio="f"/>
                  </v:shape>
                  <v:rect id="_x0000_s1026" o:spid="_x0000_s1026" o:spt="1" style="position:absolute;left:4101967;top:783680;height:1368234;width:1824439;v-text-anchor:middle;" filled="f" stroked="t" coordsize="21600,21600" o:gfxdata="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FT8krFAAAA4wAAAA8AAAAAAAAAAQAgAAAAIgAAAGRycy9kb3ducmV2LnhtbFBLAQIUABQAAAAI&#10;AIdO4kAzLwWeOwAAADkAAAAQAAAAAAAAAAEAIAAAABQBAABkcnMvc2hhcGV4bWwueG1sUEsFBgAA&#10;AAAGAAYAWwEAAL4DAAAAAA==&#10;">
                    <v:fill on="f" focussize="0,0"/>
                    <v:stroke weight="0.5pt" color="#223F59 [3204]" miterlimit="8" joinstyle="miter" dashstyle="dash"/>
                    <v:imagedata o:title=""/>
                    <o:lock v:ext="edit" aspectratio="f"/>
                  </v:rect>
                  <v:rect id="_x0000_s1026" o:spid="_x0000_s1026" o:spt="1" style="position:absolute;left:4101967;top:1545680;height:606233;width:1824438;v-text-anchor:middle;" fillcolor="#70AD47 [3209]" filled="t" stroked="t" coordsize="21600,21600" o:gfxdata="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AOIeo&#10;wAAAAOMAAAAPAAAAAAAAAAEAIAAAACIAAABkcnMvZG93bnJldi54bWxQSwECFAAUAAAACACHTuJA&#10;My8FnjsAAAA5AAAAEAAAAAAAAAABACAAAAAPAQAAZHJzL3NoYXBleG1sLnhtbFBLBQYAAAAABgAG&#10;AFsBAAC5AwAAAAA=&#10;">
                    <v:fill type="pattern" on="t" color2="#FFFFFF [3212]" o:title="宽下对角线" focussize="0,0" r:id="rId20"/>
                    <v:stroke weight="0.5pt" color="#223F59 [3204]" miterlimit="8" joinstyle="miter" dashstyle="dash"/>
                    <v:imagedata o:title=""/>
                    <o:lock v:ext="edit" aspectratio="f"/>
                  </v:rect>
                  <v:shape id="_x0000_s1026" o:spid="_x0000_s1026" o:spt="32" type="#_x0000_t32" style="position:absolute;left:0;top:2151933;height:0;width:6479406;" filled="f" stroked="t" coordsize="21600,21600" o:gfxdata="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U9HPq&#10;wAAAAOEAAAAPAAAAAAAAAAEAIAAAACIAAABkcnMvZG93bnJldi54bWxQSwECFAAUAAAACACHTuJA&#10;My8FnjsAAAA5AAAAEAAAAAAAAAABACAAAAAPAQAAZHJzL3NoYXBleG1sLnhtbFBLBQYAAAAABgAG&#10;AFsBAAC5AwAAAAA=&#10;">
                    <v:fill on="f" focussize="0,0"/>
                    <v:stroke weight="2.25pt" color="#000000 [3213]" miterlimit="8" joinstyle="miter" endarrow="block"/>
                    <v:imagedata o:title=""/>
                    <o:lock v:ext="edit" aspectratio="f"/>
                  </v:shape>
                  <v:shape id="_x0000_s1026" o:spid="_x0000_s1026" o:spt="32" type="#_x0000_t32" style="position:absolute;left:0;top:0;flip:y;height:3398864;width:0;" filled="f" stroked="t" coordsize="21600,21600" o:gfxdata="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7gprW/&#10;AAAA4wAAAA8AAAAAAAAAAQAgAAAAIgAAAGRycy9kb3ducmV2LnhtbFBLAQIUABQAAAAIAIdO4kAz&#10;LwWeOwAAADkAAAAQAAAAAAAAAAEAIAAAAA4BAABkcnMvc2hhcGV4bWwueG1sUEsFBgAAAAAGAAYA&#10;WwEAALgDAAAAAA==&#10;">
                    <v:fill on="f" focussize="0,0"/>
                    <v:stroke weight="2.25pt" color="#000000 [3213]" miterlimit="8" joinstyle="miter" endarrow="block"/>
                    <v:imagedata o:title=""/>
                    <o:lock v:ext="edit" aspectratio="f"/>
                  </v:shape>
                  <v:shape id="_x0000_s1026" o:spid="_x0000_s1026" o:spt="32" type="#_x0000_t32" style="position:absolute;left:474846;top:590230;height:579120;width:0;" filled="f" stroked="t" coordsize="21600,21600" o:gfxdata="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X01xvQAA&#10;AOIAAAAPAAAAAAAAAAEAIAAAACIAAABkcnMvZG93bnJldi54bWxQSwECFAAUAAAACACHTuJAMy8F&#10;njsAAAA5AAAAEAAAAAAAAAABACAAAAAMAQAAZHJzL3NoYXBleG1sLnhtbFBLBQYAAAAABgAGAFsB&#10;AAC2AwAAAAA=&#10;">
                    <v:fill on="f" focussize="0,0"/>
                    <v:stroke color="#5B9BD5 [3204]" miterlimit="8" joinstyle="miter" dashstyle="3 1" endarrow="block"/>
                    <v:imagedata o:title=""/>
                    <o:lock v:ext="edit" aspectratio="f"/>
                  </v:shape>
                  <v:shape id="_x0000_s1026" o:spid="_x0000_s1026" o:spt="32" type="#_x0000_t32" style="position:absolute;left:4629244;top:801968;height:743712;width:0;" filled="f" stroked="t" coordsize="21600,21600" o:gfxdata="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j&#10;nPz3wwAAAOEAAAAPAAAAAAAAAAEAIAAAACIAAABkcnMvZG93bnJldi54bWxQSwECFAAUAAAACACH&#10;TuJAMy8FnjsAAAA5AAAAEAAAAAAAAAABACAAAAASAQAAZHJzL3NoYXBleG1sLnhtbFBLBQYAAAAA&#10;BgAGAFsBAAC8AwAAAAA=&#10;">
                    <v:fill on="f" focussize="0,0"/>
                    <v:stroke color="#70AD47 [3209]" miterlimit="8" joinstyle="miter" dashstyle="3 1" endarrow="block"/>
                    <v:imagedata o:title=""/>
                    <o:lock v:ext="edit" aspectratio="f"/>
                  </v:shape>
                  <v:rect id="_x0000_s1026" o:spid="_x0000_s1026" o:spt="1" style="position:absolute;left:4101967;top:2166510;height:394282;width:1824438;v-text-anchor:middle;" fillcolor="#548235 [2409]" filled="t" stroked="t" coordsize="21600,21600" o:gfxdata="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0AODyMQAAADiAAAADwAAAAAAAAABACAAAAAiAAAAZHJzL2Rvd25yZXYueG1sUEsBAhQAFAAAAAgA&#10;h07iQDMvBZ47AAAAOQAAABAAAAAAAAAAAQAgAAAAEwEAAGRycy9zaGFwZXhtbC54bWxQSwUGAAAA&#10;AAYABgBbAQAAvQMAAAAA&#10;">
                    <v:fill type="pattern" on="t" color2="#FFFFFF [3212]" o:title="80%" focussize="0,0" r:id="rId17"/>
                    <v:stroke weight="0.5pt" color="#223F59 [3204]" miterlimit="8" joinstyle="miter"/>
                    <v:imagedata o:title=""/>
                    <o:lock v:ext="edit" aspectratio="f"/>
                  </v:rect>
                  <v:shape id="_x0000_s1026" o:spid="_x0000_s1026" o:spt="32" type="#_x0000_t32" style="position:absolute;left:60318;top:3270848;height:0;width:4041647;" filled="f" stroked="t" coordsize="21600,21600" o:gfxdata="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T05&#10;IsEAAADjAAAADwAAAAAAAAABACAAAAAiAAAAZHJzL2Rvd25yZXYueG1sUEsBAhQAFAAAAAgAh07i&#10;QDMvBZ47AAAAOQAAABAAAAAAAAAAAQAgAAAAEAEAAGRycy9zaGFwZXhtbC54bWxQSwUGAAAAAAYA&#10;BgBbAQAAugMAAAAA&#10;">
                    <v:fill on="f" focussize="0,0"/>
                    <v:stroke color="#5B9BD5 [3204]" miterlimit="8" joinstyle="miter" dashstyle="longDash" startarrow="block" endarrow="block"/>
                    <v:imagedata o:title=""/>
                    <o:lock v:ext="edit" aspectratio="f"/>
                  </v:shape>
                  <v:shape id="_x0000_s1026" o:spid="_x0000_s1026" o:spt="32" type="#_x0000_t32" style="position:absolute;left:5920310;top:371260;flip:y;height:3100756;width:0;" filled="f" stroked="t" coordsize="21600,21600" o:gfxdata="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OGCQajFAAAA4w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shape>
                  <v:shape id="_x0000_s1026" o:spid="_x0000_s1026" o:spt="32" type="#_x0000_t32" style="position:absolute;left:4101965;top:3270848;height:0;width:1818345;" filled="f" stroked="t" coordsize="21600,21600" o:gfxdata="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mb&#10;+THCAAAA4gAAAA8AAAAAAAAAAQAgAAAAIgAAAGRycy9kb3ducmV2LnhtbFBLAQIUABQAAAAIAIdO&#10;4kAzLwWeOwAAADkAAAAQAAAAAAAAAAEAIAAAABEBAABkcnMvc2hhcGV4bWwueG1sUEsFBgAAAAAG&#10;AAYAWwEAALsDAAAAAA==&#10;">
                    <v:fill on="f" focussize="0,0"/>
                    <v:stroke color="#70AD47 [3209]" miterlimit="8" joinstyle="miter" dashstyle="longDash" startarrow="block" endarrow="block"/>
                    <v:imagedata o:title=""/>
                    <o:lock v:ext="edit" aspectratio="f"/>
                  </v:shape>
                  <v:rect id="_x0000_s1026" o:spid="_x0000_s1026" o:spt="1" style="position:absolute;left:1224654;top:3106256;height:292607;width:2066541;v-text-anchor:middle;" fillcolor="#FFFFFF [3212]" filled="t" stroked="t" coordsize="21600,21600" o:gfxdata="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8X6&#10;bMEAAADiAAAADwAAAAAAAAABACAAAAAiAAAAZHJzL2Rvd25yZXYueG1sUEsBAhQAFAAAAAgAh07i&#10;QDMvBZ47AAAAOQAAABAAAAAAAAAAAQAgAAAAEAEAAGRycy9zaGFwZXhtbC54bWxQSwUGAAAAAAYA&#10;BgBbAQAAugMAAAAA&#10;">
                    <v:fill on="t" focussize="0,0"/>
                    <v:stroke weight="1pt" color="#FFFFFF [3212]" miterlimit="8" joinstyle="miter"/>
                    <v:imagedata o:title=""/>
                    <o:lock v:ext="edit" aspectratio="f"/>
                  </v:rect>
                  <v:rect id="_x0000_s1026" o:spid="_x0000_s1026" o:spt="1" style="position:absolute;left:4356689;top:3106256;height:292607;width:1348526;v-text-anchor:middle;" fillcolor="#FFFFFF [3212]" filled="t" stroked="t" coordsize="21600,21600" o:gfxdata="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10;drg3wwAAAOMAAAAPAAAAAAAAAAEAIAAAACIAAABkcnMvZG93bnJldi54bWxQSwECFAAUAAAACACH&#10;TuJAMy8FnjsAAAA5AAAAEAAAAAAAAAABACAAAAASAQAAZHJzL3NoYXBleG1sLnhtbFBLBQYAAAAA&#10;BgAGAFsBAAC8AwAAAAA=&#10;">
                    <v:fill on="t" focussize="0,0"/>
                    <v:stroke weight="1pt" color="#FFFFFF [3212]" miterlimit="8" joinstyle="miter"/>
                    <v:imagedata o:title=""/>
                    <o:lock v:ext="edit" aspectratio="f"/>
                  </v:rect>
                </v:group>
                <v:shape id="文本框 2" o:spid="_x0000_s1026" o:spt="202" type="#_x0000_t202" style="position:absolute;left:1563757;top:2652091;height:298450;width:1732280;" fillcolor="#FFFFFF" filled="t" stroked="f" coordsize="21600,21600" o:gfxdata="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6fQ&#10;VsEAAADjAAAADwAAAAAAAAABACAAAAAiAAAAZHJzL2Rvd25yZXYueG1sUEsBAhQAFAAAAAgAh07i&#10;QDMvBZ47AAAAOQAAABAAAAAAAAAAAQAgAAAAEAEAAGRycy9zaGFwZXhtbC54bWxQSwUGAAAAAAYA&#10;BgBbAQAAugMAAAAA&#10;">
                  <v:fill on="t" focussize="0,0"/>
                  <v:stroke on="f" miterlimit="8" joinstyle="miter"/>
                  <v:imagedata o:title=""/>
                  <o:lock v:ext="edit" aspectratio="f"/>
                  <v:textbox>
                    <w:txbxContent>
                      <w:p>
                        <w:pPr>
                          <w:jc w:val="center"/>
                          <w:rPr>
                            <w:rFonts w:hint="eastAsia" w:ascii="黑体" w:hAnsi="黑体" w:eastAsia="黑体"/>
                            <w:b/>
                            <w:bCs/>
                            <w:sz w:val="20"/>
                            <w:szCs w:val="22"/>
                          </w:rPr>
                        </w:pPr>
                        <w:r>
                          <w:rPr>
                            <w:rFonts w:hint="eastAsia" w:ascii="黑体" w:hAnsi="黑体" w:eastAsia="黑体"/>
                            <w:b/>
                            <w:bCs/>
                            <w:sz w:val="20"/>
                            <w:szCs w:val="22"/>
                          </w:rPr>
                          <w:t>价值链（边界）范围以内</w:t>
                        </w:r>
                      </w:p>
                    </w:txbxContent>
                  </v:textbox>
                </v:shape>
                <v:shape id="文本框 2" o:spid="_x0000_s1026" o:spt="202" type="#_x0000_t202" style="position:absolute;left:4260538;top:2519086;height:497204;width:1151726;" fillcolor="#FFFFFF" filled="t" stroked="f" coordsize="21600,21600" o:gfxdata="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D&#10;zTgNwwAAAOIAAAAPAAAAAAAAAAEAIAAAACIAAABkcnMvZG93bnJldi54bWxQSwECFAAUAAAACACH&#10;TuJAMy8FnjsAAAA5AAAAEAAAAAAAAAABACAAAAASAQAAZHJzL3NoYXBleG1sLnhtbFBLBQYAAAAA&#10;BgAGAFsBAAC8AwAAAAA=&#10;">
                  <v:fill on="t" focussize="0,0"/>
                  <v:stroke on="f" miterlimit="8" joinstyle="miter"/>
                  <v:imagedata o:title=""/>
                  <o:lock v:ext="edit" aspectratio="f"/>
                  <v:textbox inset="2mm,1mm,2mm,1mm">
                    <w:txbxContent>
                      <w:p>
                        <w:pPr>
                          <w:jc w:val="center"/>
                          <w:rPr>
                            <w:rFonts w:hint="eastAsia" w:ascii="黑体" w:hAnsi="黑体" w:eastAsia="黑体"/>
                            <w:b/>
                            <w:bCs/>
                            <w:sz w:val="20"/>
                            <w:szCs w:val="22"/>
                          </w:rPr>
                        </w:pPr>
                        <w:r>
                          <w:rPr>
                            <w:rFonts w:hint="eastAsia" w:ascii="黑体" w:hAnsi="黑体" w:eastAsia="黑体"/>
                            <w:b/>
                            <w:bCs/>
                            <w:sz w:val="20"/>
                            <w:szCs w:val="22"/>
                          </w:rPr>
                          <w:t>价值链（边界）范围以外</w:t>
                        </w:r>
                      </w:p>
                    </w:txbxContent>
                  </v:textbox>
                </v:shape>
                <v:shape id="文本框 2" o:spid="_x0000_s1026" o:spt="202" type="#_x0000_t202" style="position:absolute;left:1630018;top:266700;height:298450;width:1732280;" filled="f" stroked="f" coordsize="21600,21600" o:gfxdata="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O&#10;xJz9wwAAAOIAAAAPAAAAAAAAAAEAIAAAACIAAABkcnMvZG93bnJldi54bWxQSwECFAAUAAAACACH&#10;TuJAMy8FnjsAAAA5AAAAEAAAAAAAAAABACAAAAASAQAAZHJzL3NoYXBleG1sLnhtbFBLBQYAAAAA&#10;BgAGAFsBAAC8AwAAAAA=&#10;">
                  <v:fill on="f" focussize="0,0"/>
                  <v:stroke on="f" miterlimit="8" joinstyle="miter"/>
                  <v:imagedata o:title=""/>
                  <o:lock v:ext="edit" aspectratio="f"/>
                  <v:textbox>
                    <w:txbxContent>
                      <w:p>
                        <w:pPr>
                          <w:jc w:val="center"/>
                          <w:rPr>
                            <w:rFonts w:hint="eastAsia" w:ascii="黑体" w:hAnsi="黑体" w:eastAsia="黑体"/>
                            <w:b/>
                            <w:bCs/>
                            <w:sz w:val="18"/>
                            <w:szCs w:val="21"/>
                          </w:rPr>
                        </w:pPr>
                        <w:r>
                          <w:rPr>
                            <w:rFonts w:hint="eastAsia" w:ascii="黑体" w:hAnsi="黑体" w:eastAsia="黑体"/>
                            <w:b/>
                            <w:bCs/>
                            <w:sz w:val="18"/>
                            <w:szCs w:val="21"/>
                          </w:rPr>
                          <w:t>基准年排放量</w:t>
                        </w:r>
                      </w:p>
                    </w:txbxContent>
                  </v:textbox>
                </v:shape>
                <v:shape id="文本框 2" o:spid="_x0000_s1026" o:spt="202" type="#_x0000_t202" style="position:absolute;left:1069621;top:1029326;height:299084;width:2385912;" filled="f" stroked="f" coordsize="21600,21600" o:gfxdata="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J&#10;FhRewwAAAOMAAAAPAAAAAAAAAAEAIAAAACIAAABkcnMvZG93bnJldi54bWxQSwECFAAUAAAACACH&#10;TuJAMy8FnjsAAAA5AAAAEAAAAAAAAAABACAAAAASAQAAZHJzL3NoYXBleG1sLnhtbFBLBQYAAAAA&#10;BgAGAFsBAAC8AwAAAAA=&#10;">
                  <v:fill on="f" focussize="0,0"/>
                  <v:stroke on="f" miterlimit="8" joinstyle="miter"/>
                  <v:imagedata o:title=""/>
                  <o:lock v:ext="edit" aspectratio="f"/>
                  <v:textbox>
                    <w:txbxContent>
                      <w:p>
                        <w:pPr>
                          <w:jc w:val="center"/>
                          <w:rPr>
                            <w:rFonts w:hint="eastAsia" w:ascii="黑体" w:hAnsi="黑体" w:eastAsia="黑体"/>
                            <w:b/>
                            <w:bCs/>
                            <w:sz w:val="18"/>
                            <w:szCs w:val="21"/>
                          </w:rPr>
                        </w:pPr>
                        <w:r>
                          <w:rPr>
                            <w:rFonts w:hint="eastAsia" w:ascii="黑体" w:hAnsi="黑体" w:eastAsia="黑体"/>
                            <w:b/>
                            <w:bCs/>
                            <w:sz w:val="18"/>
                            <w:szCs w:val="21"/>
                          </w:rPr>
                          <w:t>剩余排放量（3.1.7，基于既有减排行动）</w:t>
                        </w:r>
                      </w:p>
                    </w:txbxContent>
                  </v:textbox>
                </v:shape>
                <v:shape id="文本框 2" o:spid="_x0000_s1026" o:spt="202" type="#_x0000_t202" style="position:absolute;left:970571;top:1531002;height:299084;width:2802843;" filled="f" stroked="f" coordsize="21600,21600" o:gfxdata="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00giW/&#10;AAAA4gAAAA8AAAAAAAAAAQAgAAAAIgAAAGRycy9kb3ducmV2LnhtbFBLAQIUABQAAAAIAIdO4kAz&#10;LwWeOwAAADkAAAAQAAAAAAAAAAEAIAAAAA4BAABkcnMvc2hhcGV4bWwueG1sUEsFBgAAAAAGAAYA&#10;WwEAALgDAAAAAA==&#10;">
                  <v:fill on="f" focussize="0,0"/>
                  <v:stroke on="f" miterlimit="8" joinstyle="miter"/>
                  <v:imagedata o:title=""/>
                  <o:lock v:ext="edit" aspectratio="f"/>
                  <v:textbox>
                    <w:txbxContent>
                      <w:p>
                        <w:pPr>
                          <w:jc w:val="center"/>
                          <w:rPr>
                            <w:rFonts w:hint="eastAsia" w:ascii="黑体" w:hAnsi="黑体" w:eastAsia="黑体"/>
                            <w:b/>
                            <w:bCs/>
                            <w:sz w:val="18"/>
                            <w:szCs w:val="21"/>
                          </w:rPr>
                        </w:pPr>
                        <w:r>
                          <w:rPr>
                            <w:rFonts w:hint="eastAsia" w:ascii="黑体" w:hAnsi="黑体" w:eastAsia="黑体"/>
                            <w:b/>
                            <w:bCs/>
                            <w:sz w:val="18"/>
                            <w:szCs w:val="21"/>
                          </w:rPr>
                          <w:t>残留排放量（3.1.8，基于所有可行减排举措）</w:t>
                        </w:r>
                      </w:p>
                    </w:txbxContent>
                  </v:textbox>
                </v:shape>
                <v:shape id="文本框 2" o:spid="_x0000_s1026" o:spt="202" type="#_x0000_t202" style="position:absolute;left:4492187;top:849310;height:462742;width:1067522;" filled="f" stroked="f" coordsize="21600,21600" o:gfxdata="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u4cBjFAAAA4gAAAA8AAAAAAAAAAQAgAAAAIgAAAGRycy9kb3ducmV2LnhtbFBLAQIUABQAAAAI&#10;AIdO4kAzLwWeOwAAADkAAAAQAAAAAAAAAAEAIAAAABQBAABkcnMvc2hhcGV4bWwueG1sUEsFBgAA&#10;AAAGAAYAWwEAAL4DAAAAAA==&#10;">
                  <v:fill on="f" focussize="0,0"/>
                  <v:stroke on="f" miterlimit="8" joinstyle="miter"/>
                  <v:imagedata o:title=""/>
                  <o:lock v:ext="edit" aspectratio="f"/>
                  <v:textbox inset="2mm,1mm,2mm,1mm">
                    <w:txbxContent>
                      <w:p>
                        <w:pPr>
                          <w:adjustRightInd w:val="0"/>
                          <w:snapToGrid w:val="0"/>
                          <w:jc w:val="center"/>
                          <w:rPr>
                            <w:rFonts w:hint="eastAsia" w:ascii="黑体" w:hAnsi="黑体" w:eastAsia="黑体"/>
                            <w:b/>
                            <w:bCs/>
                            <w:color w:val="70AD47" w:themeColor="accent6"/>
                            <w:sz w:val="18"/>
                            <w:szCs w:val="21"/>
                            <w14:textFill>
                              <w14:solidFill>
                                <w14:schemeClr w14:val="accent6"/>
                              </w14:solidFill>
                            </w14:textFill>
                          </w:rPr>
                        </w:pPr>
                        <w:r>
                          <w:rPr>
                            <w:rFonts w:hint="eastAsia" w:ascii="黑体" w:hAnsi="黑体" w:eastAsia="黑体"/>
                            <w:b/>
                            <w:bCs/>
                            <w:color w:val="70AD47" w:themeColor="accent6"/>
                            <w:sz w:val="18"/>
                            <w:szCs w:val="21"/>
                            <w14:textFill>
                              <w14:solidFill>
                                <w14:schemeClr w14:val="accent6"/>
                              </w14:solidFill>
                            </w14:textFill>
                          </w:rPr>
                          <w:t>避免排放（3.2.7）</w:t>
                        </w:r>
                      </w:p>
                    </w:txbxContent>
                  </v:textbox>
                </v:shape>
                <v:shape id="文本框 2" o:spid="_x0000_s1026" o:spt="202" type="#_x0000_t202" style="position:absolute;left:1431112;top:1969397;height:298450;width:2158270;" filled="f" stroked="f" coordsize="21600,21600" o:gfxdata="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T&#10;KjQCwwAAAOIAAAAPAAAAAAAAAAEAIAAAACIAAABkcnMvZG93bnJldi54bWxQSwECFAAUAAAACACH&#10;TuJAMy8FnjsAAAA5AAAAEAAAAAAAAAABACAAAAASAQAAZHJzL3NoYXBleG1sLnhtbFBLBQYAAAAA&#10;BgAGAFsBAAC8AwAAAAA=&#10;">
                  <v:fill on="f" focussize="0,0"/>
                  <v:stroke on="f" miterlimit="8" joinstyle="miter"/>
                  <v:imagedata o:title=""/>
                  <o:lock v:ext="edit" aspectratio="f"/>
                  <v:textbox>
                    <w:txbxContent>
                      <w:p>
                        <w:pPr>
                          <w:jc w:val="center"/>
                          <w:rPr>
                            <w:rFonts w:hint="eastAsia" w:ascii="黑体" w:hAnsi="黑体" w:eastAsia="黑体"/>
                            <w:b/>
                            <w:bCs/>
                            <w:color w:val="FFFFFF" w:themeColor="background1"/>
                            <w:sz w:val="18"/>
                            <w:szCs w:val="21"/>
                            <w14:textFill>
                              <w14:solidFill>
                                <w14:schemeClr w14:val="bg1"/>
                              </w14:solidFill>
                            </w14:textFill>
                          </w:rPr>
                        </w:pPr>
                        <w:r>
                          <w:rPr>
                            <w:rFonts w:hint="eastAsia" w:ascii="黑体" w:hAnsi="黑体" w:eastAsia="黑体"/>
                            <w:b/>
                            <w:bCs/>
                            <w:color w:val="FFFFFF" w:themeColor="background1"/>
                            <w:sz w:val="18"/>
                            <w:szCs w:val="21"/>
                            <w14:textFill>
                              <w14:solidFill>
                                <w14:schemeClr w14:val="bg1"/>
                              </w14:solidFill>
                            </w14:textFill>
                          </w:rPr>
                          <w:t>碳清除量（3.2.5，边界内）</w:t>
                        </w:r>
                      </w:p>
                    </w:txbxContent>
                  </v:textbox>
                </v:shape>
                <v:shape id="文本框 2" o:spid="_x0000_s1026" o:spt="202" type="#_x0000_t202" style="position:absolute;left:4070968;top:1863438;height:298450;width:1517323;" filled="f" stroked="f" coordsize="21600,21600" o:gfxdata="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LTTqDcQAAADjAAAADwAAAAAAAAABACAAAAAiAAAAZHJzL2Rvd25yZXYueG1sUEsBAhQAFAAAAAgA&#10;h07iQDMvBZ47AAAAOQAAABAAAAAAAAAAAQAgAAAAEwEAAGRycy9zaGFwZXhtbC54bWxQSwUGAAAA&#10;AAYABgBbAQAAvQMAAAAA&#10;">
                  <v:fill on="f" focussize="0,0"/>
                  <v:stroke on="f" miterlimit="8" joinstyle="miter"/>
                  <v:imagedata o:title=""/>
                  <o:lock v:ext="edit" aspectratio="f"/>
                  <v:textbox>
                    <w:txbxContent>
                      <w:p>
                        <w:pPr>
                          <w:jc w:val="center"/>
                          <w:rPr>
                            <w:rFonts w:hint="eastAsia" w:ascii="黑体" w:hAnsi="黑体" w:eastAsia="黑体"/>
                            <w:b/>
                            <w:bCs/>
                            <w:color w:val="FFFFFF" w:themeColor="background1"/>
                            <w:sz w:val="18"/>
                            <w:szCs w:val="21"/>
                            <w14:textFill>
                              <w14:solidFill>
                                <w14:schemeClr w14:val="bg1"/>
                              </w14:solidFill>
                            </w14:textFill>
                          </w:rPr>
                        </w:pPr>
                        <w:r>
                          <w:rPr>
                            <w:rFonts w:hint="eastAsia" w:ascii="黑体" w:hAnsi="黑体" w:eastAsia="黑体"/>
                            <w:b/>
                            <w:bCs/>
                            <w:color w:val="FFFFFF" w:themeColor="background1"/>
                            <w:sz w:val="18"/>
                            <w:szCs w:val="21"/>
                            <w14:textFill>
                              <w14:solidFill>
                                <w14:schemeClr w14:val="bg1"/>
                              </w14:solidFill>
                            </w14:textFill>
                          </w:rPr>
                          <w:t>碳清除量（边界外）</w:t>
                        </w:r>
                      </w:p>
                    </w:txbxContent>
                  </v:textbox>
                </v:shape>
                <v:shape id="文本框 2" o:spid="_x0000_s1026" o:spt="202" type="#_x0000_t202" style="position:absolute;left:0;top:1654;height:443950;width:563879;" filled="f" stroked="f" coordsize="21600,21600" o:gfxdata="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2Z&#10;g17CAAAA4wAAAA8AAAAAAAAAAQAgAAAAIgAAAGRycy9kb3ducmV2LnhtbFBLAQIUABQAAAAIAIdO&#10;4kAzLwWeOwAAADkAAAAQAAAAAAAAAAEAIAAAABEBAABkcnMvc2hhcGV4bWwueG1sUEsFBgAAAAAG&#10;AAYAWwEAALsDAAAAAA==&#10;">
                  <v:fill on="f" focussize="0,0"/>
                  <v:stroke on="f" miterlimit="8" joinstyle="miter"/>
                  <v:imagedata o:title=""/>
                  <o:lock v:ext="edit" aspectratio="f"/>
                  <v:textbox inset="1mm,1mm,1mm,1mm">
                    <w:txbxContent>
                      <w:p>
                        <w:pPr>
                          <w:adjustRightInd w:val="0"/>
                          <w:snapToGrid w:val="0"/>
                          <w:jc w:val="center"/>
                          <w:rPr>
                            <w:rFonts w:hint="eastAsia" w:ascii="黑体" w:hAnsi="黑体" w:eastAsia="黑体"/>
                            <w:b/>
                            <w:bCs/>
                            <w:sz w:val="18"/>
                            <w:szCs w:val="21"/>
                          </w:rPr>
                        </w:pPr>
                        <w:r>
                          <w:rPr>
                            <w:rFonts w:eastAsia="黑体"/>
                            <w:b/>
                            <w:bCs/>
                            <w:sz w:val="18"/>
                            <w:szCs w:val="21"/>
                          </w:rPr>
                          <w:t>GHG</w:t>
                        </w:r>
                        <w:r>
                          <w:rPr>
                            <w:rFonts w:hint="eastAsia" w:ascii="黑体" w:hAnsi="黑体" w:eastAsia="黑体"/>
                            <w:b/>
                            <w:bCs/>
                            <w:sz w:val="18"/>
                            <w:szCs w:val="21"/>
                          </w:rPr>
                          <w:t>排放量</w:t>
                        </w:r>
                      </w:p>
                    </w:txbxContent>
                  </v:textbox>
                </v:shape>
                <v:shape id="文本框 2" o:spid="_x0000_s1026" o:spt="202" type="#_x0000_t202" style="position:absolute;left:5600094;top:1411550;height:483387;width:686597;" filled="f" stroked="f" coordsize="21600,21600" o:gfxdata="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V8D&#10;d8EAAADjAAAADwAAAAAAAAABACAAAAAiAAAAZHJzL2Rvd25yZXYueG1sUEsBAhQAFAAAAAgAh07i&#10;QDMvBZ47AAAAOQAAABAAAAAAAAAAAQAgAAAAEAEAAGRycy9zaGFwZXhtbC54bWxQSwUGAAAAAAYA&#10;BgBbAQAAugMAAAAA&#10;">
                  <v:fill on="f" focussize="0,0"/>
                  <v:stroke on="f" miterlimit="8" joinstyle="miter"/>
                  <v:imagedata o:title=""/>
                  <o:lock v:ext="edit" aspectratio="f"/>
                  <v:textbox inset="1mm,1mm,1mm,1mm">
                    <w:txbxContent>
                      <w:p>
                        <w:pPr>
                          <w:adjustRightInd w:val="0"/>
                          <w:snapToGrid w:val="0"/>
                          <w:jc w:val="center"/>
                          <w:rPr>
                            <w:rFonts w:hint="eastAsia" w:ascii="黑体" w:hAnsi="黑体" w:eastAsia="黑体"/>
                            <w:b/>
                            <w:bCs/>
                            <w:sz w:val="18"/>
                            <w:szCs w:val="21"/>
                          </w:rPr>
                        </w:pPr>
                        <w:r>
                          <w:rPr>
                            <w:rFonts w:hint="eastAsia" w:eastAsia="黑体"/>
                            <w:b/>
                            <w:bCs/>
                            <w:sz w:val="18"/>
                            <w:szCs w:val="21"/>
                          </w:rPr>
                          <w:t>控制或影响范围</w:t>
                        </w:r>
                      </w:p>
                    </w:txbxContent>
                  </v:textbox>
                </v:shape>
                <v:shape id="文本框 2" o:spid="_x0000_s1026" o:spt="202" type="#_x0000_t202" style="position:absolute;left:744749;top:575788;height:298450;width:1655110;" filled="f" stroked="f" coordsize="21600,21600" o:gfxdata="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n5R73&#10;wAAAAOMAAAAPAAAAAAAAAAEAIAAAACIAAABkcnMvZG93bnJldi54bWxQSwECFAAUAAAACACHTuJA&#10;My8FnjsAAAA5AAAAEAAAAAAAAAABACAAAAAPAQAAZHJzL3NoYXBleG1sLnhtbFBLBQYAAAAABgAG&#10;AFsBAAC5AwAAAAA=&#10;">
                  <v:fill on="f" focussize="0,0"/>
                  <v:stroke on="f" miterlimit="8" joinstyle="miter"/>
                  <v:imagedata o:title=""/>
                  <o:lock v:ext="edit" aspectratio="f"/>
                  <v:textbox>
                    <w:txbxContent>
                      <w:p>
                        <w:pPr>
                          <w:jc w:val="center"/>
                          <w:rPr>
                            <w:rFonts w:hint="eastAsia" w:ascii="黑体" w:hAnsi="黑体" w:eastAsia="黑体"/>
                            <w:b/>
                            <w:bCs/>
                            <w:color w:val="5B9BD5" w:themeColor="accent1"/>
                            <w:sz w:val="18"/>
                            <w:szCs w:val="21"/>
                            <w14:textFill>
                              <w14:solidFill>
                                <w14:schemeClr w14:val="accent1"/>
                              </w14:solidFill>
                            </w14:textFill>
                          </w:rPr>
                        </w:pPr>
                        <w:r>
                          <w:rPr>
                            <w:rFonts w:hint="eastAsia" w:ascii="黑体" w:hAnsi="黑体" w:eastAsia="黑体"/>
                            <w:b/>
                            <w:bCs/>
                            <w:color w:val="5B9BD5" w:themeColor="accent1"/>
                            <w:sz w:val="18"/>
                            <w:szCs w:val="21"/>
                            <w14:textFill>
                              <w14:solidFill>
                                <w14:schemeClr w14:val="accent1"/>
                              </w14:solidFill>
                            </w14:textFill>
                          </w:rPr>
                          <w:t>减少排放（3.2.4）</w:t>
                        </w:r>
                      </w:p>
                    </w:txbxContent>
                  </v:textbox>
                </v:shape>
                <v:shape id="文本框 2" o:spid="_x0000_s1026" o:spt="202" type="#_x0000_t202" style="position:absolute;left:4104386;top:2161662;height:357172;width:1411504;" filled="f" stroked="f" coordsize="21600,21600" o:gfxdata="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D&#10;e5HCAAAA4wAAAA8AAAAAAAAAAQAgAAAAIgAAAGRycy9kb3ducmV2LnhtbFBLAQIUABQAAAAIAIdO&#10;4kAzLwWeOwAAADkAAAAQAAAAAAAAAAEAIAAAABEBAABkcnMvc2hhcGV4bWwueG1sUEsFBgAAAAAG&#10;AAYAWwEAALsDAAAAAA==&#10;">
                  <v:fill on="f" focussize="0,0"/>
                  <v:stroke on="f" miterlimit="8" joinstyle="miter"/>
                  <v:imagedata o:title=""/>
                  <o:lock v:ext="edit" aspectratio="f"/>
                  <v:textbox inset="1mm,1mm,1mm,1mm">
                    <w:txbxContent>
                      <w:p>
                        <w:pPr>
                          <w:jc w:val="center"/>
                          <w:rPr>
                            <w:rFonts w:hint="eastAsia" w:ascii="黑体" w:hAnsi="黑体" w:eastAsia="黑体"/>
                            <w:b/>
                            <w:bCs/>
                            <w:color w:val="70AD47" w:themeColor="accent6"/>
                            <w:sz w:val="18"/>
                            <w:szCs w:val="21"/>
                            <w14:textFill>
                              <w14:solidFill>
                                <w14:schemeClr w14:val="accent6"/>
                              </w14:solidFill>
                            </w14:textFill>
                          </w:rPr>
                        </w:pPr>
                        <w:r>
                          <w:rPr>
                            <w:rFonts w:hint="eastAsia" w:ascii="黑体" w:hAnsi="黑体" w:eastAsia="黑体"/>
                            <w:b/>
                            <w:bCs/>
                            <w:color w:val="70AD47" w:themeColor="accent6"/>
                            <w:sz w:val="18"/>
                            <w:szCs w:val="21"/>
                            <w14:textFill>
                              <w14:solidFill>
                                <w14:schemeClr w14:val="accent6"/>
                              </w14:solidFill>
                            </w14:textFill>
                          </w:rPr>
                          <w:t>可作为碳抵消（3.2.6）</w:t>
                        </w:r>
                      </w:p>
                    </w:txbxContent>
                  </v:textbox>
                </v:shape>
                <w10:wrap type="none"/>
                <w10:anchorlock/>
              </v:group>
            </w:pict>
          </mc:Fallback>
        </mc:AlternateContent>
      </w:r>
    </w:p>
    <w:p>
      <w:pPr>
        <w:spacing w:before="240"/>
        <w:ind w:firstLine="0"/>
        <w:rPr>
          <w:rFonts w:hint="eastAsia" w:ascii="黑体" w:hAnsi="黑体" w:eastAsia="黑体" w:cs="Arial"/>
          <w:szCs w:val="21"/>
          <w:highlight w:val="none"/>
        </w:rPr>
      </w:pPr>
      <w:r>
        <w:rPr>
          <w:rFonts w:hint="eastAsia" w:ascii="黑体" w:hAnsi="黑体" w:eastAsia="黑体" w:cs="Arial"/>
          <w:szCs w:val="21"/>
          <w:highlight w:val="none"/>
        </w:rPr>
        <w:t>A.2碳中和或净零行动的优先级</w:t>
      </w:r>
    </w:p>
    <w:p>
      <w:pPr>
        <w:spacing w:before="120"/>
        <w:ind w:firstLine="420"/>
        <w:rPr>
          <w:rFonts w:ascii="宋体" w:hAnsi="宋体" w:cs="Arial"/>
          <w:szCs w:val="21"/>
          <w:highlight w:val="none"/>
        </w:rPr>
      </w:pPr>
      <w:r>
        <w:rPr>
          <w:rFonts w:hint="eastAsia" w:ascii="宋体" w:hAnsi="宋体" w:cs="Arial"/>
          <w:szCs w:val="21"/>
          <w:highlight w:val="none"/>
        </w:rPr>
        <w:t>在追求实</w:t>
      </w:r>
      <w:r>
        <w:rPr>
          <w:rFonts w:hint="eastAsia" w:ascii="宋体" w:hAnsi="宋体" w:cs="Arial"/>
          <w:szCs w:val="21"/>
          <w:highlight w:val="none"/>
          <w:lang w:val="en-US" w:eastAsia="zh-CN"/>
        </w:rPr>
        <w:t>现</w:t>
      </w:r>
      <w:r>
        <w:rPr>
          <w:rFonts w:hint="eastAsia" w:ascii="宋体" w:hAnsi="宋体" w:cs="Arial"/>
          <w:b/>
          <w:bCs/>
          <w:szCs w:val="21"/>
          <w:highlight w:val="none"/>
        </w:rPr>
        <w:t>净零排放</w:t>
      </w:r>
      <w:r>
        <w:rPr>
          <w:rFonts w:hint="eastAsia" w:ascii="宋体" w:hAnsi="宋体" w:cs="Arial"/>
          <w:szCs w:val="21"/>
          <w:highlight w:val="none"/>
        </w:rPr>
        <w:t>（3.2.1）或</w:t>
      </w:r>
      <w:r>
        <w:rPr>
          <w:rFonts w:hint="eastAsia" w:ascii="宋体" w:hAnsi="宋体" w:cs="Arial"/>
          <w:b/>
          <w:bCs/>
          <w:szCs w:val="21"/>
          <w:highlight w:val="none"/>
        </w:rPr>
        <w:t>碳中和</w:t>
      </w:r>
      <w:r>
        <w:rPr>
          <w:rFonts w:hint="eastAsia" w:ascii="宋体" w:hAnsi="宋体" w:cs="Arial"/>
          <w:szCs w:val="21"/>
          <w:highlight w:val="none"/>
        </w:rPr>
        <w:t>（3.2.2）目标时，应优先在价值链范围以内开展碳减排（3.2.4）行动，并尽力将排放降低至残留排放（3.1.8）水平，其次增加价值链范围内的碳清除量（3.2.5），再次可增加价值链范围以外的碳清除量（3.2.5）。</w:t>
      </w:r>
    </w:p>
    <w:p>
      <w:pPr>
        <w:spacing w:before="120"/>
        <w:ind w:firstLine="420"/>
        <w:rPr>
          <w:rFonts w:ascii="宋体" w:hAnsi="宋体" w:cs="Arial"/>
          <w:szCs w:val="21"/>
          <w:highlight w:val="none"/>
        </w:rPr>
      </w:pPr>
      <w:r>
        <w:rPr>
          <w:rFonts w:hint="eastAsia" w:ascii="宋体" w:hAnsi="宋体" w:cs="Arial"/>
          <w:szCs w:val="21"/>
          <w:highlight w:val="none"/>
        </w:rPr>
        <w:t>价值链范围以内的碳减排（3.2.4）举措包括采购可被验证的绿色电力、绿色燃料或原料，亦包括采购被广泛认可的、具有唯一性和可追溯性的环境属性证书（包括绿色电力证书、可持续航空燃料证书）。</w:t>
      </w:r>
    </w:p>
    <w:p>
      <w:pPr>
        <w:spacing w:before="120"/>
        <w:ind w:firstLine="420"/>
        <w:rPr>
          <w:rFonts w:ascii="宋体" w:hAnsi="宋体" w:cs="Arial"/>
          <w:szCs w:val="21"/>
          <w:highlight w:val="none"/>
        </w:rPr>
      </w:pPr>
      <w:r>
        <w:rPr>
          <w:rFonts w:hint="eastAsia" w:ascii="宋体" w:hAnsi="宋体" w:cs="Arial"/>
          <w:szCs w:val="21"/>
          <w:highlight w:val="none"/>
        </w:rPr>
        <w:t>价值链范围以外的碳清除（3.2.5）可以来自其投资或资助实施的碳清除项目，也可以来自基于被公认的、高质量的自愿碳减排机制下的碳信用额。</w:t>
      </w:r>
    </w:p>
    <w:p>
      <w:pPr>
        <w:spacing w:before="240"/>
        <w:ind w:left="780" w:firstLineChars="0"/>
        <w:rPr>
          <w:rFonts w:hint="eastAsia" w:ascii="黑体" w:hAnsi="黑体" w:eastAsia="黑体" w:cs="Arial"/>
          <w:szCs w:val="21"/>
          <w:highlight w:val="none"/>
        </w:rPr>
      </w:pPr>
      <w:r>
        <w:rPr>
          <w:rFonts w:hint="eastAsia" w:ascii="黑体" w:hAnsi="黑体" w:eastAsia="黑体" w:cs="Arial"/>
          <w:szCs w:val="21"/>
          <w:highlight w:val="none"/>
        </w:rPr>
        <w:t>A.3 赋能社会减排与影响力</w:t>
      </w:r>
    </w:p>
    <w:p>
      <w:pPr>
        <w:spacing w:before="120"/>
        <w:ind w:firstLine="420"/>
        <w:rPr>
          <w:rFonts w:ascii="宋体" w:hAnsi="宋体" w:cs="Arial"/>
          <w:szCs w:val="21"/>
          <w:highlight w:val="none"/>
        </w:rPr>
      </w:pPr>
      <w:r>
        <w:rPr>
          <w:rFonts w:hint="eastAsia" w:ascii="宋体" w:hAnsi="宋体" w:cs="Arial"/>
          <w:szCs w:val="21"/>
          <w:highlight w:val="none"/>
        </w:rPr>
        <w:t>描述对象在价值链范围以外避免排放（3.2.7）可以按照适合的标准与方法学进行量化评价，作为描述对象赋能社会减排的贡献进行披露，亦可称作“影响力（Impact）”或“碳手印（carbon handprint）”，即通过示范引领、技术扩散，或提供有助于降低社会排放的产品或服务，在一定时期内促进价值链范围外的利益相关方实现了碳减排。</w:t>
      </w:r>
    </w:p>
    <w:p>
      <w:pPr>
        <w:spacing w:before="120"/>
        <w:ind w:firstLine="420"/>
        <w:rPr>
          <w:rFonts w:hint="eastAsia" w:ascii="宋体" w:hAnsi="宋体" w:cs="Arial"/>
          <w:szCs w:val="21"/>
          <w:highlight w:val="none"/>
        </w:rPr>
      </w:pPr>
      <w:r>
        <w:rPr>
          <w:rFonts w:hint="eastAsia" w:ascii="宋体" w:hAnsi="宋体" w:cs="Arial"/>
          <w:szCs w:val="21"/>
          <w:highlight w:val="none"/>
        </w:rPr>
        <w:t>为避免重复计算，避免排放（3.2.7）不应作为碳抵消（3.2.6）。</w:t>
      </w:r>
    </w:p>
    <w:p>
      <w:pPr>
        <w:spacing w:before="120"/>
        <w:ind w:firstLine="420"/>
        <w:rPr>
          <w:rFonts w:hint="eastAsia" w:ascii="宋体" w:hAnsi="宋体" w:cs="Arial"/>
          <w:szCs w:val="21"/>
          <w:highlight w:val="none"/>
        </w:rPr>
      </w:pPr>
      <w:r>
        <w:rPr>
          <w:rFonts w:hint="eastAsia" w:ascii="黑体" w:hAnsi="黑体" w:eastAsia="黑体" w:cs="Arial"/>
          <w:sz w:val="20"/>
          <w:szCs w:val="20"/>
          <w:highlight w:val="none"/>
        </w:rPr>
        <w:t>注</w:t>
      </w:r>
      <w:r>
        <w:rPr>
          <w:rFonts w:hint="eastAsia" w:ascii="宋体" w:hAnsi="宋体" w:cs="Arial"/>
          <w:sz w:val="20"/>
          <w:szCs w:val="20"/>
          <w:highlight w:val="none"/>
        </w:rPr>
        <w:t>：避免排放或碳手印的量化评价，宜采用的标准规范参见附录C。</w:t>
      </w:r>
    </w:p>
    <w:p>
      <w:pPr>
        <w:spacing w:before="120"/>
        <w:ind w:firstLine="420"/>
        <w:rPr>
          <w:rFonts w:hint="eastAsia" w:ascii="宋体" w:hAnsi="宋体" w:cs="Arial"/>
          <w:kern w:val="2"/>
          <w:sz w:val="21"/>
          <w:szCs w:val="21"/>
          <w:highlight w:val="none"/>
        </w:rPr>
      </w:pPr>
    </w:p>
    <w:p>
      <w:pPr>
        <w:widowControl/>
        <w:jc w:val="left"/>
        <w:rPr>
          <w:rFonts w:ascii="黑体" w:hAnsi="黑体" w:eastAsia="黑体" w:cs="黑体"/>
          <w:spacing w:val="51"/>
          <w:highlight w:val="none"/>
        </w:rPr>
      </w:pPr>
      <w:r>
        <w:rPr>
          <w:rFonts w:ascii="黑体" w:hAnsi="黑体" w:eastAsia="黑体" w:cs="黑体"/>
          <w:spacing w:val="51"/>
          <w:highlight w:val="none"/>
        </w:rPr>
        <w:br w:type="page"/>
      </w:r>
    </w:p>
    <w:p>
      <w:pPr>
        <w:widowControl/>
        <w:jc w:val="left"/>
        <w:rPr>
          <w:rFonts w:ascii="黑体" w:hAnsi="黑体" w:eastAsia="黑体" w:cs="黑体"/>
          <w:spacing w:val="51"/>
          <w:highlight w:val="none"/>
        </w:rPr>
      </w:pPr>
    </w:p>
    <w:p>
      <w:pPr>
        <w:widowControl/>
        <w:jc w:val="left"/>
        <w:rPr>
          <w:rFonts w:ascii="黑体" w:hAnsi="黑体" w:eastAsia="黑体" w:cs="黑体"/>
          <w:spacing w:val="51"/>
          <w:highlight w:val="none"/>
        </w:rPr>
      </w:pPr>
    </w:p>
    <w:p>
      <w:pPr>
        <w:pStyle w:val="14"/>
        <w:spacing w:before="0" w:after="0"/>
        <w:ind w:right="172"/>
        <w:jc w:val="center"/>
        <w:outlineLvl w:val="0"/>
        <w:rPr>
          <w:rFonts w:ascii="黑体" w:hAnsi="黑体" w:eastAsia="黑体" w:cs="黑体"/>
          <w:spacing w:val="51"/>
          <w:highlight w:val="none"/>
        </w:rPr>
      </w:pPr>
      <w:r>
        <w:rPr>
          <w:rFonts w:hint="eastAsia" w:ascii="黑体" w:hAnsi="黑体" w:eastAsia="黑体" w:cs="黑体"/>
          <w:spacing w:val="51"/>
          <w:highlight w:val="none"/>
        </w:rPr>
        <w:t>附 录</w:t>
      </w:r>
      <w:bookmarkEnd w:id="64"/>
      <w:r>
        <w:rPr>
          <w:rFonts w:hint="eastAsia" w:ascii="Times New Roman" w:hAnsi="Times New Roman" w:eastAsia="黑体" w:cs="Times New Roman"/>
          <w:spacing w:val="51"/>
          <w:highlight w:val="none"/>
        </w:rPr>
        <w:t>B</w:t>
      </w:r>
    </w:p>
    <w:p>
      <w:pPr>
        <w:pStyle w:val="14"/>
        <w:spacing w:before="0" w:after="0"/>
        <w:ind w:right="172"/>
        <w:jc w:val="center"/>
        <w:rPr>
          <w:rFonts w:ascii="黑体" w:hAnsi="黑体" w:eastAsia="黑体" w:cs="黑体"/>
          <w:spacing w:val="-102"/>
          <w:highlight w:val="none"/>
        </w:rPr>
      </w:pPr>
      <w:r>
        <w:rPr>
          <w:rFonts w:hint="eastAsia" w:ascii="黑体" w:hAnsi="黑体" w:eastAsia="黑体" w:cs="黑体"/>
          <w:spacing w:val="-1"/>
          <w:highlight w:val="none"/>
        </w:rPr>
        <w:t>（资料性</w:t>
      </w:r>
      <w:r>
        <w:rPr>
          <w:rFonts w:hint="eastAsia" w:ascii="黑体" w:hAnsi="黑体" w:eastAsia="黑体" w:cs="黑体"/>
          <w:highlight w:val="none"/>
        </w:rPr>
        <w:t>）</w:t>
      </w:r>
      <w:bookmarkEnd w:id="65"/>
    </w:p>
    <w:p>
      <w:pPr>
        <w:widowControl/>
        <w:spacing w:after="0"/>
        <w:jc w:val="center"/>
        <w:rPr>
          <w:rFonts w:ascii="黑体" w:hAnsi="黑体" w:eastAsia="黑体"/>
          <w:spacing w:val="-1"/>
          <w:highlight w:val="none"/>
        </w:rPr>
      </w:pPr>
      <w:r>
        <w:rPr>
          <w:rFonts w:hint="eastAsia" w:ascii="黑体" w:hAnsi="黑体" w:eastAsia="黑体"/>
          <w:spacing w:val="-1"/>
          <w:highlight w:val="none"/>
        </w:rPr>
        <w:t>不同披露情形下对</w:t>
      </w:r>
      <w:r>
        <w:rPr>
          <w:rFonts w:hint="eastAsia" w:ascii="黑体" w:hAnsi="黑体" w:eastAsia="黑体"/>
          <w:b w:val="0"/>
          <w:spacing w:val="-1"/>
          <w:highlight w:val="none"/>
        </w:rPr>
        <w:t>应</w:t>
      </w:r>
      <w:r>
        <w:rPr>
          <w:rFonts w:hint="eastAsia" w:ascii="黑体" w:hAnsi="黑体" w:eastAsia="黑体"/>
          <w:spacing w:val="-1"/>
          <w:highlight w:val="none"/>
        </w:rPr>
        <w:t>的披露内容</w:t>
      </w:r>
    </w:p>
    <w:p>
      <w:pPr>
        <w:spacing w:before="240"/>
        <w:ind w:firstLine="420"/>
        <w:rPr>
          <w:rFonts w:ascii="宋体" w:hAnsi="宋体" w:cs="宋体"/>
          <w:kern w:val="0"/>
          <w:sz w:val="24"/>
          <w:highlight w:val="none"/>
        </w:rPr>
      </w:pPr>
      <w:r>
        <w:rPr>
          <w:rFonts w:hint="eastAsia" w:ascii="宋体" w:hAnsi="宋体" w:cs="Arial"/>
          <w:szCs w:val="21"/>
          <w:highlight w:val="none"/>
        </w:rPr>
        <w:t>表</w:t>
      </w:r>
      <w:r>
        <w:rPr>
          <w:rFonts w:ascii="宋体" w:hAnsi="宋体" w:cs="Arial"/>
          <w:szCs w:val="21"/>
          <w:highlight w:val="none"/>
        </w:rPr>
        <w:t xml:space="preserve"> </w:t>
      </w:r>
      <w:r>
        <w:rPr>
          <w:rFonts w:hint="eastAsia" w:ascii="宋体" w:hAnsi="宋体" w:cs="Arial"/>
          <w:szCs w:val="21"/>
          <w:highlight w:val="none"/>
        </w:rPr>
        <w:t>B</w:t>
      </w:r>
      <w:r>
        <w:rPr>
          <w:rFonts w:ascii="宋体" w:hAnsi="宋体" w:cs="Arial"/>
          <w:szCs w:val="21"/>
          <w:highlight w:val="none"/>
        </w:rPr>
        <w:t>.1</w:t>
      </w:r>
      <w:r>
        <w:rPr>
          <w:rFonts w:hint="eastAsia" w:ascii="宋体" w:hAnsi="宋体" w:cs="Arial"/>
          <w:szCs w:val="21"/>
          <w:highlight w:val="none"/>
        </w:rPr>
        <w:t>提供了在不同披露情景下对不同披露内容指引。</w:t>
      </w:r>
    </w:p>
    <w:p>
      <w:pPr>
        <w:widowControl/>
        <w:spacing w:before="156" w:beforeLines="50" w:after="156" w:afterLines="50"/>
        <w:jc w:val="center"/>
        <w:rPr>
          <w:rFonts w:ascii="黑体" w:hAnsi="黑体" w:eastAsia="黑体" w:cs="宋体"/>
          <w:kern w:val="0"/>
          <w:szCs w:val="21"/>
          <w:highlight w:val="none"/>
        </w:rPr>
      </w:pPr>
      <w:r>
        <w:rPr>
          <w:rFonts w:ascii="黑体" w:hAnsi="黑体" w:eastAsia="黑体" w:cs="宋体"/>
          <w:kern w:val="0"/>
          <w:szCs w:val="21"/>
          <w:highlight w:val="none"/>
        </w:rPr>
        <w:t xml:space="preserve">表 </w:t>
      </w:r>
      <w:r>
        <w:rPr>
          <w:rFonts w:hint="eastAsia" w:ascii="黑体" w:hAnsi="黑体" w:eastAsia="黑体" w:cs="宋体"/>
          <w:kern w:val="0"/>
          <w:szCs w:val="21"/>
          <w:highlight w:val="none"/>
        </w:rPr>
        <w:t>B</w:t>
      </w:r>
      <w:r>
        <w:rPr>
          <w:rFonts w:ascii="黑体" w:hAnsi="黑体" w:eastAsia="黑体" w:cs="宋体"/>
          <w:kern w:val="0"/>
          <w:szCs w:val="21"/>
          <w:highlight w:val="none"/>
        </w:rPr>
        <w:t xml:space="preserve">.1 </w:t>
      </w:r>
      <w:r>
        <w:rPr>
          <w:rFonts w:hint="eastAsia" w:ascii="黑体" w:hAnsi="黑体" w:eastAsia="黑体" w:cs="宋体"/>
          <w:kern w:val="0"/>
          <w:szCs w:val="21"/>
          <w:highlight w:val="none"/>
        </w:rPr>
        <w:t>不同披露情形下对</w:t>
      </w:r>
      <w:r>
        <w:rPr>
          <w:rFonts w:hint="eastAsia" w:ascii="黑体" w:hAnsi="黑体" w:eastAsia="黑体" w:cs="宋体"/>
          <w:b w:val="0"/>
          <w:bCs/>
          <w:kern w:val="0"/>
          <w:szCs w:val="21"/>
          <w:highlight w:val="none"/>
        </w:rPr>
        <w:t>应</w:t>
      </w:r>
      <w:r>
        <w:rPr>
          <w:rFonts w:hint="eastAsia" w:ascii="黑体" w:hAnsi="黑体" w:eastAsia="黑体" w:cs="宋体"/>
          <w:kern w:val="0"/>
          <w:szCs w:val="21"/>
          <w:highlight w:val="none"/>
        </w:rPr>
        <w:t>的披露内容</w:t>
      </w:r>
    </w:p>
    <w:tbl>
      <w:tblPr>
        <w:tblStyle w:val="41"/>
        <w:tblW w:w="9398"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171"/>
        <w:gridCol w:w="2273"/>
        <w:gridCol w:w="1840"/>
        <w:gridCol w:w="2129"/>
        <w:gridCol w:w="198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3444" w:type="dxa"/>
            <w:gridSpan w:val="2"/>
            <w:tcBorders>
              <w:top w:val="single" w:color="auto" w:sz="8" w:space="0"/>
              <w:bottom w:val="single" w:color="auto" w:sz="8" w:space="0"/>
            </w:tcBorders>
            <w:vAlign w:val="center"/>
          </w:tcPr>
          <w:p>
            <w:pPr>
              <w:widowControl/>
              <w:jc w:val="center"/>
              <w:rPr>
                <w:rFonts w:ascii="宋体" w:hAnsiTheme="minorEastAsia" w:eastAsiaTheme="minorEastAsia"/>
                <w:b w:val="0"/>
                <w:bCs w:val="0"/>
                <w:sz w:val="18"/>
                <w:szCs w:val="18"/>
                <w:highlight w:val="none"/>
              </w:rPr>
            </w:pPr>
            <w:r>
              <w:rPr>
                <w:rFonts w:hint="eastAsia" w:asciiTheme="minorEastAsia" w:hAnsiTheme="minorEastAsia" w:eastAsiaTheme="minorEastAsia"/>
                <w:sz w:val="18"/>
                <w:szCs w:val="18"/>
                <w:highlight w:val="none"/>
              </w:rPr>
              <w:t>披露内容</w:t>
            </w:r>
          </w:p>
        </w:tc>
        <w:tc>
          <w:tcPr>
            <w:tcW w:w="1840" w:type="dxa"/>
            <w:tcBorders>
              <w:top w:val="single" w:color="auto" w:sz="8" w:space="0"/>
              <w:bottom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面向消费市场或一般大众的公开披露</w:t>
            </w:r>
          </w:p>
        </w:tc>
        <w:tc>
          <w:tcPr>
            <w:tcW w:w="2129" w:type="dxa"/>
            <w:tcBorders>
              <w:top w:val="single" w:color="auto" w:sz="8" w:space="0"/>
              <w:bottom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面向资本市场或特定利益相关方的公开披露</w:t>
            </w:r>
          </w:p>
        </w:tc>
        <w:tc>
          <w:tcPr>
            <w:tcW w:w="1985" w:type="dxa"/>
            <w:tcBorders>
              <w:top w:val="single" w:color="auto" w:sz="8" w:space="0"/>
              <w:bottom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面向商业活动特定对象的正式非公开披露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tcBorders>
              <w:top w:val="single" w:color="auto" w:sz="8" w:space="0"/>
            </w:tcBorders>
            <w:vAlign w:val="center"/>
          </w:tcPr>
          <w:p>
            <w:pPr>
              <w:widowControl/>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披露主体</w:t>
            </w:r>
          </w:p>
        </w:tc>
        <w:tc>
          <w:tcPr>
            <w:tcW w:w="2273" w:type="dxa"/>
            <w:tcBorders>
              <w:top w:val="single" w:color="auto" w:sz="8" w:space="0"/>
            </w:tcBorders>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合规披露内部管理体系*</w:t>
            </w:r>
          </w:p>
        </w:tc>
        <w:tc>
          <w:tcPr>
            <w:tcW w:w="1840" w:type="dxa"/>
            <w:tcBorders>
              <w:top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可披露</w:t>
            </w:r>
          </w:p>
        </w:tc>
        <w:tc>
          <w:tcPr>
            <w:tcW w:w="2129" w:type="dxa"/>
            <w:tcBorders>
              <w:top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c>
          <w:tcPr>
            <w:tcW w:w="1985" w:type="dxa"/>
            <w:tcBorders>
              <w:top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restart"/>
          </w:tcPr>
          <w:p>
            <w:pPr>
              <w:widowControl/>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描述对象</w:t>
            </w:r>
          </w:p>
        </w:tc>
        <w:tc>
          <w:tcPr>
            <w:tcW w:w="2273"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描述对象的定义</w:t>
            </w:r>
          </w:p>
        </w:tc>
        <w:tc>
          <w:tcPr>
            <w:tcW w:w="1840"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tcPr>
          <w:p>
            <w:pPr>
              <w:rPr>
                <w:rFonts w:cs="宋体" w:asciiTheme="minorEastAsia" w:hAnsiTheme="minorEastAsia" w:eastAsiaTheme="minorEastAsia"/>
                <w:kern w:val="0"/>
                <w:sz w:val="18"/>
                <w:szCs w:val="18"/>
                <w:highlight w:val="none"/>
              </w:rPr>
            </w:pPr>
          </w:p>
        </w:tc>
        <w:tc>
          <w:tcPr>
            <w:tcW w:w="2273"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描述对象的类型</w:t>
            </w:r>
          </w:p>
        </w:tc>
        <w:tc>
          <w:tcPr>
            <w:tcW w:w="1840"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tcPr>
          <w:p>
            <w:pPr>
              <w:rPr>
                <w:rFonts w:cs="宋体" w:asciiTheme="minorEastAsia" w:hAnsiTheme="minorEastAsia" w:eastAsiaTheme="minorEastAsia"/>
                <w:kern w:val="0"/>
                <w:sz w:val="18"/>
                <w:szCs w:val="18"/>
                <w:highlight w:val="none"/>
              </w:rPr>
            </w:pPr>
          </w:p>
        </w:tc>
        <w:tc>
          <w:tcPr>
            <w:tcW w:w="2273" w:type="dxa"/>
          </w:tcPr>
          <w:p>
            <w:pPr>
              <w:widowControl/>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描述对象与披露主体的相关性</w:t>
            </w:r>
            <w:r>
              <w:rPr>
                <w:rFonts w:asciiTheme="minorEastAsia" w:hAnsiTheme="minorEastAsia" w:eastAsiaTheme="minorEastAsia"/>
                <w:bCs w:val="0"/>
                <w:color w:val="auto"/>
                <w:kern w:val="2"/>
                <w:sz w:val="18"/>
                <w:szCs w:val="18"/>
                <w:highlight w:val="none"/>
              </w:rPr>
              <w:t>*</w:t>
            </w:r>
          </w:p>
        </w:tc>
        <w:tc>
          <w:tcPr>
            <w:tcW w:w="1840"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tcPr>
          <w:p>
            <w:pPr>
              <w:widowControl/>
              <w:rPr>
                <w:rFonts w:cs="宋体" w:asciiTheme="minorEastAsia" w:hAnsiTheme="minorEastAsia" w:eastAsiaTheme="minorEastAsia"/>
                <w:kern w:val="0"/>
                <w:sz w:val="18"/>
                <w:szCs w:val="18"/>
                <w:highlight w:val="none"/>
              </w:rPr>
            </w:pPr>
          </w:p>
        </w:tc>
        <w:tc>
          <w:tcPr>
            <w:tcW w:w="2273" w:type="dxa"/>
          </w:tcPr>
          <w:p>
            <w:pPr>
              <w:widowControl/>
              <w:jc w:val="both"/>
              <w:rPr>
                <w:rFonts w:ascii="宋体" w:hAnsiTheme="minorEastAsia" w:eastAsiaTheme="minorEastAsia"/>
                <w:sz w:val="18"/>
                <w:szCs w:val="18"/>
                <w:highlight w:val="none"/>
              </w:rPr>
            </w:pPr>
            <w:r>
              <w:rPr>
                <w:rFonts w:hint="eastAsia" w:asciiTheme="minorEastAsia" w:hAnsiTheme="minorEastAsia" w:eastAsiaTheme="minorEastAsia"/>
                <w:bCs w:val="0"/>
                <w:color w:val="auto"/>
                <w:kern w:val="2"/>
                <w:sz w:val="18"/>
                <w:szCs w:val="18"/>
                <w:highlight w:val="none"/>
              </w:rPr>
              <w:t>以上信息的标准依据</w:t>
            </w:r>
            <w:r>
              <w:rPr>
                <w:rFonts w:asciiTheme="minorEastAsia" w:hAnsiTheme="minorEastAsia" w:eastAsiaTheme="minorEastAsia"/>
                <w:bCs w:val="0"/>
                <w:color w:val="auto"/>
                <w:kern w:val="2"/>
                <w:sz w:val="18"/>
                <w:szCs w:val="18"/>
                <w:highlight w:val="none"/>
              </w:rPr>
              <w:t>*</w:t>
            </w:r>
          </w:p>
        </w:tc>
        <w:tc>
          <w:tcPr>
            <w:tcW w:w="1840"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可披露</w:t>
            </w:r>
          </w:p>
        </w:tc>
        <w:tc>
          <w:tcPr>
            <w:tcW w:w="2129"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宜披露</w:t>
            </w:r>
          </w:p>
        </w:tc>
        <w:tc>
          <w:tcPr>
            <w:tcW w:w="1985"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restart"/>
            <w:vAlign w:val="center"/>
          </w:tcPr>
          <w:p>
            <w:pPr>
              <w:widowControl/>
              <w:jc w:val="left"/>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目标类信息（若适用）</w:t>
            </w:r>
          </w:p>
        </w:tc>
        <w:tc>
          <w:tcPr>
            <w:tcW w:w="2273"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目标的基本信息</w:t>
            </w:r>
          </w:p>
        </w:tc>
        <w:tc>
          <w:tcPr>
            <w:tcW w:w="1840"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jc w:val="left"/>
              <w:rPr>
                <w:rFonts w:asciiTheme="minorEastAsia" w:hAnsiTheme="minorEastAsia" w:eastAsiaTheme="minorEastAsia"/>
                <w:sz w:val="18"/>
                <w:szCs w:val="18"/>
                <w:highlight w:val="none"/>
              </w:rPr>
            </w:pPr>
          </w:p>
        </w:tc>
        <w:tc>
          <w:tcPr>
            <w:tcW w:w="2273"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目标的承诺和声明</w:t>
            </w:r>
            <w:r>
              <w:rPr>
                <w:rFonts w:asciiTheme="minorEastAsia" w:hAnsiTheme="minorEastAsia" w:eastAsiaTheme="minorEastAsia"/>
                <w:sz w:val="18"/>
                <w:szCs w:val="18"/>
                <w:highlight w:val="none"/>
              </w:rPr>
              <w:t>*</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jc w:val="left"/>
              <w:rPr>
                <w:rFonts w:asciiTheme="minorEastAsia" w:hAnsiTheme="minorEastAsia" w:eastAsiaTheme="minorEastAsia"/>
                <w:sz w:val="18"/>
                <w:szCs w:val="18"/>
                <w:highlight w:val="none"/>
              </w:rPr>
            </w:pPr>
          </w:p>
        </w:tc>
        <w:tc>
          <w:tcPr>
            <w:tcW w:w="2273"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目标的实现路径</w:t>
            </w:r>
            <w:r>
              <w:rPr>
                <w:rFonts w:asciiTheme="minorEastAsia" w:hAnsiTheme="minorEastAsia" w:eastAsiaTheme="minorEastAsia"/>
                <w:sz w:val="18"/>
                <w:szCs w:val="18"/>
                <w:highlight w:val="none"/>
              </w:rPr>
              <w:t>*</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jc w:val="left"/>
              <w:rPr>
                <w:rFonts w:asciiTheme="minorEastAsia" w:hAnsiTheme="minorEastAsia" w:eastAsiaTheme="minorEastAsia"/>
                <w:sz w:val="18"/>
                <w:szCs w:val="18"/>
                <w:highlight w:val="none"/>
              </w:rPr>
            </w:pPr>
          </w:p>
        </w:tc>
        <w:tc>
          <w:tcPr>
            <w:tcW w:w="2273"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目标与路径的必要依据</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widowControl/>
              <w:jc w:val="left"/>
              <w:rPr>
                <w:rFonts w:asciiTheme="minorEastAsia" w:hAnsiTheme="minorEastAsia" w:eastAsiaTheme="minorEastAsia"/>
                <w:sz w:val="18"/>
                <w:szCs w:val="18"/>
                <w:highlight w:val="none"/>
              </w:rPr>
            </w:pPr>
          </w:p>
        </w:tc>
        <w:tc>
          <w:tcPr>
            <w:tcW w:w="2273" w:type="dxa"/>
          </w:tcPr>
          <w:p>
            <w:pPr>
              <w:widowControl/>
              <w:jc w:val="both"/>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更积极的行动</w:t>
            </w:r>
            <w:r>
              <w:rPr>
                <w:rFonts w:asciiTheme="minorEastAsia" w:hAnsiTheme="minorEastAsia" w:eastAsiaTheme="minorEastAsia"/>
                <w:sz w:val="18"/>
                <w:szCs w:val="18"/>
                <w:highlight w:val="none"/>
              </w:rPr>
              <w:t>*</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可披露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restart"/>
            <w:vAlign w:val="center"/>
          </w:tcPr>
          <w:p>
            <w:pPr>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举措类信息（若适用）</w:t>
            </w:r>
          </w:p>
        </w:tc>
        <w:tc>
          <w:tcPr>
            <w:tcW w:w="2273"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举措的基本信息</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widowControl/>
              <w:jc w:val="left"/>
              <w:rPr>
                <w:rFonts w:asciiTheme="minorEastAsia" w:hAnsiTheme="minorEastAsia" w:eastAsiaTheme="minorEastAsia"/>
                <w:sz w:val="18"/>
                <w:szCs w:val="18"/>
                <w:highlight w:val="none"/>
              </w:rPr>
            </w:pPr>
          </w:p>
        </w:tc>
        <w:tc>
          <w:tcPr>
            <w:tcW w:w="2273" w:type="dxa"/>
          </w:tcPr>
          <w:p>
            <w:pPr>
              <w:widowControl/>
              <w:jc w:val="both"/>
              <w:rPr>
                <w:rFonts w:ascii="宋体" w:hAnsiTheme="minorEastAsia" w:eastAsiaTheme="minorEastAsia"/>
                <w:sz w:val="18"/>
                <w:szCs w:val="18"/>
                <w:highlight w:val="none"/>
              </w:rPr>
            </w:pPr>
            <w:r>
              <w:rPr>
                <w:rFonts w:hint="eastAsia" w:cs="Times New Roman" w:asciiTheme="minorEastAsia" w:hAnsiTheme="minorEastAsia" w:eastAsiaTheme="minorEastAsia"/>
                <w:sz w:val="18"/>
                <w:szCs w:val="18"/>
                <w:highlight w:val="none"/>
              </w:rPr>
              <w:t>举措内容的必要依据</w:t>
            </w:r>
            <w:r>
              <w:rPr>
                <w:rFonts w:cs="Times New Roman" w:asciiTheme="minorEastAsia" w:hAnsiTheme="minorEastAsia" w:eastAsiaTheme="minorEastAsia"/>
                <w:sz w:val="18"/>
                <w:szCs w:val="18"/>
                <w:highlight w:val="none"/>
              </w:rPr>
              <w:t>*</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restart"/>
            <w:vAlign w:val="center"/>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绩效类信息（若适用）</w:t>
            </w:r>
          </w:p>
        </w:tc>
        <w:tc>
          <w:tcPr>
            <w:tcW w:w="2273"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绩效指标的基本信息</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jc w:val="left"/>
              <w:rPr>
                <w:rFonts w:asciiTheme="minorEastAsia" w:hAnsiTheme="minorEastAsia" w:eastAsiaTheme="minorEastAsia"/>
                <w:sz w:val="18"/>
                <w:szCs w:val="18"/>
                <w:highlight w:val="none"/>
              </w:rPr>
            </w:pPr>
          </w:p>
        </w:tc>
        <w:tc>
          <w:tcPr>
            <w:tcW w:w="2273"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绩效指标的必要依据</w:t>
            </w:r>
            <w:r>
              <w:rPr>
                <w:rFonts w:asciiTheme="minorEastAsia" w:hAnsiTheme="minorEastAsia" w:eastAsiaTheme="minorEastAsia"/>
                <w:sz w:val="18"/>
                <w:szCs w:val="18"/>
                <w:highlight w:val="none"/>
              </w:rPr>
              <w:t>*</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jc w:val="left"/>
              <w:rPr>
                <w:rFonts w:asciiTheme="minorEastAsia" w:hAnsiTheme="minorEastAsia" w:eastAsiaTheme="minorEastAsia"/>
                <w:sz w:val="18"/>
                <w:szCs w:val="18"/>
                <w:highlight w:val="none"/>
              </w:rPr>
            </w:pPr>
          </w:p>
        </w:tc>
        <w:tc>
          <w:tcPr>
            <w:tcW w:w="2273" w:type="dxa"/>
          </w:tcPr>
          <w:p>
            <w:pPr>
              <w:widowControl/>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绩效指标相关的其他信息</w:t>
            </w:r>
            <w:r>
              <w:rPr>
                <w:rFonts w:asciiTheme="minorEastAsia" w:hAnsiTheme="minorEastAsia" w:eastAsiaTheme="minorEastAsia"/>
                <w:sz w:val="18"/>
                <w:szCs w:val="18"/>
                <w:highlight w:val="none"/>
              </w:rPr>
              <w:t xml:space="preserve">* </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restart"/>
            <w:vAlign w:val="center"/>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特性类信息（若适用）</w:t>
            </w:r>
          </w:p>
          <w:p>
            <w:pPr>
              <w:jc w:val="left"/>
              <w:rPr>
                <w:rFonts w:asciiTheme="minorEastAsia" w:hAnsiTheme="minorEastAsia" w:eastAsiaTheme="minorEastAsia"/>
                <w:sz w:val="18"/>
                <w:szCs w:val="18"/>
                <w:highlight w:val="none"/>
              </w:rPr>
            </w:pPr>
          </w:p>
        </w:tc>
        <w:tc>
          <w:tcPr>
            <w:tcW w:w="2273" w:type="dxa"/>
          </w:tcPr>
          <w:p>
            <w:pPr>
              <w:widowControl/>
              <w:rPr>
                <w:rFonts w:ascii="宋体" w:hAnsiTheme="minorEastAsia" w:eastAsiaTheme="minorEastAsia"/>
                <w:sz w:val="18"/>
                <w:szCs w:val="18"/>
                <w:highlight w:val="none"/>
              </w:rPr>
            </w:pPr>
            <w:r>
              <w:rPr>
                <w:rFonts w:hint="eastAsia" w:cs="Times New Roman" w:asciiTheme="minorEastAsia" w:hAnsiTheme="minorEastAsia" w:eastAsiaTheme="minorEastAsia"/>
                <w:sz w:val="18"/>
                <w:szCs w:val="18"/>
                <w:highlight w:val="none"/>
              </w:rPr>
              <w:t>特性的基本信息</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widowControl/>
              <w:jc w:val="left"/>
              <w:rPr>
                <w:rFonts w:asciiTheme="minorEastAsia" w:hAnsiTheme="minorEastAsia" w:eastAsiaTheme="minorEastAsia"/>
                <w:sz w:val="18"/>
                <w:szCs w:val="18"/>
                <w:highlight w:val="none"/>
              </w:rPr>
            </w:pPr>
          </w:p>
        </w:tc>
        <w:tc>
          <w:tcPr>
            <w:tcW w:w="2273" w:type="dxa"/>
          </w:tcPr>
          <w:p>
            <w:pPr>
              <w:widowControl/>
              <w:jc w:val="both"/>
              <w:rPr>
                <w:rFonts w:ascii="宋体" w:hAnsiTheme="minorEastAsia" w:eastAsiaTheme="minorEastAsia"/>
                <w:sz w:val="18"/>
                <w:szCs w:val="18"/>
                <w:highlight w:val="none"/>
              </w:rPr>
            </w:pPr>
            <w:r>
              <w:rPr>
                <w:rFonts w:hint="eastAsia" w:cs="Times New Roman" w:asciiTheme="minorEastAsia" w:hAnsiTheme="minorEastAsia" w:eastAsiaTheme="minorEastAsia"/>
                <w:sz w:val="18"/>
                <w:szCs w:val="18"/>
                <w:highlight w:val="none"/>
              </w:rPr>
              <w:t>特性的必要依据</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widowControl/>
              <w:jc w:val="left"/>
              <w:rPr>
                <w:rFonts w:ascii="宋体" w:hAnsiTheme="minorEastAsia" w:eastAsiaTheme="minorEastAsia"/>
                <w:sz w:val="18"/>
                <w:szCs w:val="18"/>
                <w:highlight w:val="none"/>
              </w:rPr>
            </w:pPr>
          </w:p>
        </w:tc>
        <w:tc>
          <w:tcPr>
            <w:tcW w:w="2273" w:type="dxa"/>
          </w:tcPr>
          <w:p>
            <w:pPr>
              <w:widowControl/>
              <w:jc w:val="both"/>
              <w:rPr>
                <w:rFonts w:ascii="宋体" w:hAnsiTheme="minorEastAsia" w:eastAsiaTheme="minorEastAsia"/>
                <w:sz w:val="18"/>
                <w:szCs w:val="18"/>
                <w:highlight w:val="none"/>
              </w:rPr>
            </w:pPr>
            <w:r>
              <w:rPr>
                <w:rFonts w:hint="eastAsia" w:cs="Times New Roman" w:asciiTheme="minorEastAsia" w:hAnsiTheme="minorEastAsia" w:eastAsiaTheme="minorEastAsia"/>
                <w:sz w:val="18"/>
                <w:szCs w:val="18"/>
                <w:highlight w:val="none"/>
              </w:rPr>
              <w:t>特性的其他必要信息</w:t>
            </w:r>
            <w:r>
              <w:rPr>
                <w:rFonts w:hint="eastAsia" w:asciiTheme="minorEastAsia" w:hAnsiTheme="minorEastAsia" w:eastAsiaTheme="minorEastAsia"/>
                <w:sz w:val="18"/>
                <w:szCs w:val="18"/>
                <w:highlight w:val="none"/>
              </w:rPr>
              <w:t>*</w:t>
            </w:r>
          </w:p>
        </w:tc>
        <w:tc>
          <w:tcPr>
            <w:tcW w:w="1840"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restart"/>
            <w:vAlign w:val="center"/>
          </w:tcPr>
          <w:p>
            <w:pPr>
              <w:widowControl/>
              <w:jc w:val="left"/>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回顾过去的信息</w:t>
            </w:r>
          </w:p>
        </w:tc>
        <w:tc>
          <w:tcPr>
            <w:tcW w:w="2273" w:type="dxa"/>
          </w:tcPr>
          <w:p>
            <w:pPr>
              <w:widowControl/>
              <w:jc w:val="left"/>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验证性声明</w:t>
            </w:r>
            <w:r>
              <w:rPr>
                <w:rFonts w:asciiTheme="minorEastAsia" w:hAnsiTheme="minorEastAsia" w:eastAsiaTheme="minorEastAsia"/>
                <w:sz w:val="18"/>
                <w:szCs w:val="18"/>
                <w:highlight w:val="none"/>
              </w:rPr>
              <w:t>*</w:t>
            </w:r>
          </w:p>
        </w:tc>
        <w:tc>
          <w:tcPr>
            <w:tcW w:w="1840"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2129"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1985"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widowControl/>
              <w:rPr>
                <w:rFonts w:ascii="宋体" w:hAnsiTheme="minorEastAsia" w:eastAsiaTheme="minorEastAsia"/>
                <w:sz w:val="18"/>
                <w:szCs w:val="18"/>
                <w:highlight w:val="none"/>
              </w:rPr>
            </w:pPr>
          </w:p>
        </w:tc>
        <w:tc>
          <w:tcPr>
            <w:tcW w:w="2273" w:type="dxa"/>
          </w:tcPr>
          <w:p>
            <w:pPr>
              <w:widowControl/>
              <w:jc w:val="left"/>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局限性和可信度声明</w:t>
            </w:r>
            <w:r>
              <w:rPr>
                <w:rFonts w:asciiTheme="minorEastAsia" w:hAnsiTheme="minorEastAsia" w:eastAsiaTheme="minorEastAsia"/>
                <w:sz w:val="18"/>
                <w:szCs w:val="18"/>
                <w:highlight w:val="none"/>
              </w:rPr>
              <w:t>*</w:t>
            </w:r>
          </w:p>
        </w:tc>
        <w:tc>
          <w:tcPr>
            <w:tcW w:w="1840"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2129"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1985"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widowControl/>
              <w:rPr>
                <w:rFonts w:ascii="宋体" w:hAnsiTheme="minorEastAsia" w:eastAsiaTheme="minorEastAsia"/>
                <w:sz w:val="18"/>
                <w:szCs w:val="18"/>
                <w:highlight w:val="none"/>
              </w:rPr>
            </w:pPr>
          </w:p>
        </w:tc>
        <w:tc>
          <w:tcPr>
            <w:tcW w:w="2273" w:type="dxa"/>
          </w:tcPr>
          <w:p>
            <w:pPr>
              <w:widowControl/>
              <w:jc w:val="left"/>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历史一贯性声明</w:t>
            </w:r>
            <w:r>
              <w:rPr>
                <w:rFonts w:asciiTheme="minorEastAsia" w:hAnsiTheme="minorEastAsia" w:eastAsiaTheme="minorEastAsia"/>
                <w:sz w:val="18"/>
                <w:szCs w:val="18"/>
                <w:highlight w:val="none"/>
              </w:rPr>
              <w:t>*</w:t>
            </w:r>
          </w:p>
        </w:tc>
        <w:tc>
          <w:tcPr>
            <w:tcW w:w="1840"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2129"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宋体"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restart"/>
            <w:vAlign w:val="center"/>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面向将来的信息</w:t>
            </w:r>
          </w:p>
        </w:tc>
        <w:tc>
          <w:tcPr>
            <w:tcW w:w="2273"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验证性声明</w:t>
            </w:r>
            <w:r>
              <w:rPr>
                <w:rFonts w:asciiTheme="minorEastAsia" w:hAnsiTheme="minorEastAsia" w:eastAsiaTheme="minorEastAsia"/>
                <w:sz w:val="18"/>
                <w:szCs w:val="18"/>
                <w:highlight w:val="none"/>
              </w:rPr>
              <w:t>*</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应披露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vAlign w:val="center"/>
          </w:tcPr>
          <w:p>
            <w:pPr>
              <w:widowControl/>
              <w:jc w:val="left"/>
              <w:rPr>
                <w:rFonts w:asciiTheme="minorEastAsia" w:hAnsiTheme="minorEastAsia" w:eastAsiaTheme="minorEastAsia"/>
                <w:sz w:val="18"/>
                <w:szCs w:val="18"/>
                <w:highlight w:val="none"/>
              </w:rPr>
            </w:pPr>
          </w:p>
        </w:tc>
        <w:tc>
          <w:tcPr>
            <w:tcW w:w="2273"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局限性和可信度声明</w:t>
            </w:r>
            <w:r>
              <w:rPr>
                <w:rFonts w:asciiTheme="minorEastAsia" w:hAnsiTheme="minorEastAsia" w:eastAsiaTheme="minorEastAsia"/>
                <w:sz w:val="18"/>
                <w:szCs w:val="18"/>
                <w:highlight w:val="none"/>
              </w:rPr>
              <w:t>*</w:t>
            </w:r>
          </w:p>
        </w:tc>
        <w:tc>
          <w:tcPr>
            <w:tcW w:w="1840"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2129"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1985" w:type="dxa"/>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71" w:type="dxa"/>
            <w:vMerge w:val="continue"/>
            <w:tcBorders>
              <w:bottom w:val="single" w:color="auto" w:sz="8" w:space="0"/>
            </w:tcBorders>
            <w:vAlign w:val="center"/>
          </w:tcPr>
          <w:p>
            <w:pPr>
              <w:widowControl/>
              <w:jc w:val="left"/>
              <w:rPr>
                <w:rFonts w:asciiTheme="minorEastAsia" w:hAnsiTheme="minorEastAsia" w:eastAsiaTheme="minorEastAsia"/>
                <w:sz w:val="18"/>
                <w:szCs w:val="18"/>
                <w:highlight w:val="none"/>
              </w:rPr>
            </w:pPr>
          </w:p>
        </w:tc>
        <w:tc>
          <w:tcPr>
            <w:tcW w:w="2273" w:type="dxa"/>
            <w:tcBorders>
              <w:bottom w:val="single" w:color="auto" w:sz="8" w:space="0"/>
            </w:tcBorders>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历史一贯性声明</w:t>
            </w:r>
            <w:r>
              <w:rPr>
                <w:rFonts w:asciiTheme="minorEastAsia" w:hAnsiTheme="minorEastAsia" w:eastAsiaTheme="minorEastAsia"/>
                <w:sz w:val="18"/>
                <w:szCs w:val="18"/>
                <w:highlight w:val="none"/>
              </w:rPr>
              <w:t>*</w:t>
            </w:r>
          </w:p>
        </w:tc>
        <w:tc>
          <w:tcPr>
            <w:tcW w:w="1840" w:type="dxa"/>
            <w:tcBorders>
              <w:bottom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2129" w:type="dxa"/>
            <w:tcBorders>
              <w:bottom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c>
          <w:tcPr>
            <w:tcW w:w="1985" w:type="dxa"/>
            <w:tcBorders>
              <w:bottom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宜披露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9398" w:type="dxa"/>
            <w:gridSpan w:val="5"/>
            <w:tcBorders>
              <w:top w:val="single" w:color="auto" w:sz="8" w:space="0"/>
              <w:bottom w:val="single" w:color="auto" w:sz="8" w:space="0"/>
            </w:tcBorders>
            <w:vAlign w:val="center"/>
          </w:tcPr>
          <w:p>
            <w:pPr>
              <w:widowControl/>
              <w:ind w:left="420" w:leftChars="200"/>
              <w:jc w:val="left"/>
              <w:rPr>
                <w:rFonts w:asciiTheme="minorEastAsia" w:hAnsiTheme="minorEastAsia" w:eastAsiaTheme="minorEastAsia"/>
                <w:sz w:val="18"/>
                <w:szCs w:val="18"/>
                <w:highlight w:val="none"/>
              </w:rPr>
            </w:pPr>
            <w:r>
              <w:rPr>
                <w:rFonts w:hint="eastAsia" w:ascii="黑体" w:hAnsi="黑体" w:eastAsia="黑体"/>
                <w:sz w:val="18"/>
                <w:szCs w:val="18"/>
                <w:highlight w:val="none"/>
              </w:rPr>
              <w:t>注：</w:t>
            </w:r>
            <w:r>
              <w:rPr>
                <w:rFonts w:hint="eastAsia" w:asciiTheme="minorEastAsia" w:hAnsiTheme="minorEastAsia" w:eastAsiaTheme="minorEastAsia"/>
                <w:sz w:val="18"/>
                <w:szCs w:val="18"/>
                <w:highlight w:val="none"/>
              </w:rPr>
              <w:t>符合政府主管部门关于“小微型企业”定义的披露主体可以自主选择披露“标*”的信息类型。</w:t>
            </w:r>
          </w:p>
        </w:tc>
      </w:tr>
    </w:tbl>
    <w:p>
      <w:pPr>
        <w:widowControl/>
        <w:jc w:val="center"/>
        <w:rPr>
          <w:rFonts w:ascii="宋体" w:hAnsi="宋体" w:cs="宋体"/>
          <w:kern w:val="0"/>
          <w:sz w:val="24"/>
          <w:highlight w:val="none"/>
        </w:rPr>
      </w:pPr>
    </w:p>
    <w:p>
      <w:pPr>
        <w:widowControl/>
        <w:jc w:val="center"/>
        <w:rPr>
          <w:rFonts w:ascii="宋体" w:hAnsi="宋体" w:cs="宋体"/>
          <w:kern w:val="0"/>
          <w:sz w:val="24"/>
          <w:highlight w:val="none"/>
        </w:rPr>
      </w:pPr>
    </w:p>
    <w:p>
      <w:pPr>
        <w:widowControl/>
        <w:jc w:val="center"/>
        <w:rPr>
          <w:rFonts w:ascii="黑体" w:hAnsi="黑体" w:eastAsia="黑体" w:cs="黑体"/>
          <w:spacing w:val="51"/>
          <w:kern w:val="2"/>
          <w:sz w:val="21"/>
          <w:highlight w:val="none"/>
        </w:rPr>
      </w:pPr>
    </w:p>
    <w:p>
      <w:pPr>
        <w:pStyle w:val="14"/>
        <w:spacing w:before="567" w:after="0"/>
        <w:ind w:right="172"/>
        <w:jc w:val="center"/>
        <w:outlineLvl w:val="0"/>
        <w:rPr>
          <w:rFonts w:hint="eastAsia" w:ascii="黑体" w:hAnsi="黑体" w:eastAsia="黑体" w:cs="黑体"/>
          <w:spacing w:val="51"/>
          <w:highlight w:val="none"/>
        </w:rPr>
      </w:pPr>
      <w:bookmarkStart w:id="66" w:name="_Toc166611396"/>
      <w:r>
        <w:rPr>
          <w:rFonts w:hint="eastAsia" w:ascii="黑体" w:hAnsi="黑体" w:eastAsia="黑体" w:cs="黑体"/>
          <w:spacing w:val="51"/>
          <w:highlight w:val="none"/>
        </w:rPr>
        <w:t>附 录</w:t>
      </w:r>
      <w:bookmarkEnd w:id="66"/>
      <w:r>
        <w:rPr>
          <w:rFonts w:hint="eastAsia" w:ascii="Times New Roman" w:hAnsi="Times New Roman" w:eastAsia="黑体" w:cs="Times New Roman"/>
          <w:spacing w:val="51"/>
          <w:highlight w:val="none"/>
        </w:rPr>
        <w:t>C</w:t>
      </w:r>
    </w:p>
    <w:p>
      <w:pPr>
        <w:pStyle w:val="14"/>
        <w:spacing w:after="0"/>
        <w:ind w:right="172"/>
        <w:jc w:val="center"/>
        <w:rPr>
          <w:rFonts w:ascii="黑体" w:hAnsi="黑体" w:eastAsia="黑体" w:cs="黑体"/>
          <w:spacing w:val="-102"/>
          <w:highlight w:val="none"/>
        </w:rPr>
      </w:pPr>
      <w:r>
        <w:rPr>
          <w:rFonts w:hint="eastAsia" w:ascii="黑体" w:hAnsi="黑体" w:eastAsia="黑体" w:cs="黑体"/>
          <w:spacing w:val="-1"/>
          <w:highlight w:val="none"/>
        </w:rPr>
        <w:t>（资料性</w:t>
      </w:r>
      <w:r>
        <w:rPr>
          <w:rFonts w:hint="eastAsia" w:ascii="黑体" w:hAnsi="黑体" w:eastAsia="黑体" w:cs="黑体"/>
          <w:highlight w:val="none"/>
        </w:rPr>
        <w:t>）</w:t>
      </w:r>
    </w:p>
    <w:p>
      <w:pPr>
        <w:widowControl/>
        <w:spacing w:after="283"/>
        <w:jc w:val="center"/>
        <w:rPr>
          <w:rFonts w:ascii="黑体" w:hAnsi="黑体" w:eastAsia="黑体"/>
          <w:spacing w:val="-1"/>
          <w:highlight w:val="none"/>
        </w:rPr>
      </w:pPr>
      <w:r>
        <w:rPr>
          <w:rFonts w:hint="eastAsia" w:ascii="黑体" w:hAnsi="黑体" w:eastAsia="黑体"/>
          <w:spacing w:val="-1"/>
          <w:highlight w:val="none"/>
        </w:rPr>
        <w:t>披露指引与参考标准</w:t>
      </w:r>
    </w:p>
    <w:p>
      <w:pPr>
        <w:ind w:firstLine="420"/>
        <w:rPr>
          <w:rFonts w:ascii="宋体" w:hAnsi="宋体" w:cs="Arial"/>
          <w:szCs w:val="21"/>
          <w:highlight w:val="none"/>
        </w:rPr>
      </w:pPr>
      <w:r>
        <w:rPr>
          <w:rFonts w:hint="eastAsia" w:ascii="宋体" w:hAnsi="宋体" w:cs="Arial"/>
          <w:szCs w:val="21"/>
          <w:highlight w:val="none"/>
        </w:rPr>
        <w:t>表</w:t>
      </w:r>
      <w:r>
        <w:rPr>
          <w:rFonts w:ascii="宋体" w:hAnsi="宋体" w:cs="Arial"/>
          <w:szCs w:val="21"/>
          <w:highlight w:val="none"/>
        </w:rPr>
        <w:t xml:space="preserve"> </w:t>
      </w:r>
      <w:r>
        <w:rPr>
          <w:rFonts w:hint="eastAsia" w:ascii="宋体" w:hAnsi="宋体" w:cs="Arial"/>
          <w:szCs w:val="21"/>
          <w:highlight w:val="none"/>
        </w:rPr>
        <w:t>C</w:t>
      </w:r>
      <w:r>
        <w:rPr>
          <w:rFonts w:ascii="宋体" w:hAnsi="宋体" w:cs="Arial"/>
          <w:szCs w:val="21"/>
          <w:highlight w:val="none"/>
        </w:rPr>
        <w:t>.1提供了</w:t>
      </w:r>
      <w:r>
        <w:rPr>
          <w:rFonts w:hint="eastAsia" w:ascii="宋体" w:hAnsi="宋体" w:cs="Arial"/>
          <w:szCs w:val="21"/>
          <w:highlight w:val="none"/>
        </w:rPr>
        <w:t>特定内容披露宜参考的标准指引。</w:t>
      </w:r>
    </w:p>
    <w:p>
      <w:pPr>
        <w:widowControl/>
        <w:jc w:val="center"/>
        <w:rPr>
          <w:rFonts w:ascii="黑体" w:hAnsi="黑体" w:eastAsia="黑体"/>
          <w:spacing w:val="-1"/>
          <w:highlight w:val="none"/>
        </w:rPr>
      </w:pPr>
    </w:p>
    <w:p>
      <w:pPr>
        <w:widowControl/>
        <w:spacing w:after="156" w:afterLines="50"/>
        <w:jc w:val="center"/>
        <w:rPr>
          <w:rFonts w:ascii="黑体" w:hAnsi="黑体" w:eastAsia="黑体"/>
          <w:spacing w:val="-1"/>
          <w:highlight w:val="none"/>
        </w:rPr>
      </w:pPr>
      <w:r>
        <w:rPr>
          <w:rFonts w:hint="eastAsia" w:ascii="黑体" w:hAnsi="黑体" w:eastAsia="黑体"/>
          <w:spacing w:val="-1"/>
          <w:highlight w:val="none"/>
        </w:rPr>
        <w:t>表C</w:t>
      </w:r>
      <w:r>
        <w:rPr>
          <w:rFonts w:ascii="黑体" w:hAnsi="黑体" w:eastAsia="黑体"/>
          <w:spacing w:val="-1"/>
          <w:highlight w:val="none"/>
        </w:rPr>
        <w:t xml:space="preserve">.1 </w:t>
      </w:r>
      <w:r>
        <w:rPr>
          <w:rFonts w:hint="eastAsia" w:ascii="黑体" w:hAnsi="黑体" w:eastAsia="黑体"/>
          <w:spacing w:val="-1"/>
          <w:highlight w:val="none"/>
        </w:rPr>
        <w:t>特定披露内容的参考标准指引</w:t>
      </w:r>
    </w:p>
    <w:tbl>
      <w:tblPr>
        <w:tblStyle w:val="41"/>
        <w:tblW w:w="0" w:type="auto"/>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3109"/>
        <w:gridCol w:w="6225"/>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3109" w:type="dxa"/>
            <w:tcBorders>
              <w:top w:val="single" w:color="auto" w:sz="8" w:space="0"/>
              <w:bottom w:val="single" w:color="auto" w:sz="8" w:space="0"/>
            </w:tcBorders>
          </w:tcPr>
          <w:p>
            <w:pPr>
              <w:widowControl/>
              <w:jc w:val="center"/>
              <w:rPr>
                <w:rFonts w:ascii="黑体" w:hAnsi="黑体" w:eastAsia="黑体"/>
                <w:spacing w:val="-1"/>
                <w:sz w:val="18"/>
                <w:szCs w:val="21"/>
                <w:highlight w:val="none"/>
              </w:rPr>
            </w:pPr>
            <w:r>
              <w:rPr>
                <w:rFonts w:hint="eastAsia" w:ascii="宋体"/>
                <w:sz w:val="18"/>
                <w:szCs w:val="21"/>
                <w:highlight w:val="none"/>
              </w:rPr>
              <w:t>披露内容</w:t>
            </w:r>
          </w:p>
        </w:tc>
        <w:tc>
          <w:tcPr>
            <w:tcW w:w="6225" w:type="dxa"/>
            <w:tcBorders>
              <w:top w:val="single" w:color="auto" w:sz="8" w:space="0"/>
              <w:bottom w:val="single" w:color="auto" w:sz="8" w:space="0"/>
            </w:tcBorders>
          </w:tcPr>
          <w:p>
            <w:pPr>
              <w:widowControl/>
              <w:jc w:val="center"/>
              <w:rPr>
                <w:rFonts w:ascii="黑体" w:hAnsi="黑体" w:eastAsia="黑体"/>
                <w:spacing w:val="-1"/>
                <w:sz w:val="18"/>
                <w:szCs w:val="21"/>
                <w:highlight w:val="none"/>
              </w:rPr>
            </w:pPr>
            <w:r>
              <w:rPr>
                <w:rFonts w:hint="eastAsia" w:ascii="宋体"/>
                <w:sz w:val="18"/>
                <w:szCs w:val="21"/>
                <w:highlight w:val="none"/>
              </w:rPr>
              <w:t>标准指引</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3109" w:type="dxa"/>
            <w:tcBorders>
              <w:top w:val="single" w:color="auto" w:sz="8" w:space="0"/>
              <w:bottom w:val="single" w:color="auto" w:sz="6" w:space="0"/>
              <w:right w:val="single" w:color="auto" w:sz="6" w:space="0"/>
            </w:tcBorders>
          </w:tcPr>
          <w:p>
            <w:pPr>
              <w:widowControl/>
              <w:jc w:val="left"/>
              <w:rPr>
                <w:rFonts w:ascii="黑体" w:hAnsi="黑体" w:eastAsia="黑体"/>
                <w:spacing w:val="-1"/>
                <w:sz w:val="18"/>
                <w:szCs w:val="21"/>
                <w:highlight w:val="none"/>
              </w:rPr>
            </w:pPr>
            <w:r>
              <w:rPr>
                <w:rFonts w:hint="eastAsia" w:ascii="宋体"/>
                <w:sz w:val="18"/>
                <w:szCs w:val="21"/>
                <w:highlight w:val="none"/>
              </w:rPr>
              <w:t>通用碳目标设定</w:t>
            </w:r>
          </w:p>
        </w:tc>
        <w:tc>
          <w:tcPr>
            <w:tcW w:w="6225" w:type="dxa"/>
            <w:tcBorders>
              <w:top w:val="single" w:color="auto" w:sz="8" w:space="0"/>
              <w:left w:val="single" w:color="auto" w:sz="6" w:space="0"/>
              <w:bottom w:val="single" w:color="auto" w:sz="6" w:space="0"/>
            </w:tcBorders>
          </w:tcPr>
          <w:p>
            <w:pPr>
              <w:widowControl/>
              <w:jc w:val="left"/>
              <w:rPr>
                <w:rFonts w:ascii="Times New Roman" w:eastAsia="黑体"/>
                <w:spacing w:val="-1"/>
                <w:sz w:val="18"/>
                <w:szCs w:val="21"/>
                <w:highlight w:val="none"/>
              </w:rPr>
            </w:pPr>
            <w:r>
              <w:rPr>
                <w:rFonts w:ascii="Times New Roman"/>
                <w:sz w:val="18"/>
                <w:szCs w:val="21"/>
                <w:highlight w:val="none"/>
              </w:rPr>
              <w:t>IFRS S2 Climate-related Disclosures</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3109" w:type="dxa"/>
            <w:tcBorders>
              <w:top w:val="single" w:color="auto" w:sz="6" w:space="0"/>
              <w:bottom w:val="single" w:color="auto" w:sz="6" w:space="0"/>
              <w:right w:val="single" w:color="auto" w:sz="6" w:space="0"/>
            </w:tcBorders>
          </w:tcPr>
          <w:p>
            <w:pPr>
              <w:widowControl/>
              <w:jc w:val="left"/>
              <w:rPr>
                <w:rFonts w:ascii="黑体" w:hAnsi="黑体" w:eastAsia="黑体"/>
                <w:spacing w:val="-1"/>
                <w:sz w:val="18"/>
                <w:szCs w:val="21"/>
                <w:highlight w:val="none"/>
              </w:rPr>
            </w:pPr>
            <w:r>
              <w:rPr>
                <w:rFonts w:hint="eastAsia" w:ascii="宋体"/>
                <w:sz w:val="18"/>
                <w:szCs w:val="21"/>
                <w:highlight w:val="none"/>
              </w:rPr>
              <w:t>净零目标/净零路径/净零特性</w:t>
            </w:r>
          </w:p>
        </w:tc>
        <w:tc>
          <w:tcPr>
            <w:tcW w:w="6225" w:type="dxa"/>
            <w:tcBorders>
              <w:top w:val="single" w:color="auto" w:sz="6" w:space="0"/>
              <w:left w:val="single" w:color="auto" w:sz="6" w:space="0"/>
              <w:bottom w:val="single" w:color="auto" w:sz="6" w:space="0"/>
            </w:tcBorders>
          </w:tcPr>
          <w:p>
            <w:pPr>
              <w:widowControl/>
              <w:jc w:val="left"/>
              <w:rPr>
                <w:rFonts w:ascii="Times New Roman" w:eastAsia="黑体"/>
                <w:spacing w:val="-1"/>
                <w:sz w:val="18"/>
                <w:szCs w:val="21"/>
                <w:highlight w:val="none"/>
              </w:rPr>
            </w:pPr>
            <w:r>
              <w:rPr>
                <w:rFonts w:ascii="Times New Roman"/>
                <w:sz w:val="18"/>
                <w:szCs w:val="21"/>
                <w:highlight w:val="none"/>
              </w:rPr>
              <w:t>ISO IWA 42:2022 净零指</w:t>
            </w:r>
            <w:r>
              <w:rPr>
                <w:rStyle w:val="181"/>
                <w:rFonts w:ascii="Times New Roman" w:eastAsia="宋体"/>
                <w:highlight w:val="none"/>
              </w:rPr>
              <w:t>南</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3109" w:type="dxa"/>
            <w:tcBorders>
              <w:top w:val="single" w:color="auto" w:sz="6" w:space="0"/>
              <w:bottom w:val="single" w:color="auto" w:sz="6" w:space="0"/>
              <w:right w:val="single" w:color="auto" w:sz="6" w:space="0"/>
            </w:tcBorders>
          </w:tcPr>
          <w:p>
            <w:pPr>
              <w:widowControl/>
              <w:jc w:val="left"/>
              <w:rPr>
                <w:rFonts w:ascii="黑体" w:hAnsi="黑体" w:eastAsia="黑体"/>
                <w:spacing w:val="-1"/>
                <w:sz w:val="18"/>
                <w:szCs w:val="21"/>
                <w:highlight w:val="none"/>
              </w:rPr>
            </w:pPr>
            <w:r>
              <w:rPr>
                <w:rFonts w:hint="eastAsia" w:ascii="宋体"/>
                <w:sz w:val="18"/>
                <w:szCs w:val="21"/>
                <w:highlight w:val="none"/>
              </w:rPr>
              <w:t>碳中和目标/碳中和路径/碳中和特性</w:t>
            </w:r>
          </w:p>
        </w:tc>
        <w:tc>
          <w:tcPr>
            <w:tcW w:w="6225" w:type="dxa"/>
            <w:tcBorders>
              <w:top w:val="single" w:color="auto" w:sz="6" w:space="0"/>
              <w:left w:val="single" w:color="auto" w:sz="6" w:space="0"/>
              <w:bottom w:val="single" w:color="auto" w:sz="6" w:space="0"/>
            </w:tcBorders>
          </w:tcPr>
          <w:p>
            <w:pPr>
              <w:widowControl/>
              <w:jc w:val="left"/>
              <w:rPr>
                <w:rFonts w:ascii="Times New Roman" w:eastAsia="黑体"/>
                <w:spacing w:val="-1"/>
                <w:sz w:val="18"/>
                <w:szCs w:val="21"/>
                <w:highlight w:val="none"/>
              </w:rPr>
            </w:pPr>
            <w:r>
              <w:rPr>
                <w:rFonts w:hint="eastAsia" w:ascii="Times New Roman"/>
                <w:sz w:val="18"/>
                <w:szCs w:val="21"/>
                <w:highlight w:val="none"/>
              </w:rPr>
              <w:t>ISO 14068-1 气候变化管理 向净零过渡 第1部分 — 碳中和</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3109" w:type="dxa"/>
            <w:tcBorders>
              <w:top w:val="single" w:color="auto" w:sz="6" w:space="0"/>
              <w:bottom w:val="single" w:color="auto" w:sz="6" w:space="0"/>
              <w:right w:val="single" w:color="auto" w:sz="6" w:space="0"/>
            </w:tcBorders>
          </w:tcPr>
          <w:p>
            <w:pPr>
              <w:widowControl/>
              <w:jc w:val="left"/>
              <w:rPr>
                <w:rFonts w:ascii="黑体" w:hAnsi="黑体" w:eastAsia="黑体"/>
                <w:spacing w:val="-1"/>
                <w:sz w:val="18"/>
                <w:szCs w:val="21"/>
                <w:highlight w:val="none"/>
              </w:rPr>
            </w:pPr>
            <w:r>
              <w:rPr>
                <w:rFonts w:hint="eastAsia" w:ascii="宋体"/>
                <w:sz w:val="18"/>
                <w:szCs w:val="21"/>
                <w:highlight w:val="none"/>
              </w:rPr>
              <w:t>绿色产品</w:t>
            </w:r>
          </w:p>
        </w:tc>
        <w:tc>
          <w:tcPr>
            <w:tcW w:w="6225" w:type="dxa"/>
            <w:tcBorders>
              <w:top w:val="single" w:color="auto" w:sz="6" w:space="0"/>
              <w:left w:val="single" w:color="auto" w:sz="6" w:space="0"/>
              <w:bottom w:val="single" w:color="auto" w:sz="6" w:space="0"/>
            </w:tcBorders>
          </w:tcPr>
          <w:p>
            <w:pPr>
              <w:widowControl/>
              <w:jc w:val="left"/>
              <w:rPr>
                <w:rFonts w:ascii="Times New Roman" w:eastAsia="黑体"/>
                <w:spacing w:val="-1"/>
                <w:sz w:val="18"/>
                <w:szCs w:val="21"/>
                <w:highlight w:val="none"/>
              </w:rPr>
            </w:pPr>
            <w:r>
              <w:rPr>
                <w:rFonts w:ascii="Times New Roman"/>
                <w:sz w:val="18"/>
                <w:szCs w:val="21"/>
                <w:highlight w:val="none"/>
              </w:rPr>
              <w:t>相</w:t>
            </w:r>
            <w:r>
              <w:rPr>
                <w:rFonts w:ascii="Times New Roman"/>
                <w:bCs/>
                <w:sz w:val="18"/>
                <w:szCs w:val="21"/>
                <w:highlight w:val="none"/>
              </w:rPr>
              <w:t>应</w:t>
            </w:r>
            <w:r>
              <w:rPr>
                <w:rFonts w:ascii="Times New Roman"/>
                <w:sz w:val="18"/>
                <w:szCs w:val="21"/>
                <w:highlight w:val="none"/>
              </w:rPr>
              <w:t>行业的绿色产品认证实施细则</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3109" w:type="dxa"/>
            <w:tcBorders>
              <w:top w:val="single" w:color="auto" w:sz="6" w:space="0"/>
              <w:bottom w:val="single" w:color="auto" w:sz="6" w:space="0"/>
              <w:right w:val="single" w:color="auto" w:sz="6" w:space="0"/>
            </w:tcBorders>
          </w:tcPr>
          <w:p>
            <w:pPr>
              <w:widowControl/>
              <w:jc w:val="left"/>
              <w:rPr>
                <w:rFonts w:ascii="黑体" w:hAnsi="黑体" w:eastAsia="黑体"/>
                <w:spacing w:val="-1"/>
                <w:sz w:val="18"/>
                <w:szCs w:val="21"/>
                <w:highlight w:val="none"/>
              </w:rPr>
            </w:pPr>
            <w:r>
              <w:rPr>
                <w:rFonts w:hint="eastAsia" w:ascii="宋体"/>
                <w:sz w:val="18"/>
                <w:szCs w:val="21"/>
                <w:highlight w:val="none"/>
              </w:rPr>
              <w:t>减少碳排放</w:t>
            </w:r>
          </w:p>
        </w:tc>
        <w:tc>
          <w:tcPr>
            <w:tcW w:w="6225" w:type="dxa"/>
            <w:tcBorders>
              <w:top w:val="single" w:color="auto" w:sz="6" w:space="0"/>
              <w:left w:val="single" w:color="auto" w:sz="6" w:space="0"/>
              <w:bottom w:val="single" w:color="auto" w:sz="6" w:space="0"/>
            </w:tcBorders>
          </w:tcPr>
          <w:p>
            <w:pPr>
              <w:widowControl/>
              <w:jc w:val="left"/>
              <w:rPr>
                <w:rFonts w:ascii="Times New Roman" w:eastAsia="黑体"/>
                <w:spacing w:val="-1"/>
                <w:sz w:val="18"/>
                <w:szCs w:val="21"/>
                <w:highlight w:val="none"/>
              </w:rPr>
            </w:pPr>
            <w:r>
              <w:rPr>
                <w:rFonts w:ascii="Times New Roman"/>
                <w:sz w:val="18"/>
                <w:szCs w:val="21"/>
                <w:highlight w:val="none"/>
              </w:rPr>
              <w:t>温室气体核算体系 企业核算与报告标准（修订版）</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3109" w:type="dxa"/>
            <w:tcBorders>
              <w:top w:val="single" w:color="auto" w:sz="6" w:space="0"/>
              <w:bottom w:val="single" w:color="auto" w:sz="6" w:space="0"/>
              <w:right w:val="single" w:color="auto" w:sz="6" w:space="0"/>
            </w:tcBorders>
          </w:tcPr>
          <w:p>
            <w:pPr>
              <w:widowControl/>
              <w:jc w:val="left"/>
              <w:rPr>
                <w:rFonts w:ascii="黑体" w:hAnsi="黑体" w:eastAsia="黑体"/>
                <w:spacing w:val="-1"/>
                <w:sz w:val="18"/>
                <w:szCs w:val="21"/>
                <w:highlight w:val="none"/>
              </w:rPr>
            </w:pPr>
            <w:r>
              <w:rPr>
                <w:rFonts w:hint="eastAsia" w:ascii="宋体"/>
                <w:sz w:val="18"/>
                <w:szCs w:val="21"/>
                <w:highlight w:val="none"/>
              </w:rPr>
              <w:t>避免碳排放</w:t>
            </w:r>
          </w:p>
        </w:tc>
        <w:tc>
          <w:tcPr>
            <w:tcW w:w="6225" w:type="dxa"/>
            <w:tcBorders>
              <w:top w:val="single" w:color="auto" w:sz="6" w:space="0"/>
              <w:left w:val="single" w:color="auto" w:sz="6" w:space="0"/>
              <w:bottom w:val="single" w:color="auto" w:sz="6" w:space="0"/>
            </w:tcBorders>
          </w:tcPr>
          <w:p>
            <w:pPr>
              <w:widowControl/>
              <w:jc w:val="left"/>
              <w:rPr>
                <w:rFonts w:ascii="Times New Roman" w:eastAsia="黑体"/>
                <w:spacing w:val="-1"/>
                <w:sz w:val="18"/>
                <w:szCs w:val="21"/>
                <w:highlight w:val="none"/>
              </w:rPr>
            </w:pPr>
            <w:r>
              <w:rPr>
                <w:rFonts w:ascii="Times New Roman"/>
                <w:sz w:val="18"/>
                <w:szCs w:val="21"/>
                <w:highlight w:val="none"/>
              </w:rPr>
              <w:t>VTT 碳手印指南V. 2.0适用于环境手印</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3109" w:type="dxa"/>
            <w:tcBorders>
              <w:top w:val="single" w:color="auto" w:sz="6" w:space="0"/>
              <w:bottom w:val="single" w:color="auto" w:sz="8" w:space="0"/>
              <w:right w:val="single" w:color="auto" w:sz="6" w:space="0"/>
            </w:tcBorders>
          </w:tcPr>
          <w:p>
            <w:pPr>
              <w:widowControl/>
              <w:jc w:val="left"/>
              <w:rPr>
                <w:rFonts w:ascii="宋体"/>
                <w:sz w:val="18"/>
                <w:szCs w:val="21"/>
                <w:highlight w:val="none"/>
              </w:rPr>
            </w:pPr>
            <w:r>
              <w:rPr>
                <w:rFonts w:hint="eastAsia" w:ascii="宋体"/>
                <w:sz w:val="18"/>
                <w:szCs w:val="21"/>
                <w:highlight w:val="none"/>
              </w:rPr>
              <w:t>抵消碳排放</w:t>
            </w:r>
          </w:p>
        </w:tc>
        <w:tc>
          <w:tcPr>
            <w:tcW w:w="6225" w:type="dxa"/>
            <w:tcBorders>
              <w:top w:val="single" w:color="auto" w:sz="6" w:space="0"/>
              <w:left w:val="single" w:color="auto" w:sz="6" w:space="0"/>
              <w:bottom w:val="single" w:color="auto" w:sz="8" w:space="0"/>
            </w:tcBorders>
          </w:tcPr>
          <w:p>
            <w:pPr>
              <w:widowControl/>
              <w:jc w:val="left"/>
              <w:rPr>
                <w:rFonts w:ascii="Times New Roman"/>
                <w:sz w:val="18"/>
                <w:szCs w:val="21"/>
                <w:highlight w:val="none"/>
              </w:rPr>
            </w:pPr>
            <w:r>
              <w:rPr>
                <w:rFonts w:ascii="Times New Roman"/>
                <w:sz w:val="18"/>
                <w:szCs w:val="21"/>
                <w:highlight w:val="none"/>
              </w:rPr>
              <w:t>VCMI Claims Code of Practice</w:t>
            </w:r>
          </w:p>
          <w:p>
            <w:pPr>
              <w:widowControl/>
              <w:jc w:val="left"/>
              <w:rPr>
                <w:rFonts w:ascii="Times New Roman"/>
                <w:sz w:val="18"/>
                <w:szCs w:val="21"/>
                <w:highlight w:val="none"/>
              </w:rPr>
            </w:pPr>
            <w:r>
              <w:rPr>
                <w:rFonts w:ascii="Times New Roman"/>
                <w:sz w:val="18"/>
                <w:szCs w:val="21"/>
                <w:highlight w:val="none"/>
              </w:rPr>
              <w:t>ICVCM 核心碳原则、评估框架和评估程序 (Core Carbon Principles, Assessment Framework and Assessment Procedure)</w:t>
            </w:r>
          </w:p>
        </w:tc>
      </w:tr>
    </w:tbl>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widowControl/>
        <w:jc w:val="left"/>
        <w:rPr>
          <w:rFonts w:ascii="黑体" w:hAnsi="黑体" w:eastAsia="黑体" w:cs="黑体"/>
          <w:spacing w:val="51"/>
          <w:highlight w:val="none"/>
        </w:rPr>
      </w:pPr>
      <w:r>
        <w:rPr>
          <w:rFonts w:ascii="黑体" w:hAnsi="黑体" w:eastAsia="黑体" w:cs="黑体"/>
          <w:spacing w:val="51"/>
          <w:highlight w:val="none"/>
        </w:rPr>
        <w:br w:type="page"/>
      </w:r>
    </w:p>
    <w:p>
      <w:pPr>
        <w:pStyle w:val="14"/>
        <w:spacing w:before="567" w:after="0"/>
        <w:ind w:right="172"/>
        <w:jc w:val="center"/>
        <w:outlineLvl w:val="0"/>
        <w:rPr>
          <w:rFonts w:hint="eastAsia" w:ascii="黑体" w:hAnsi="黑体" w:eastAsia="黑体" w:cs="黑体"/>
          <w:spacing w:val="51"/>
          <w:highlight w:val="none"/>
        </w:rPr>
      </w:pPr>
      <w:bookmarkStart w:id="67" w:name="_Toc166611397"/>
      <w:r>
        <w:rPr>
          <w:rFonts w:hint="eastAsia" w:ascii="黑体" w:hAnsi="黑体" w:eastAsia="黑体" w:cs="黑体"/>
          <w:spacing w:val="51"/>
          <w:highlight w:val="none"/>
        </w:rPr>
        <w:t>附 录</w:t>
      </w:r>
      <w:bookmarkEnd w:id="67"/>
      <w:r>
        <w:rPr>
          <w:rFonts w:hint="eastAsia" w:eastAsia="黑体"/>
          <w:spacing w:val="51"/>
          <w:highlight w:val="none"/>
        </w:rPr>
        <w:t>D</w:t>
      </w:r>
    </w:p>
    <w:p>
      <w:pPr>
        <w:pStyle w:val="14"/>
        <w:spacing w:after="0"/>
        <w:ind w:right="172"/>
        <w:jc w:val="center"/>
        <w:rPr>
          <w:rFonts w:ascii="黑体" w:hAnsi="黑体" w:eastAsia="黑体" w:cs="黑体"/>
          <w:spacing w:val="-102"/>
          <w:highlight w:val="none"/>
        </w:rPr>
      </w:pPr>
      <w:r>
        <w:rPr>
          <w:rFonts w:hint="eastAsia" w:ascii="黑体" w:hAnsi="黑体" w:eastAsia="黑体" w:cs="黑体"/>
          <w:spacing w:val="-1"/>
          <w:highlight w:val="none"/>
        </w:rPr>
        <w:t>（规范性</w:t>
      </w:r>
      <w:r>
        <w:rPr>
          <w:rFonts w:hint="eastAsia" w:ascii="黑体" w:hAnsi="黑体" w:eastAsia="黑体" w:cs="黑体"/>
          <w:highlight w:val="none"/>
        </w:rPr>
        <w:t>）</w:t>
      </w:r>
    </w:p>
    <w:p>
      <w:pPr>
        <w:widowControl/>
        <w:spacing w:after="283"/>
        <w:jc w:val="center"/>
        <w:rPr>
          <w:rFonts w:ascii="宋体" w:hAnsi="宋体" w:cs="宋体"/>
          <w:b/>
          <w:bCs/>
          <w:kern w:val="0"/>
          <w:sz w:val="24"/>
          <w:highlight w:val="none"/>
        </w:rPr>
      </w:pPr>
      <w:r>
        <w:rPr>
          <w:rFonts w:hint="eastAsia" w:ascii="黑体" w:hAnsi="黑体" w:eastAsia="黑体"/>
          <w:spacing w:val="-1"/>
          <w:highlight w:val="none"/>
        </w:rPr>
        <w:t>披露材料编制规范性</w:t>
      </w:r>
    </w:p>
    <w:p>
      <w:pPr>
        <w:widowControl/>
        <w:spacing w:after="156" w:afterLines="50"/>
        <w:jc w:val="left"/>
        <w:rPr>
          <w:rFonts w:ascii="黑体" w:hAnsi="黑体" w:eastAsia="黑体" w:cs="宋体"/>
          <w:kern w:val="0"/>
          <w:szCs w:val="21"/>
          <w:highlight w:val="none"/>
        </w:rPr>
      </w:pPr>
      <w:r>
        <w:rPr>
          <w:rFonts w:ascii="黑体" w:hAnsi="黑体" w:eastAsia="黑体" w:cs="宋体"/>
          <w:kern w:val="0"/>
          <w:szCs w:val="21"/>
          <w:highlight w:val="none"/>
        </w:rPr>
        <w:t>披露材料</w:t>
      </w:r>
      <w:r>
        <w:rPr>
          <w:rFonts w:ascii="黑体" w:hAnsi="黑体" w:eastAsia="黑体" w:cs="宋体"/>
          <w:color w:val="1F2329"/>
          <w:kern w:val="0"/>
          <w:szCs w:val="21"/>
          <w:highlight w:val="none"/>
        </w:rPr>
        <w:t>编制</w:t>
      </w:r>
      <w:r>
        <w:rPr>
          <w:rFonts w:ascii="黑体" w:hAnsi="黑体" w:eastAsia="黑体" w:cs="宋体"/>
          <w:kern w:val="0"/>
          <w:szCs w:val="21"/>
          <w:highlight w:val="none"/>
        </w:rPr>
        <w:t>规范性要求</w:t>
      </w:r>
    </w:p>
    <w:p>
      <w:pPr>
        <w:widowControl/>
        <w:numPr>
          <w:ilvl w:val="0"/>
          <w:numId w:val="31"/>
        </w:numPr>
        <w:spacing w:after="100" w:afterAutospacing="1"/>
        <w:jc w:val="left"/>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理解专业性：企业在披露碳信息时，</w:t>
      </w:r>
      <w:r>
        <w:rPr>
          <w:rFonts w:cs="宋体" w:asciiTheme="minorEastAsia" w:hAnsiTheme="minorEastAsia" w:eastAsiaTheme="minorEastAsia"/>
          <w:b/>
          <w:kern w:val="0"/>
          <w:szCs w:val="21"/>
          <w:highlight w:val="none"/>
        </w:rPr>
        <w:t>应</w:t>
      </w:r>
      <w:r>
        <w:rPr>
          <w:rFonts w:cs="宋体" w:asciiTheme="minorEastAsia" w:hAnsiTheme="minorEastAsia" w:eastAsiaTheme="minorEastAsia"/>
          <w:kern w:val="0"/>
          <w:szCs w:val="21"/>
          <w:highlight w:val="none"/>
        </w:rPr>
        <w:t>确保其理解对于此类信息的重要性是专业和准确的</w:t>
      </w:r>
      <w:r>
        <w:rPr>
          <w:rFonts w:hint="eastAsia" w:cs="宋体" w:asciiTheme="minorEastAsia" w:hAnsiTheme="minorEastAsia" w:eastAsiaTheme="minorEastAsia"/>
          <w:kern w:val="0"/>
          <w:szCs w:val="21"/>
          <w:highlight w:val="none"/>
        </w:rPr>
        <w:t>；</w:t>
      </w:r>
    </w:p>
    <w:p>
      <w:pPr>
        <w:widowControl/>
        <w:numPr>
          <w:ilvl w:val="0"/>
          <w:numId w:val="31"/>
        </w:numPr>
        <w:spacing w:after="100" w:afterAutospacing="1"/>
        <w:jc w:val="left"/>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表述准确性：表述</w:t>
      </w:r>
      <w:r>
        <w:rPr>
          <w:rFonts w:cs="宋体" w:asciiTheme="minorEastAsia" w:hAnsiTheme="minorEastAsia" w:eastAsiaTheme="minorEastAsia"/>
          <w:b/>
          <w:kern w:val="0"/>
          <w:szCs w:val="21"/>
          <w:highlight w:val="none"/>
        </w:rPr>
        <w:t>应</w:t>
      </w:r>
      <w:r>
        <w:rPr>
          <w:rFonts w:cs="宋体" w:asciiTheme="minorEastAsia" w:hAnsiTheme="minorEastAsia" w:eastAsiaTheme="minorEastAsia"/>
          <w:kern w:val="0"/>
          <w:szCs w:val="21"/>
          <w:highlight w:val="none"/>
        </w:rPr>
        <w:t>当真实、准确、客观，</w:t>
      </w:r>
      <w:r>
        <w:rPr>
          <w:rFonts w:cs="宋体" w:asciiTheme="minorEastAsia" w:hAnsiTheme="minorEastAsia" w:eastAsiaTheme="minorEastAsia"/>
          <w:b/>
          <w:bCs/>
          <w:kern w:val="0"/>
          <w:szCs w:val="21"/>
          <w:highlight w:val="none"/>
        </w:rPr>
        <w:t>不应</w:t>
      </w:r>
      <w:r>
        <w:rPr>
          <w:rFonts w:hint="eastAsia" w:cs="宋体" w:asciiTheme="minorEastAsia" w:hAnsiTheme="minorEastAsia" w:eastAsiaTheme="minorEastAsia"/>
          <w:kern w:val="0"/>
          <w:szCs w:val="21"/>
          <w:highlight w:val="none"/>
        </w:rPr>
        <w:t>做</w:t>
      </w:r>
      <w:r>
        <w:rPr>
          <w:rFonts w:cs="宋体" w:asciiTheme="minorEastAsia" w:hAnsiTheme="minorEastAsia" w:eastAsiaTheme="minorEastAsia"/>
          <w:kern w:val="0"/>
          <w:szCs w:val="21"/>
          <w:highlight w:val="none"/>
        </w:rPr>
        <w:t>出误导性判断，</w:t>
      </w:r>
      <w:r>
        <w:rPr>
          <w:rFonts w:cs="宋体" w:asciiTheme="minorEastAsia" w:hAnsiTheme="minorEastAsia" w:eastAsiaTheme="minorEastAsia"/>
          <w:b/>
          <w:bCs/>
          <w:kern w:val="0"/>
          <w:szCs w:val="21"/>
          <w:highlight w:val="none"/>
        </w:rPr>
        <w:t>不</w:t>
      </w:r>
      <w:r>
        <w:rPr>
          <w:rFonts w:cs="宋体" w:asciiTheme="minorEastAsia" w:hAnsiTheme="minorEastAsia" w:eastAsiaTheme="minorEastAsia"/>
          <w:b/>
          <w:kern w:val="0"/>
          <w:szCs w:val="21"/>
          <w:highlight w:val="none"/>
        </w:rPr>
        <w:t>应</w:t>
      </w:r>
      <w:r>
        <w:rPr>
          <w:rFonts w:cs="宋体" w:asciiTheme="minorEastAsia" w:hAnsiTheme="minorEastAsia" w:eastAsiaTheme="minorEastAsia"/>
          <w:kern w:val="0"/>
          <w:szCs w:val="21"/>
          <w:highlight w:val="none"/>
        </w:rPr>
        <w:t>含有夸大、欺诈、误导或内容不准确、不客观的词句</w:t>
      </w:r>
      <w:r>
        <w:rPr>
          <w:rFonts w:hint="eastAsia" w:cs="宋体" w:asciiTheme="minorEastAsia" w:hAnsiTheme="minorEastAsia" w:eastAsiaTheme="minorEastAsia"/>
          <w:kern w:val="0"/>
          <w:szCs w:val="21"/>
          <w:highlight w:val="none"/>
        </w:rPr>
        <w:t>；</w:t>
      </w:r>
    </w:p>
    <w:p>
      <w:pPr>
        <w:widowControl/>
        <w:numPr>
          <w:ilvl w:val="0"/>
          <w:numId w:val="31"/>
        </w:numPr>
        <w:spacing w:after="100" w:afterAutospacing="1"/>
        <w:jc w:val="left"/>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专业术语的使用：使用的术语</w:t>
      </w:r>
      <w:r>
        <w:rPr>
          <w:rFonts w:cs="宋体" w:asciiTheme="minorEastAsia" w:hAnsiTheme="minorEastAsia" w:eastAsiaTheme="minorEastAsia"/>
          <w:b/>
          <w:kern w:val="0"/>
          <w:szCs w:val="21"/>
          <w:highlight w:val="none"/>
        </w:rPr>
        <w:t>应</w:t>
      </w:r>
      <w:r>
        <w:rPr>
          <w:rFonts w:cs="宋体" w:asciiTheme="minorEastAsia" w:hAnsiTheme="minorEastAsia" w:eastAsiaTheme="minorEastAsia"/>
          <w:kern w:val="0"/>
          <w:szCs w:val="21"/>
          <w:highlight w:val="none"/>
        </w:rPr>
        <w:t>当符合相关法律法规、规范标准等规定和行业规范、行业惯例等约定；</w:t>
      </w:r>
      <w:r>
        <w:rPr>
          <w:rFonts w:cs="宋体" w:asciiTheme="minorEastAsia" w:hAnsiTheme="minorEastAsia" w:eastAsiaTheme="minorEastAsia"/>
          <w:color w:val="1F2329"/>
          <w:kern w:val="0"/>
          <w:szCs w:val="21"/>
          <w:highlight w:val="none"/>
        </w:rPr>
        <w:t>在整个报告中使用专业、准确、清晰的语言，避免术语和缩写可能会混淆读者，确保报告对于非技术读者来说也是可以理解的</w:t>
      </w:r>
      <w:r>
        <w:rPr>
          <w:rFonts w:hint="eastAsia" w:cs="宋体" w:asciiTheme="minorEastAsia" w:hAnsiTheme="minorEastAsia" w:eastAsiaTheme="minorEastAsia"/>
          <w:color w:val="1F2329"/>
          <w:kern w:val="0"/>
          <w:szCs w:val="21"/>
          <w:highlight w:val="none"/>
        </w:rPr>
        <w:t>；</w:t>
      </w:r>
    </w:p>
    <w:p>
      <w:pPr>
        <w:widowControl/>
        <w:numPr>
          <w:ilvl w:val="0"/>
          <w:numId w:val="31"/>
        </w:numPr>
        <w:spacing w:after="100" w:afterAutospacing="1"/>
        <w:jc w:val="left"/>
        <w:rPr>
          <w:rFonts w:cs="宋体" w:asciiTheme="minorEastAsia" w:hAnsiTheme="minorEastAsia" w:eastAsiaTheme="minorEastAsia"/>
          <w:kern w:val="0"/>
          <w:szCs w:val="21"/>
          <w:highlight w:val="none"/>
        </w:rPr>
      </w:pPr>
      <w:r>
        <w:rPr>
          <w:rFonts w:cs="宋体" w:asciiTheme="minorEastAsia" w:hAnsiTheme="minorEastAsia" w:eastAsiaTheme="minorEastAsia"/>
          <w:color w:val="1F2329"/>
          <w:kern w:val="0"/>
          <w:szCs w:val="21"/>
          <w:highlight w:val="none"/>
        </w:rPr>
        <w:t>数据单位统一性：确保整个报告中排放数据保持一致的单位，公吨二氧化碳当量(tCO</w:t>
      </w:r>
      <w:r>
        <w:rPr>
          <w:rFonts w:cs="宋体" w:asciiTheme="minorEastAsia" w:hAnsiTheme="minorEastAsia" w:eastAsiaTheme="minorEastAsia"/>
          <w:color w:val="1F2329"/>
          <w:kern w:val="0"/>
          <w:szCs w:val="21"/>
          <w:highlight w:val="none"/>
          <w:vertAlign w:val="subscript"/>
        </w:rPr>
        <w:t>2</w:t>
      </w:r>
      <w:r>
        <w:rPr>
          <w:rFonts w:cs="宋体" w:asciiTheme="minorEastAsia" w:hAnsiTheme="minorEastAsia" w:eastAsiaTheme="minorEastAsia"/>
          <w:color w:val="1F2329"/>
          <w:kern w:val="0"/>
          <w:szCs w:val="21"/>
          <w:highlight w:val="none"/>
        </w:rPr>
        <w:t>e)。如果单位之间的转换是必要的，</w:t>
      </w:r>
      <w:r>
        <w:rPr>
          <w:rFonts w:cs="宋体" w:asciiTheme="minorEastAsia" w:hAnsiTheme="minorEastAsia" w:eastAsiaTheme="minorEastAsia"/>
          <w:b/>
          <w:color w:val="1F2329"/>
          <w:kern w:val="0"/>
          <w:szCs w:val="21"/>
          <w:highlight w:val="none"/>
        </w:rPr>
        <w:t>应</w:t>
      </w:r>
      <w:r>
        <w:rPr>
          <w:rFonts w:cs="宋体" w:asciiTheme="minorEastAsia" w:hAnsiTheme="minorEastAsia" w:eastAsiaTheme="minorEastAsia"/>
          <w:color w:val="1F2329"/>
          <w:kern w:val="0"/>
          <w:szCs w:val="21"/>
          <w:highlight w:val="none"/>
        </w:rPr>
        <w:t>在报告中清楚地注明</w:t>
      </w:r>
      <w:r>
        <w:rPr>
          <w:rFonts w:hint="eastAsia" w:cs="宋体" w:asciiTheme="minorEastAsia" w:hAnsiTheme="minorEastAsia" w:eastAsiaTheme="minorEastAsia"/>
          <w:color w:val="1F2329"/>
          <w:kern w:val="0"/>
          <w:szCs w:val="21"/>
          <w:highlight w:val="none"/>
        </w:rPr>
        <w:t>；</w:t>
      </w:r>
    </w:p>
    <w:p>
      <w:pPr>
        <w:widowControl/>
        <w:numPr>
          <w:ilvl w:val="0"/>
          <w:numId w:val="31"/>
        </w:numPr>
        <w:spacing w:after="100" w:afterAutospacing="1"/>
        <w:jc w:val="left"/>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确保安全性：披露内容</w:t>
      </w:r>
      <w:r>
        <w:rPr>
          <w:rFonts w:cs="宋体" w:asciiTheme="minorEastAsia" w:hAnsiTheme="minorEastAsia" w:eastAsiaTheme="minorEastAsia"/>
          <w:b/>
          <w:bCs/>
          <w:kern w:val="0"/>
          <w:szCs w:val="21"/>
          <w:highlight w:val="none"/>
        </w:rPr>
        <w:t>不</w:t>
      </w:r>
      <w:r>
        <w:rPr>
          <w:rFonts w:cs="宋体" w:asciiTheme="minorEastAsia" w:hAnsiTheme="minorEastAsia" w:eastAsiaTheme="minorEastAsia"/>
          <w:b/>
          <w:kern w:val="0"/>
          <w:szCs w:val="21"/>
          <w:highlight w:val="none"/>
        </w:rPr>
        <w:t>应</w:t>
      </w:r>
      <w:r>
        <w:rPr>
          <w:rFonts w:cs="宋体" w:asciiTheme="minorEastAsia" w:hAnsiTheme="minorEastAsia" w:eastAsiaTheme="minorEastAsia"/>
          <w:kern w:val="0"/>
          <w:szCs w:val="21"/>
          <w:highlight w:val="none"/>
        </w:rPr>
        <w:t>包含任何企业竞争优势、商业机密、敏感或私密信息。企业对披露内容</w:t>
      </w:r>
      <w:r>
        <w:rPr>
          <w:rFonts w:cs="宋体" w:asciiTheme="minorEastAsia" w:hAnsiTheme="minorEastAsia" w:eastAsiaTheme="minorEastAsia"/>
          <w:b/>
          <w:kern w:val="0"/>
          <w:szCs w:val="21"/>
          <w:highlight w:val="none"/>
        </w:rPr>
        <w:t>应</w:t>
      </w:r>
      <w:r>
        <w:rPr>
          <w:rFonts w:cs="宋体" w:asciiTheme="minorEastAsia" w:hAnsiTheme="minorEastAsia" w:eastAsiaTheme="minorEastAsia"/>
          <w:kern w:val="0"/>
          <w:szCs w:val="21"/>
          <w:highlight w:val="none"/>
        </w:rPr>
        <w:t>通过严格的信息审核和充分咨询法律顾问的意见。对于涉及国家安全和重要经济利益的行业，企业</w:t>
      </w:r>
      <w:r>
        <w:rPr>
          <w:rFonts w:cs="宋体" w:asciiTheme="minorEastAsia" w:hAnsiTheme="minorEastAsia" w:eastAsiaTheme="minorEastAsia"/>
          <w:color w:val="1F2329"/>
          <w:kern w:val="0"/>
          <w:szCs w:val="21"/>
          <w:highlight w:val="none"/>
        </w:rPr>
        <w:t>可以</w:t>
      </w:r>
      <w:r>
        <w:rPr>
          <w:rFonts w:cs="宋体" w:asciiTheme="minorEastAsia" w:hAnsiTheme="minorEastAsia" w:eastAsiaTheme="minorEastAsia"/>
          <w:kern w:val="0"/>
          <w:szCs w:val="21"/>
          <w:highlight w:val="none"/>
        </w:rPr>
        <w:t>与政府相关部门沟通，了解对于碳信息披露的具体要求和建议</w:t>
      </w:r>
      <w:r>
        <w:rPr>
          <w:rFonts w:hint="eastAsia" w:cs="宋体" w:asciiTheme="minorEastAsia" w:hAnsiTheme="minorEastAsia" w:eastAsiaTheme="minorEastAsia"/>
          <w:kern w:val="0"/>
          <w:szCs w:val="21"/>
          <w:highlight w:val="none"/>
        </w:rPr>
        <w:t>。</w:t>
      </w: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rPr>
          <w:sz w:val="18"/>
          <w:highlight w:val="none"/>
        </w:rPr>
      </w:pPr>
    </w:p>
    <w:p>
      <w:pPr>
        <w:widowControl/>
        <w:jc w:val="left"/>
        <w:rPr>
          <w:rFonts w:ascii="黑体" w:hAnsi="黑体" w:eastAsia="黑体" w:cs="黑体"/>
          <w:spacing w:val="51"/>
          <w:highlight w:val="none"/>
        </w:rPr>
      </w:pPr>
      <w:r>
        <w:rPr>
          <w:rFonts w:ascii="黑体" w:hAnsi="黑体" w:eastAsia="黑体" w:cs="黑体"/>
          <w:spacing w:val="51"/>
          <w:highlight w:val="none"/>
        </w:rPr>
        <w:br w:type="page"/>
      </w:r>
    </w:p>
    <w:p>
      <w:pPr>
        <w:pStyle w:val="14"/>
        <w:spacing w:before="567" w:after="0"/>
        <w:ind w:right="172"/>
        <w:jc w:val="center"/>
        <w:outlineLvl w:val="0"/>
        <w:rPr>
          <w:rFonts w:hint="eastAsia" w:ascii="黑体" w:hAnsi="黑体" w:eastAsia="黑体" w:cs="黑体"/>
          <w:spacing w:val="51"/>
          <w:highlight w:val="none"/>
        </w:rPr>
      </w:pPr>
      <w:bookmarkStart w:id="68" w:name="_Toc166611398"/>
      <w:r>
        <w:rPr>
          <w:rFonts w:hint="eastAsia" w:ascii="黑体" w:hAnsi="黑体" w:eastAsia="黑体" w:cs="黑体"/>
          <w:spacing w:val="51"/>
          <w:highlight w:val="none"/>
        </w:rPr>
        <w:t>附 录</w:t>
      </w:r>
      <w:bookmarkEnd w:id="68"/>
      <w:r>
        <w:rPr>
          <w:rFonts w:hint="eastAsia" w:eastAsia="黑体"/>
          <w:spacing w:val="51"/>
          <w:highlight w:val="none"/>
        </w:rPr>
        <w:t>E</w:t>
      </w:r>
    </w:p>
    <w:p>
      <w:pPr>
        <w:pStyle w:val="14"/>
        <w:spacing w:after="0"/>
        <w:ind w:right="172"/>
        <w:jc w:val="center"/>
        <w:rPr>
          <w:rFonts w:ascii="黑体" w:hAnsi="黑体" w:eastAsia="黑体" w:cs="黑体"/>
          <w:spacing w:val="-102"/>
          <w:highlight w:val="none"/>
        </w:rPr>
      </w:pPr>
      <w:r>
        <w:rPr>
          <w:rFonts w:hint="eastAsia" w:ascii="黑体" w:hAnsi="黑体" w:eastAsia="黑体" w:cs="黑体"/>
          <w:spacing w:val="-1"/>
          <w:highlight w:val="none"/>
        </w:rPr>
        <w:t>（资料性</w:t>
      </w:r>
      <w:r>
        <w:rPr>
          <w:rFonts w:hint="eastAsia" w:ascii="黑体" w:hAnsi="黑体" w:eastAsia="黑体" w:cs="黑体"/>
          <w:highlight w:val="none"/>
        </w:rPr>
        <w:t>）</w:t>
      </w:r>
    </w:p>
    <w:p>
      <w:pPr>
        <w:widowControl/>
        <w:spacing w:after="283"/>
        <w:ind w:firstLine="0"/>
        <w:jc w:val="center"/>
        <w:rPr>
          <w:rFonts w:ascii="宋体" w:hAnsi="宋体" w:cs="Arial"/>
          <w:szCs w:val="21"/>
          <w:highlight w:val="none"/>
        </w:rPr>
      </w:pPr>
      <w:r>
        <w:rPr>
          <w:rFonts w:hint="eastAsia" w:ascii="黑体" w:hAnsi="黑体" w:eastAsia="黑体"/>
          <w:spacing w:val="-1"/>
          <w:highlight w:val="none"/>
        </w:rPr>
        <w:t>保障合规披露的内部管理体系</w:t>
      </w:r>
    </w:p>
    <w:p>
      <w:pPr>
        <w:ind w:firstLine="420"/>
        <w:rPr>
          <w:rFonts w:ascii="宋体" w:hAnsi="宋体" w:cs="Arial"/>
          <w:szCs w:val="21"/>
          <w:highlight w:val="none"/>
        </w:rPr>
      </w:pPr>
      <w:r>
        <w:rPr>
          <w:rFonts w:hint="eastAsia" w:ascii="宋体" w:hAnsi="宋体" w:cs="Arial"/>
          <w:szCs w:val="21"/>
          <w:highlight w:val="none"/>
        </w:rPr>
        <w:t>表</w:t>
      </w:r>
      <w:r>
        <w:rPr>
          <w:szCs w:val="21"/>
          <w:highlight w:val="none"/>
        </w:rPr>
        <w:t xml:space="preserve"> </w:t>
      </w:r>
      <w:r>
        <w:rPr>
          <w:rFonts w:hint="eastAsia"/>
          <w:szCs w:val="21"/>
          <w:highlight w:val="none"/>
        </w:rPr>
        <w:t>E</w:t>
      </w:r>
      <w:r>
        <w:rPr>
          <w:szCs w:val="21"/>
          <w:highlight w:val="none"/>
        </w:rPr>
        <w:t>.1</w:t>
      </w:r>
      <w:r>
        <w:rPr>
          <w:rFonts w:ascii="宋体" w:hAnsi="宋体" w:cs="Arial"/>
          <w:szCs w:val="21"/>
          <w:highlight w:val="none"/>
        </w:rPr>
        <w:t>提供了</w:t>
      </w:r>
      <w:r>
        <w:rPr>
          <w:rFonts w:hint="eastAsia" w:ascii="宋体" w:hAnsi="宋体" w:cs="Arial"/>
          <w:szCs w:val="21"/>
          <w:highlight w:val="none"/>
        </w:rPr>
        <w:t>企业建立合规披露内容体系与关键信息。</w:t>
      </w:r>
    </w:p>
    <w:p>
      <w:pPr>
        <w:widowControl/>
        <w:spacing w:before="156" w:beforeLines="50" w:after="156" w:afterLines="50"/>
        <w:jc w:val="center"/>
        <w:rPr>
          <w:rFonts w:ascii="黑体" w:hAnsi="黑体" w:eastAsia="黑体"/>
          <w:spacing w:val="-1"/>
          <w:highlight w:val="none"/>
        </w:rPr>
      </w:pPr>
      <w:r>
        <w:rPr>
          <w:rFonts w:ascii="黑体" w:hAnsi="黑体" w:eastAsia="黑体"/>
          <w:spacing w:val="-1"/>
          <w:highlight w:val="none"/>
        </w:rPr>
        <w:t>表</w:t>
      </w:r>
      <w:r>
        <w:rPr>
          <w:rFonts w:hint="eastAsia" w:ascii="黑体" w:hAnsi="黑体" w:eastAsia="黑体"/>
          <w:spacing w:val="-1"/>
          <w:highlight w:val="none"/>
        </w:rPr>
        <w:t>E</w:t>
      </w:r>
      <w:r>
        <w:rPr>
          <w:rFonts w:ascii="黑体" w:hAnsi="黑体" w:eastAsia="黑体"/>
          <w:spacing w:val="-1"/>
          <w:highlight w:val="none"/>
        </w:rPr>
        <w:t xml:space="preserve">.1 </w:t>
      </w:r>
      <w:r>
        <w:rPr>
          <w:rFonts w:hint="eastAsia" w:ascii="黑体" w:hAnsi="黑体" w:eastAsia="黑体"/>
          <w:spacing w:val="-1"/>
          <w:highlight w:val="none"/>
        </w:rPr>
        <w:t>保障合规披露的内部管理体系</w:t>
      </w:r>
    </w:p>
    <w:tbl>
      <w:tblPr>
        <w:tblStyle w:val="41"/>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2263"/>
        <w:gridCol w:w="708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263" w:type="dxa"/>
            <w:tcBorders>
              <w:top w:val="single" w:color="auto" w:sz="8" w:space="0"/>
              <w:bottom w:val="single" w:color="auto" w:sz="8" w:space="0"/>
            </w:tcBorders>
          </w:tcPr>
          <w:p>
            <w:pPr>
              <w:widowControl/>
              <w:jc w:val="center"/>
              <w:rPr>
                <w:rFonts w:ascii="黑体" w:hAnsi="黑体" w:eastAsia="黑体"/>
                <w:spacing w:val="-1"/>
                <w:sz w:val="18"/>
                <w:szCs w:val="21"/>
                <w:highlight w:val="none"/>
              </w:rPr>
            </w:pPr>
            <w:r>
              <w:rPr>
                <w:rFonts w:hint="eastAsia" w:ascii="宋体"/>
                <w:sz w:val="18"/>
                <w:szCs w:val="21"/>
                <w:highlight w:val="none"/>
              </w:rPr>
              <w:t>体系</w:t>
            </w:r>
          </w:p>
        </w:tc>
        <w:tc>
          <w:tcPr>
            <w:tcW w:w="7081" w:type="dxa"/>
            <w:tcBorders>
              <w:top w:val="single" w:color="auto" w:sz="8" w:space="0"/>
              <w:bottom w:val="single" w:color="auto" w:sz="8" w:space="0"/>
            </w:tcBorders>
          </w:tcPr>
          <w:p>
            <w:pPr>
              <w:widowControl/>
              <w:jc w:val="center"/>
              <w:rPr>
                <w:rFonts w:ascii="黑体" w:hAnsi="黑体" w:eastAsia="黑体"/>
                <w:spacing w:val="-1"/>
                <w:sz w:val="18"/>
                <w:szCs w:val="21"/>
                <w:highlight w:val="none"/>
              </w:rPr>
            </w:pPr>
            <w:r>
              <w:rPr>
                <w:rFonts w:hint="eastAsia" w:ascii="宋体"/>
                <w:sz w:val="18"/>
                <w:szCs w:val="21"/>
                <w:highlight w:val="none"/>
              </w:rPr>
              <w:t>关键内容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263" w:type="dxa"/>
            <w:tcBorders>
              <w:top w:val="single" w:color="auto" w:sz="8" w:space="0"/>
            </w:tcBorders>
          </w:tcPr>
          <w:p>
            <w:pPr>
              <w:widowControl/>
              <w:jc w:val="left"/>
              <w:rPr>
                <w:rFonts w:ascii="宋体"/>
                <w:sz w:val="18"/>
                <w:szCs w:val="21"/>
                <w:highlight w:val="none"/>
              </w:rPr>
            </w:pPr>
            <w:r>
              <w:rPr>
                <w:rFonts w:hint="eastAsia" w:ascii="宋体"/>
                <w:sz w:val="18"/>
                <w:szCs w:val="21"/>
                <w:highlight w:val="none"/>
              </w:rPr>
              <w:t>建有企业最高管理层参与的碳管理组织架构</w:t>
            </w:r>
          </w:p>
        </w:tc>
        <w:tc>
          <w:tcPr>
            <w:tcW w:w="7081" w:type="dxa"/>
            <w:tcBorders>
              <w:top w:val="single" w:color="auto" w:sz="8" w:space="0"/>
            </w:tcBorders>
          </w:tcPr>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确定管理团队，并任命高级管理者，负责整个碳管理战略的制定和执行</w:t>
            </w:r>
          </w:p>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确定管理团队在管理、监测、监督碳管理相关行动的具体职责</w:t>
            </w:r>
          </w:p>
          <w:p>
            <w:pPr>
              <w:pStyle w:val="175"/>
              <w:widowControl/>
              <w:numPr>
                <w:ilvl w:val="0"/>
                <w:numId w:val="32"/>
              </w:numPr>
              <w:ind w:left="176" w:hanging="176" w:firstLineChars="0"/>
              <w:jc w:val="left"/>
              <w:rPr>
                <w:rFonts w:ascii="宋体" w:hAnsi="宋体" w:cs="宋体"/>
                <w:kern w:val="0"/>
                <w:sz w:val="18"/>
                <w:szCs w:val="18"/>
                <w:highlight w:val="none"/>
              </w:rPr>
            </w:pPr>
            <w:r>
              <w:rPr>
                <w:rFonts w:hint="eastAsia" w:ascii="宋体" w:hAnsi="宋体" w:cs="宋体"/>
                <w:kern w:val="0"/>
                <w:sz w:val="18"/>
                <w:szCs w:val="18"/>
                <w:highlight w:val="none"/>
              </w:rPr>
              <w:t>制定内外部各参与方合作、协调机制</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263" w:type="dxa"/>
          </w:tcPr>
          <w:p>
            <w:pPr>
              <w:widowControl/>
              <w:jc w:val="left"/>
              <w:rPr>
                <w:rFonts w:ascii="黑体" w:hAnsi="黑体" w:eastAsia="黑体"/>
                <w:spacing w:val="-1"/>
                <w:sz w:val="18"/>
                <w:szCs w:val="21"/>
                <w:highlight w:val="none"/>
              </w:rPr>
            </w:pPr>
            <w:r>
              <w:rPr>
                <w:rFonts w:hint="eastAsia" w:ascii="宋体"/>
                <w:sz w:val="18"/>
                <w:szCs w:val="21"/>
                <w:highlight w:val="none"/>
              </w:rPr>
              <w:t>建立温室气体排放清单质量管理和报告体系</w:t>
            </w:r>
          </w:p>
        </w:tc>
        <w:tc>
          <w:tcPr>
            <w:tcW w:w="7081" w:type="dxa"/>
          </w:tcPr>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温室气体数据记录管理体系：</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建立集中的数据存储系统，确保数据安全和易于检索</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制定数据记录标准和流程，以确保各部门一致地记录温室气体排放数据</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定期进行数据质量检查和校准，修正任何错误或不一致性</w:t>
            </w:r>
          </w:p>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温室气体排放报告内部审核体系：</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设计内部审核程序，确保报告内容的合规</w:t>
            </w:r>
          </w:p>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数据质量控制计划：</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制定数据质量控制计划，明确质量控制的目标和措施</w:t>
            </w:r>
          </w:p>
          <w:p>
            <w:pPr>
              <w:pStyle w:val="175"/>
              <w:widowControl/>
              <w:numPr>
                <w:ilvl w:val="0"/>
                <w:numId w:val="32"/>
              </w:numPr>
              <w:ind w:left="176" w:hanging="176" w:firstLineChars="0"/>
              <w:jc w:val="left"/>
              <w:rPr>
                <w:rFonts w:ascii="宋体" w:hAnsi="宋体" w:cs="宋体"/>
                <w:kern w:val="0"/>
                <w:sz w:val="18"/>
                <w:szCs w:val="18"/>
                <w:highlight w:val="none"/>
              </w:rPr>
            </w:pPr>
            <w:r>
              <w:rPr>
                <w:rFonts w:hint="eastAsia" w:ascii="宋体" w:hAnsi="宋体" w:cs="宋体"/>
                <w:kern w:val="0"/>
                <w:sz w:val="18"/>
                <w:szCs w:val="18"/>
                <w:highlight w:val="none"/>
              </w:rPr>
              <w:t>定期进行培训，确保相关人员了解并遵循数据质量控制计划</w:t>
            </w:r>
          </w:p>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建立持续监测机制，以确保数据的时效性和准确性。</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定期审查计算模型和假设，以反映企业内部和外部的变化。</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263" w:type="dxa"/>
          </w:tcPr>
          <w:p>
            <w:pPr>
              <w:widowControl/>
              <w:jc w:val="left"/>
              <w:rPr>
                <w:rFonts w:ascii="宋体"/>
                <w:sz w:val="18"/>
                <w:szCs w:val="21"/>
                <w:highlight w:val="none"/>
              </w:rPr>
            </w:pPr>
            <w:r>
              <w:rPr>
                <w:rFonts w:hint="eastAsia" w:ascii="宋体"/>
                <w:sz w:val="18"/>
                <w:szCs w:val="21"/>
                <w:highlight w:val="none"/>
              </w:rPr>
              <w:t>建立碳信息披露监测、跟踪与更新机制</w:t>
            </w:r>
          </w:p>
          <w:p>
            <w:pPr>
              <w:widowControl/>
              <w:jc w:val="left"/>
              <w:rPr>
                <w:rFonts w:ascii="黑体" w:hAnsi="黑体" w:eastAsia="黑体"/>
                <w:spacing w:val="-1"/>
                <w:sz w:val="18"/>
                <w:szCs w:val="21"/>
                <w:highlight w:val="none"/>
              </w:rPr>
            </w:pPr>
          </w:p>
        </w:tc>
        <w:tc>
          <w:tcPr>
            <w:tcW w:w="7081" w:type="dxa"/>
          </w:tcPr>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明确更新频率与机制：</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制定定期的碳信息更新计划</w:t>
            </w:r>
          </w:p>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定期评估碳管理计划的有效性：</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制定评估指标：明确用于评估碳管理计划有效性的关键指标</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设定定期审查的时间表，对碳管理计划进行全面审查</w:t>
            </w:r>
          </w:p>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解决偏离目标的问题与实施纠正措施：</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建立监测机制，定期分析碳信息进展，识别是否有偏离目标的趋势</w:t>
            </w:r>
          </w:p>
          <w:p>
            <w:pPr>
              <w:pStyle w:val="175"/>
              <w:widowControl/>
              <w:ind w:left="176" w:firstLine="0" w:firstLineChars="0"/>
              <w:jc w:val="left"/>
              <w:rPr>
                <w:rFonts w:ascii="宋体" w:hAnsi="宋体" w:cs="宋体"/>
                <w:kern w:val="0"/>
                <w:sz w:val="18"/>
                <w:szCs w:val="18"/>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一旦发现偏离，制定详细的纠正计划，明确责任人和时间表</w:t>
            </w:r>
          </w:p>
          <w:p>
            <w:pPr>
              <w:pStyle w:val="175"/>
              <w:widowControl/>
              <w:ind w:left="176" w:firstLine="0" w:firstLineChars="0"/>
              <w:jc w:val="left"/>
              <w:rPr>
                <w:rFonts w:ascii="黑体" w:hAnsi="黑体" w:eastAsia="黑体"/>
                <w:spacing w:val="-1"/>
                <w:sz w:val="18"/>
                <w:szCs w:val="21"/>
                <w:highlight w:val="none"/>
              </w:rPr>
            </w:pPr>
            <w:r>
              <w:rPr>
                <w:rFonts w:ascii="宋体" w:hAnsi="宋体" w:cs="宋体"/>
                <w:kern w:val="0"/>
                <w:sz w:val="18"/>
                <w:szCs w:val="18"/>
                <w:highlight w:val="none"/>
              </w:rPr>
              <w:t>——</w:t>
            </w:r>
            <w:r>
              <w:rPr>
                <w:rFonts w:hint="eastAsia" w:ascii="宋体" w:hAnsi="宋体" w:cs="宋体"/>
                <w:kern w:val="0"/>
                <w:sz w:val="18"/>
                <w:szCs w:val="18"/>
                <w:highlight w:val="none"/>
              </w:rPr>
              <w:t>建立学习机制，通过经验实践不断改进碳管理计划。</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2263" w:type="dxa"/>
          </w:tcPr>
          <w:p>
            <w:pPr>
              <w:widowControl/>
              <w:jc w:val="left"/>
              <w:rPr>
                <w:rFonts w:ascii="宋体"/>
                <w:sz w:val="18"/>
                <w:szCs w:val="21"/>
                <w:highlight w:val="none"/>
              </w:rPr>
            </w:pPr>
            <w:r>
              <w:rPr>
                <w:rFonts w:hint="eastAsia" w:ascii="宋体"/>
                <w:sz w:val="18"/>
                <w:szCs w:val="21"/>
                <w:highlight w:val="none"/>
              </w:rPr>
              <w:t>建立碳信息内外部沟通、报告的流程和机制</w:t>
            </w:r>
          </w:p>
          <w:p>
            <w:pPr>
              <w:widowControl/>
              <w:jc w:val="left"/>
              <w:rPr>
                <w:rFonts w:ascii="宋体"/>
                <w:sz w:val="18"/>
                <w:szCs w:val="21"/>
                <w:highlight w:val="none"/>
              </w:rPr>
            </w:pPr>
          </w:p>
        </w:tc>
        <w:tc>
          <w:tcPr>
            <w:tcW w:w="7081" w:type="dxa"/>
          </w:tcPr>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明确受众群体：确定与企业相关的利益相关方，包括投资者、客户、供应商、社区等，并了解他们对碳信息的关注点；</w:t>
            </w:r>
          </w:p>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策划并有效地开展企业内部关于碳信息的交流，以促进员工对信息披露流程的技术学习，从而提高他们对碳信息的深入了解和参与度。</w:t>
            </w:r>
          </w:p>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确定碳信息报告的定期披露周期，例如年度或季度报告；</w:t>
            </w:r>
          </w:p>
          <w:p>
            <w:pPr>
              <w:pStyle w:val="175"/>
              <w:widowControl/>
              <w:numPr>
                <w:ilvl w:val="0"/>
                <w:numId w:val="32"/>
              </w:numPr>
              <w:ind w:left="176" w:hanging="176" w:firstLineChars="0"/>
              <w:jc w:val="left"/>
              <w:rPr>
                <w:rFonts w:ascii="宋体"/>
                <w:sz w:val="18"/>
                <w:szCs w:val="18"/>
                <w:highlight w:val="none"/>
              </w:rPr>
            </w:pPr>
            <w:r>
              <w:rPr>
                <w:rFonts w:ascii="Times New Roman" w:hAnsi="宋体" w:cs="宋体"/>
                <w:kern w:val="0"/>
                <w:sz w:val="18"/>
                <w:szCs w:val="18"/>
                <w:highlight w:val="none"/>
              </w:rPr>
              <w:t>建立外部沟通渠道：设立专门的外部沟通渠道，例如定期发布碳信息报告、社交媒体传播等；</w:t>
            </w:r>
          </w:p>
          <w:p>
            <w:pPr>
              <w:pStyle w:val="175"/>
              <w:widowControl/>
              <w:numPr>
                <w:ilvl w:val="0"/>
                <w:numId w:val="32"/>
              </w:numPr>
              <w:ind w:left="176" w:hanging="176" w:firstLineChars="0"/>
              <w:jc w:val="left"/>
              <w:rPr>
                <w:rFonts w:ascii="黑体" w:hAnsi="黑体" w:eastAsia="黑体"/>
                <w:spacing w:val="-1"/>
                <w:sz w:val="18"/>
                <w:szCs w:val="21"/>
                <w:highlight w:val="none"/>
              </w:rPr>
            </w:pPr>
            <w:r>
              <w:rPr>
                <w:rFonts w:hint="eastAsia" w:ascii="宋体" w:hAnsi="宋体" w:cs="宋体"/>
                <w:kern w:val="0"/>
                <w:sz w:val="18"/>
                <w:szCs w:val="18"/>
                <w:highlight w:val="none"/>
              </w:rPr>
              <w:t>设立反馈机制，以及时回应利益相关方的疑虑和建议。</w:t>
            </w:r>
          </w:p>
        </w:tc>
      </w:tr>
    </w:tbl>
    <w:p>
      <w:pPr>
        <w:widowControl/>
        <w:jc w:val="left"/>
        <w:rPr>
          <w:rFonts w:ascii="黑体" w:hAnsi="黑体" w:eastAsia="黑体" w:cs="黑体"/>
          <w:spacing w:val="51"/>
          <w:highlight w:val="none"/>
        </w:rPr>
      </w:pPr>
    </w:p>
    <w:p>
      <w:pPr>
        <w:widowControl/>
        <w:jc w:val="left"/>
        <w:rPr>
          <w:rFonts w:ascii="黑体" w:hAnsi="黑体" w:eastAsia="黑体" w:cs="黑体"/>
          <w:spacing w:val="51"/>
          <w:highlight w:val="none"/>
        </w:rPr>
      </w:pPr>
      <w:r>
        <w:rPr>
          <w:rFonts w:ascii="黑体" w:hAnsi="黑体" w:eastAsia="黑体" w:cs="黑体"/>
          <w:spacing w:val="51"/>
          <w:highlight w:val="none"/>
        </w:rPr>
        <w:br w:type="page"/>
      </w:r>
    </w:p>
    <w:p>
      <w:pPr>
        <w:pStyle w:val="14"/>
        <w:spacing w:before="567" w:after="0"/>
        <w:ind w:right="172"/>
        <w:jc w:val="center"/>
        <w:outlineLvl w:val="0"/>
        <w:rPr>
          <w:rFonts w:hint="eastAsia" w:ascii="黑体" w:hAnsi="黑体" w:eastAsia="黑体" w:cs="黑体"/>
          <w:spacing w:val="51"/>
          <w:highlight w:val="none"/>
        </w:rPr>
      </w:pPr>
      <w:bookmarkStart w:id="69" w:name="_Toc166611399"/>
      <w:r>
        <w:rPr>
          <w:rFonts w:hint="eastAsia" w:ascii="黑体" w:hAnsi="黑体" w:eastAsia="黑体" w:cs="黑体"/>
          <w:spacing w:val="51"/>
          <w:highlight w:val="none"/>
        </w:rPr>
        <w:t>附</w:t>
      </w:r>
      <w:r>
        <w:rPr>
          <w:rFonts w:ascii="黑体" w:hAnsi="黑体" w:eastAsia="黑体" w:cs="黑体"/>
          <w:spacing w:val="51"/>
          <w:highlight w:val="none"/>
        </w:rPr>
        <w:t xml:space="preserve"> </w:t>
      </w:r>
      <w:r>
        <w:rPr>
          <w:rFonts w:hint="eastAsia" w:ascii="黑体" w:hAnsi="黑体" w:eastAsia="黑体" w:cs="黑体"/>
          <w:spacing w:val="51"/>
          <w:highlight w:val="none"/>
        </w:rPr>
        <w:t>录</w:t>
      </w:r>
      <w:bookmarkEnd w:id="69"/>
      <w:r>
        <w:rPr>
          <w:rFonts w:hint="eastAsia" w:eastAsia="黑体"/>
          <w:spacing w:val="51"/>
          <w:highlight w:val="none"/>
        </w:rPr>
        <w:t>F</w:t>
      </w:r>
    </w:p>
    <w:p>
      <w:pPr>
        <w:pStyle w:val="14"/>
        <w:spacing w:after="0"/>
        <w:ind w:right="172"/>
        <w:jc w:val="center"/>
        <w:rPr>
          <w:rFonts w:ascii="黑体" w:hAnsi="黑体" w:eastAsia="黑体" w:cs="黑体"/>
          <w:spacing w:val="-1"/>
          <w:highlight w:val="none"/>
        </w:rPr>
      </w:pPr>
      <w:r>
        <w:rPr>
          <w:rFonts w:hint="eastAsia" w:ascii="黑体" w:hAnsi="黑体" w:eastAsia="黑体" w:cs="黑体"/>
          <w:spacing w:val="-1"/>
          <w:highlight w:val="none"/>
        </w:rPr>
        <w:t>（资料性）</w:t>
      </w:r>
    </w:p>
    <w:p>
      <w:pPr>
        <w:widowControl/>
        <w:spacing w:after="283"/>
        <w:jc w:val="center"/>
        <w:rPr>
          <w:rFonts w:ascii="黑体" w:hAnsi="黑体" w:eastAsia="黑体"/>
          <w:spacing w:val="-1"/>
          <w:highlight w:val="none"/>
        </w:rPr>
      </w:pPr>
      <w:r>
        <w:rPr>
          <w:rFonts w:ascii="黑体" w:hAnsi="黑体" w:eastAsia="黑体"/>
          <w:spacing w:val="-1"/>
          <w:highlight w:val="none"/>
        </w:rPr>
        <w:t>针对资本市场的可持续披露准则</w:t>
      </w:r>
    </w:p>
    <w:p>
      <w:pPr>
        <w:ind w:firstLine="420"/>
        <w:rPr>
          <w:rFonts w:ascii="宋体" w:hAnsi="宋体" w:cs="Arial"/>
          <w:szCs w:val="21"/>
          <w:highlight w:val="none"/>
        </w:rPr>
      </w:pPr>
      <w:r>
        <w:rPr>
          <w:rFonts w:hint="eastAsia" w:ascii="宋体" w:hAnsi="宋体" w:cs="Arial"/>
          <w:szCs w:val="21"/>
          <w:highlight w:val="none"/>
        </w:rPr>
        <w:t>表F</w:t>
      </w:r>
      <w:r>
        <w:rPr>
          <w:rFonts w:ascii="宋体" w:hAnsi="宋体" w:cs="Arial"/>
          <w:szCs w:val="21"/>
          <w:highlight w:val="none"/>
        </w:rPr>
        <w:t>.1提供了企业</w:t>
      </w:r>
      <w:r>
        <w:rPr>
          <w:rFonts w:hint="eastAsia" w:ascii="宋体" w:hAnsi="宋体" w:cs="Arial"/>
          <w:szCs w:val="21"/>
          <w:highlight w:val="none"/>
        </w:rPr>
        <w:t>在面向资本市场或特定利益相关方开展碳信息披露时可遵循或参考的准则。</w:t>
      </w:r>
    </w:p>
    <w:p>
      <w:pPr>
        <w:widowControl/>
        <w:spacing w:before="156" w:beforeLines="50" w:after="156" w:afterLines="50"/>
        <w:jc w:val="center"/>
        <w:rPr>
          <w:rFonts w:ascii="黑体" w:hAnsi="黑体" w:eastAsia="黑体"/>
          <w:spacing w:val="-1"/>
          <w:highlight w:val="none"/>
        </w:rPr>
      </w:pPr>
      <w:r>
        <w:rPr>
          <w:rFonts w:hint="eastAsia" w:ascii="黑体" w:hAnsi="黑体" w:eastAsia="黑体"/>
          <w:spacing w:val="-1"/>
          <w:highlight w:val="none"/>
        </w:rPr>
        <w:t>表</w:t>
      </w:r>
      <w:r>
        <w:rPr>
          <w:rFonts w:hint="eastAsia" w:eastAsia="黑体"/>
          <w:spacing w:val="-1"/>
          <w:highlight w:val="none"/>
        </w:rPr>
        <w:t>F</w:t>
      </w:r>
      <w:r>
        <w:rPr>
          <w:rFonts w:ascii="黑体" w:hAnsi="黑体" w:eastAsia="黑体"/>
          <w:spacing w:val="-1"/>
          <w:highlight w:val="none"/>
        </w:rPr>
        <w:t xml:space="preserve">.1 </w:t>
      </w:r>
      <w:r>
        <w:rPr>
          <w:rFonts w:hint="eastAsia" w:ascii="黑体" w:hAnsi="黑体" w:eastAsia="黑体"/>
          <w:spacing w:val="-1"/>
          <w:highlight w:val="none"/>
        </w:rPr>
        <w:t>针对资本市场的可持续披露准则</w:t>
      </w:r>
    </w:p>
    <w:tbl>
      <w:tblPr>
        <w:tblStyle w:val="41"/>
        <w:tblW w:w="9351"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366"/>
        <w:gridCol w:w="198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7366" w:type="dxa"/>
            <w:tcBorders>
              <w:top w:val="single" w:color="auto" w:sz="8" w:space="0"/>
              <w:bottom w:val="single" w:color="auto" w:sz="8" w:space="0"/>
            </w:tcBorders>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披露准则</w:t>
            </w:r>
          </w:p>
        </w:tc>
        <w:tc>
          <w:tcPr>
            <w:tcW w:w="1985" w:type="dxa"/>
            <w:tcBorders>
              <w:top w:val="single" w:color="auto" w:sz="8" w:space="0"/>
              <w:bottom w:val="single" w:color="auto" w:sz="8" w:space="0"/>
            </w:tcBorders>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准则遵循/参考建议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7366" w:type="dxa"/>
            <w:tcBorders>
              <w:top w:val="single" w:color="auto" w:sz="8" w:space="0"/>
            </w:tcBorders>
            <w:vAlign w:val="center"/>
          </w:tcPr>
          <w:p>
            <w:pPr>
              <w:widowControl/>
              <w:snapToGrid w:val="0"/>
              <w:jc w:val="both"/>
              <w:rPr>
                <w:rFonts w:ascii="宋体" w:eastAsiaTheme="minorEastAsia"/>
                <w:sz w:val="18"/>
                <w:szCs w:val="18"/>
                <w:highlight w:val="none"/>
              </w:rPr>
            </w:pPr>
            <w:r>
              <w:rPr>
                <w:rFonts w:hint="eastAsia" w:ascii="宋体" w:eastAsiaTheme="minorEastAsia"/>
                <w:sz w:val="18"/>
                <w:szCs w:val="18"/>
                <w:highlight w:val="none"/>
              </w:rPr>
              <w:t>企业上市所在交易所的相关规定：</w:t>
            </w:r>
          </w:p>
          <w:p>
            <w:pPr>
              <w:pStyle w:val="175"/>
              <w:widowControl/>
              <w:numPr>
                <w:ilvl w:val="0"/>
                <w:numId w:val="33"/>
              </w:numPr>
              <w:snapToGrid w:val="0"/>
              <w:ind w:firstLineChars="0"/>
              <w:rPr>
                <w:rFonts w:ascii="Times New Roman" w:eastAsiaTheme="minorEastAsia"/>
                <w:sz w:val="18"/>
                <w:szCs w:val="18"/>
                <w:highlight w:val="none"/>
              </w:rPr>
            </w:pPr>
            <w:r>
              <w:rPr>
                <w:rFonts w:hint="eastAsia" w:ascii="宋体" w:eastAsiaTheme="minorEastAsia"/>
                <w:sz w:val="18"/>
                <w:szCs w:val="18"/>
                <w:highlight w:val="none"/>
              </w:rPr>
              <w:t>香港联交所《环境、社会及管治报告指引》</w:t>
            </w:r>
          </w:p>
          <w:p>
            <w:pPr>
              <w:pStyle w:val="175"/>
              <w:widowControl/>
              <w:numPr>
                <w:ilvl w:val="0"/>
                <w:numId w:val="33"/>
              </w:numPr>
              <w:snapToGrid w:val="0"/>
              <w:ind w:firstLineChars="0"/>
              <w:rPr>
                <w:rFonts w:ascii="Times New Roman" w:eastAsiaTheme="minorEastAsia"/>
                <w:sz w:val="18"/>
                <w:szCs w:val="18"/>
                <w:highlight w:val="none"/>
              </w:rPr>
            </w:pPr>
            <w:r>
              <w:rPr>
                <w:rFonts w:hint="eastAsia" w:ascii="宋体" w:eastAsiaTheme="minorEastAsia"/>
                <w:sz w:val="18"/>
                <w:szCs w:val="18"/>
                <w:highlight w:val="none"/>
              </w:rPr>
              <w:t>《上海证券交易所上市公司自律监管指引第14号——可持续发展报告（试行）》</w:t>
            </w:r>
          </w:p>
          <w:p>
            <w:pPr>
              <w:pStyle w:val="175"/>
              <w:widowControl/>
              <w:numPr>
                <w:ilvl w:val="0"/>
                <w:numId w:val="33"/>
              </w:numPr>
              <w:snapToGrid w:val="0"/>
              <w:ind w:firstLineChars="0"/>
              <w:rPr>
                <w:rFonts w:ascii="宋体" w:eastAsiaTheme="minorEastAsia"/>
                <w:sz w:val="18"/>
                <w:szCs w:val="18"/>
                <w:highlight w:val="none"/>
              </w:rPr>
            </w:pPr>
            <w:r>
              <w:rPr>
                <w:rFonts w:hint="eastAsia" w:ascii="宋体" w:eastAsiaTheme="minorEastAsia"/>
                <w:sz w:val="18"/>
                <w:szCs w:val="18"/>
                <w:highlight w:val="none"/>
              </w:rPr>
              <w:t>《深圳证券交易所上市公司自律监管指引第17号——可持续发展报告（试行）》</w:t>
            </w:r>
          </w:p>
          <w:p>
            <w:pPr>
              <w:pStyle w:val="175"/>
              <w:widowControl/>
              <w:numPr>
                <w:ilvl w:val="0"/>
                <w:numId w:val="33"/>
              </w:numPr>
              <w:snapToGrid w:val="0"/>
              <w:ind w:firstLineChars="0"/>
              <w:jc w:val="left"/>
              <w:rPr>
                <w:rFonts w:ascii="Times New Roman" w:hAnsi="黑体" w:eastAsiaTheme="minorEastAsia"/>
                <w:spacing w:val="-1"/>
                <w:sz w:val="18"/>
                <w:szCs w:val="21"/>
                <w:highlight w:val="none"/>
              </w:rPr>
            </w:pPr>
            <w:r>
              <w:rPr>
                <w:rFonts w:hint="eastAsia" w:ascii="Times New Roman" w:hAnsi="黑体" w:eastAsiaTheme="minorEastAsia"/>
                <w:spacing w:val="-1"/>
                <w:sz w:val="18"/>
                <w:szCs w:val="18"/>
                <w:highlight w:val="none"/>
              </w:rPr>
              <w:t>《北京证券交易所上市公司持续监管指引第</w:t>
            </w:r>
            <w:r>
              <w:rPr>
                <w:rFonts w:ascii="Times New Roman" w:hAnsi="黑体" w:eastAsiaTheme="minorEastAsia"/>
                <w:spacing w:val="-1"/>
                <w:sz w:val="18"/>
                <w:szCs w:val="18"/>
                <w:highlight w:val="none"/>
              </w:rPr>
              <w:t>11号——可持续发展报告（试行）》</w:t>
            </w:r>
          </w:p>
        </w:tc>
        <w:tc>
          <w:tcPr>
            <w:tcW w:w="1985" w:type="dxa"/>
            <w:tcBorders>
              <w:top w:val="single" w:color="auto" w:sz="8" w:space="0"/>
            </w:tcBorders>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应遵循</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9" w:hRule="atLeast"/>
        </w:trPr>
        <w:tc>
          <w:tcPr>
            <w:tcW w:w="7366" w:type="dxa"/>
            <w:vAlign w:val="center"/>
          </w:tcPr>
          <w:p>
            <w:pPr>
              <w:snapToGrid w:val="0"/>
              <w:jc w:val="both"/>
              <w:rPr>
                <w:rFonts w:ascii="宋体" w:eastAsiaTheme="minorEastAsia"/>
                <w:sz w:val="18"/>
                <w:szCs w:val="18"/>
                <w:highlight w:val="none"/>
              </w:rPr>
            </w:pPr>
            <w:r>
              <w:rPr>
                <w:rFonts w:hint="eastAsia" w:ascii="宋体" w:eastAsiaTheme="minorEastAsia"/>
                <w:sz w:val="18"/>
                <w:szCs w:val="18"/>
                <w:highlight w:val="none"/>
              </w:rPr>
              <w:t>国际财务报告可持续披露准则第1号</w:t>
            </w:r>
            <w:r>
              <w:rPr>
                <w:rFonts w:ascii="宋体" w:eastAsiaTheme="minorEastAsia"/>
                <w:sz w:val="18"/>
                <w:szCs w:val="18"/>
                <w:highlight w:val="none"/>
              </w:rPr>
              <w:t>——</w:t>
            </w:r>
            <w:r>
              <w:rPr>
                <w:rFonts w:hint="eastAsia" w:ascii="宋体" w:eastAsiaTheme="minorEastAsia"/>
                <w:sz w:val="18"/>
                <w:szCs w:val="18"/>
                <w:highlight w:val="none"/>
              </w:rPr>
              <w:t>可持续相关财务信息披露一般要求</w:t>
            </w:r>
          </w:p>
          <w:p>
            <w:pPr>
              <w:widowControl/>
              <w:jc w:val="both"/>
              <w:rPr>
                <w:rFonts w:ascii="Times New Roman" w:hAnsi="Times New Roman" w:eastAsiaTheme="minorEastAsia"/>
                <w:spacing w:val="-1"/>
                <w:sz w:val="18"/>
                <w:szCs w:val="21"/>
                <w:highlight w:val="none"/>
              </w:rPr>
            </w:pPr>
            <w:r>
              <w:rPr>
                <w:rFonts w:hint="eastAsia" w:ascii="宋体" w:eastAsiaTheme="minorEastAsia"/>
                <w:sz w:val="18"/>
                <w:szCs w:val="18"/>
                <w:highlight w:val="none"/>
              </w:rPr>
              <w:t>国际财务报告可持续披露准则第2号</w:t>
            </w:r>
            <w:r>
              <w:rPr>
                <w:rFonts w:ascii="宋体" w:eastAsiaTheme="minorEastAsia"/>
                <w:sz w:val="18"/>
                <w:szCs w:val="18"/>
                <w:highlight w:val="none"/>
              </w:rPr>
              <w:t>——</w:t>
            </w:r>
            <w:r>
              <w:rPr>
                <w:rFonts w:hint="eastAsia" w:ascii="宋体" w:eastAsiaTheme="minorEastAsia"/>
                <w:sz w:val="18"/>
                <w:szCs w:val="18"/>
                <w:highlight w:val="none"/>
              </w:rPr>
              <w:t>气候相关披露</w:t>
            </w:r>
          </w:p>
        </w:tc>
        <w:tc>
          <w:tcPr>
            <w:tcW w:w="1985" w:type="dxa"/>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应遵循</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2" w:hRule="atLeast"/>
        </w:trPr>
        <w:tc>
          <w:tcPr>
            <w:tcW w:w="7366" w:type="dxa"/>
            <w:vAlign w:val="center"/>
          </w:tcPr>
          <w:p>
            <w:pPr>
              <w:widowControl/>
              <w:jc w:val="both"/>
              <w:rPr>
                <w:rFonts w:ascii="Times New Roman" w:hAnsi="Times New Roman" w:eastAsiaTheme="minorEastAsia"/>
                <w:spacing w:val="-1"/>
                <w:sz w:val="18"/>
                <w:szCs w:val="21"/>
                <w:highlight w:val="none"/>
              </w:rPr>
            </w:pPr>
            <w:r>
              <w:rPr>
                <w:rFonts w:hint="eastAsia" w:ascii="宋体" w:eastAsiaTheme="minorEastAsia"/>
                <w:sz w:val="18"/>
                <w:szCs w:val="18"/>
                <w:highlight w:val="none"/>
              </w:rPr>
              <w:t>全球报告倡议组织《可持续发展报告标准》(GRI</w:t>
            </w:r>
            <w:r>
              <w:rPr>
                <w:rFonts w:ascii="宋体" w:eastAsiaTheme="minorEastAsia"/>
                <w:sz w:val="18"/>
                <w:szCs w:val="18"/>
                <w:highlight w:val="none"/>
              </w:rPr>
              <w:t xml:space="preserve"> Standards)</w:t>
            </w:r>
          </w:p>
        </w:tc>
        <w:tc>
          <w:tcPr>
            <w:tcW w:w="1985" w:type="dxa"/>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宜遵循</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7366" w:type="dxa"/>
            <w:vAlign w:val="center"/>
          </w:tcPr>
          <w:p>
            <w:pPr>
              <w:widowControl/>
              <w:jc w:val="both"/>
              <w:rPr>
                <w:rFonts w:ascii="Times New Roman" w:hAnsi="Times New Roman" w:eastAsiaTheme="minorEastAsia"/>
                <w:spacing w:val="-1"/>
                <w:sz w:val="18"/>
                <w:szCs w:val="21"/>
                <w:highlight w:val="none"/>
              </w:rPr>
            </w:pPr>
            <w:r>
              <w:rPr>
                <w:rFonts w:hint="eastAsia" w:ascii="宋体" w:eastAsiaTheme="minorEastAsia"/>
                <w:sz w:val="18"/>
                <w:szCs w:val="18"/>
                <w:highlight w:val="none"/>
              </w:rPr>
              <w:t>联合国2030年可持续发展目标（SDG）</w:t>
            </w:r>
          </w:p>
        </w:tc>
        <w:tc>
          <w:tcPr>
            <w:tcW w:w="1985" w:type="dxa"/>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宜参考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7366" w:type="dxa"/>
            <w:vAlign w:val="center"/>
          </w:tcPr>
          <w:p>
            <w:pPr>
              <w:widowControl/>
              <w:jc w:val="both"/>
              <w:rPr>
                <w:rFonts w:ascii="Times New Roman" w:hAnsi="Times New Roman" w:eastAsiaTheme="minorEastAsia"/>
                <w:spacing w:val="-1"/>
                <w:sz w:val="18"/>
                <w:szCs w:val="21"/>
                <w:highlight w:val="none"/>
              </w:rPr>
            </w:pPr>
            <w:r>
              <w:rPr>
                <w:rFonts w:hint="eastAsia" w:ascii="宋体" w:eastAsiaTheme="minorEastAsia"/>
                <w:sz w:val="18"/>
                <w:szCs w:val="18"/>
                <w:highlight w:val="none"/>
              </w:rPr>
              <w:t>可持续发展会计准则委员会（SASB）准则</w:t>
            </w:r>
          </w:p>
        </w:tc>
        <w:tc>
          <w:tcPr>
            <w:tcW w:w="1985" w:type="dxa"/>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宜参考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7366" w:type="dxa"/>
            <w:vAlign w:val="center"/>
          </w:tcPr>
          <w:p>
            <w:pPr>
              <w:widowControl/>
              <w:jc w:val="both"/>
              <w:rPr>
                <w:rFonts w:ascii="Times New Roman" w:hAnsi="Times New Roman" w:eastAsiaTheme="minorEastAsia"/>
                <w:spacing w:val="-1"/>
                <w:sz w:val="18"/>
                <w:szCs w:val="21"/>
                <w:highlight w:val="none"/>
              </w:rPr>
            </w:pPr>
            <w:r>
              <w:rPr>
                <w:rFonts w:hint="eastAsia" w:ascii="宋体" w:eastAsiaTheme="minorEastAsia"/>
                <w:sz w:val="18"/>
                <w:szCs w:val="18"/>
                <w:highlight w:val="none"/>
              </w:rPr>
              <w:t>气候相关财务信息披露工作组（TCFD）框架建议</w:t>
            </w:r>
          </w:p>
        </w:tc>
        <w:tc>
          <w:tcPr>
            <w:tcW w:w="1985" w:type="dxa"/>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宜参考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7366" w:type="dxa"/>
            <w:vAlign w:val="center"/>
          </w:tcPr>
          <w:p>
            <w:pPr>
              <w:widowControl/>
              <w:jc w:val="both"/>
              <w:rPr>
                <w:rFonts w:ascii="Times New Roman" w:hAnsi="Times New Roman" w:eastAsiaTheme="minorEastAsia"/>
                <w:spacing w:val="-1"/>
                <w:sz w:val="18"/>
                <w:szCs w:val="21"/>
                <w:highlight w:val="none"/>
              </w:rPr>
            </w:pPr>
            <w:r>
              <w:rPr>
                <w:rFonts w:hint="eastAsia" w:ascii="宋体" w:eastAsiaTheme="minorEastAsia"/>
                <w:sz w:val="18"/>
                <w:szCs w:val="18"/>
                <w:highlight w:val="none"/>
              </w:rPr>
              <w:t>中国社会科学院《中国企业社会责任报告指南基础框架</w:t>
            </w:r>
            <w:r>
              <w:rPr>
                <w:rFonts w:ascii="宋体" w:eastAsiaTheme="minorEastAsia"/>
                <w:sz w:val="18"/>
                <w:szCs w:val="18"/>
                <w:highlight w:val="none"/>
              </w:rPr>
              <w:t xml:space="preserve"> </w:t>
            </w:r>
            <w:r>
              <w:rPr>
                <w:rFonts w:hint="eastAsia" w:ascii="宋体" w:eastAsiaTheme="minorEastAsia"/>
                <w:sz w:val="18"/>
                <w:szCs w:val="18"/>
                <w:highlight w:val="none"/>
              </w:rPr>
              <w:t>（CASS-ESG</w:t>
            </w:r>
            <w:r>
              <w:rPr>
                <w:rFonts w:ascii="宋体" w:eastAsiaTheme="minorEastAsia"/>
                <w:sz w:val="18"/>
                <w:szCs w:val="18"/>
                <w:highlight w:val="none"/>
              </w:rPr>
              <w:t xml:space="preserve"> </w:t>
            </w:r>
            <w:r>
              <w:rPr>
                <w:rFonts w:hint="eastAsia" w:ascii="宋体" w:eastAsiaTheme="minorEastAsia"/>
                <w:sz w:val="18"/>
                <w:szCs w:val="18"/>
                <w:highlight w:val="none"/>
              </w:rPr>
              <w:t>5.0）》</w:t>
            </w:r>
          </w:p>
        </w:tc>
        <w:tc>
          <w:tcPr>
            <w:tcW w:w="1985" w:type="dxa"/>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可参考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7366" w:type="dxa"/>
            <w:vAlign w:val="center"/>
          </w:tcPr>
          <w:p>
            <w:pPr>
              <w:widowControl/>
              <w:jc w:val="both"/>
              <w:rPr>
                <w:rFonts w:ascii="宋体" w:eastAsiaTheme="minorEastAsia"/>
                <w:sz w:val="18"/>
                <w:szCs w:val="18"/>
                <w:highlight w:val="none"/>
              </w:rPr>
            </w:pPr>
            <w:r>
              <w:rPr>
                <w:rFonts w:hint="eastAsia" w:ascii="宋体" w:eastAsiaTheme="minorEastAsia"/>
                <w:sz w:val="18"/>
                <w:szCs w:val="18"/>
                <w:highlight w:val="none"/>
              </w:rPr>
              <w:t>联合国全球契约（United</w:t>
            </w:r>
            <w:r>
              <w:rPr>
                <w:rFonts w:ascii="宋体" w:eastAsiaTheme="minorEastAsia"/>
                <w:sz w:val="18"/>
                <w:szCs w:val="18"/>
                <w:highlight w:val="none"/>
              </w:rPr>
              <w:t xml:space="preserve"> Nations Global </w:t>
            </w:r>
            <w:r>
              <w:rPr>
                <w:rFonts w:hint="eastAsia" w:ascii="宋体" w:eastAsiaTheme="minorEastAsia"/>
                <w:sz w:val="18"/>
                <w:szCs w:val="18"/>
                <w:highlight w:val="none"/>
              </w:rPr>
              <w:t>Compact）</w:t>
            </w:r>
            <w:r>
              <w:rPr>
                <w:rFonts w:ascii="宋体" w:eastAsiaTheme="minorEastAsia"/>
                <w:sz w:val="18"/>
                <w:szCs w:val="18"/>
                <w:highlight w:val="none"/>
              </w:rPr>
              <w:t>“</w:t>
            </w:r>
            <w:r>
              <w:rPr>
                <w:rFonts w:hint="eastAsia" w:ascii="宋体" w:eastAsiaTheme="minorEastAsia"/>
                <w:sz w:val="18"/>
                <w:szCs w:val="18"/>
                <w:highlight w:val="none"/>
              </w:rPr>
              <w:t>十项原则</w:t>
            </w:r>
            <w:r>
              <w:rPr>
                <w:rFonts w:ascii="宋体" w:eastAsiaTheme="minorEastAsia"/>
                <w:sz w:val="18"/>
                <w:szCs w:val="18"/>
                <w:highlight w:val="none"/>
              </w:rPr>
              <w:t>”</w:t>
            </w:r>
          </w:p>
        </w:tc>
        <w:tc>
          <w:tcPr>
            <w:tcW w:w="1985" w:type="dxa"/>
            <w:vAlign w:val="center"/>
          </w:tcPr>
          <w:p>
            <w:pPr>
              <w:widowControl/>
              <w:jc w:val="center"/>
              <w:rPr>
                <w:rFonts w:ascii="Times New Roman" w:hAnsi="Times New Roman" w:eastAsiaTheme="minorEastAsia"/>
                <w:spacing w:val="-1"/>
                <w:sz w:val="18"/>
                <w:szCs w:val="21"/>
                <w:highlight w:val="none"/>
              </w:rPr>
            </w:pPr>
            <w:r>
              <w:rPr>
                <w:rFonts w:hint="eastAsia" w:ascii="宋体" w:eastAsiaTheme="minorEastAsia"/>
                <w:sz w:val="18"/>
                <w:szCs w:val="18"/>
                <w:highlight w:val="none"/>
              </w:rPr>
              <w:t>可参考</w:t>
            </w:r>
          </w:p>
        </w:tc>
      </w:tr>
    </w:tbl>
    <w:p>
      <w:pPr>
        <w:jc w:val="both"/>
        <w:rPr>
          <w:highlight w:val="none"/>
        </w:rPr>
      </w:pPr>
    </w:p>
    <w:p>
      <w:pPr>
        <w:widowControl/>
        <w:jc w:val="left"/>
        <w:rPr>
          <w:highlight w:val="none"/>
        </w:rPr>
      </w:pPr>
      <w:r>
        <w:rPr>
          <w:highlight w:val="none"/>
        </w:rPr>
        <w:br w:type="page"/>
      </w:r>
    </w:p>
    <w:p>
      <w:pPr>
        <w:widowControl/>
        <w:spacing w:before="283" w:after="284"/>
        <w:jc w:val="center"/>
        <w:rPr>
          <w:rFonts w:ascii="黑体" w:hAnsi="黑体" w:eastAsia="黑体" w:cs="Times New Roman"/>
          <w:spacing w:val="-1"/>
          <w:szCs w:val="24"/>
          <w:highlight w:val="none"/>
        </w:rPr>
      </w:pPr>
      <w:r>
        <w:rPr>
          <w:rFonts w:ascii="黑体" w:hAnsi="黑体" w:eastAsia="黑体"/>
          <w:spacing w:val="-1"/>
          <w:highlight w:val="none"/>
        </w:rPr>
        <w:t>表</w:t>
      </w:r>
      <w:r>
        <w:rPr>
          <w:rFonts w:hint="eastAsia" w:ascii="黑体" w:hAnsi="黑体" w:eastAsia="黑体"/>
          <w:spacing w:val="-1"/>
          <w:highlight w:val="none"/>
        </w:rPr>
        <w:t>F</w:t>
      </w:r>
      <w:r>
        <w:rPr>
          <w:rFonts w:ascii="黑体" w:hAnsi="黑体" w:eastAsia="黑体"/>
          <w:spacing w:val="-1"/>
          <w:highlight w:val="none"/>
        </w:rPr>
        <w:t>.1企业碳信息合规披露评价表</w:t>
      </w:r>
      <w:r>
        <w:rPr>
          <w:rFonts w:hint="eastAsia" w:ascii="黑体" w:hAnsi="黑体" w:eastAsia="黑体"/>
          <w:spacing w:val="-1"/>
          <w:highlight w:val="none"/>
        </w:rPr>
        <w:t>（续）</w:t>
      </w:r>
    </w:p>
    <w:tbl>
      <w:tblPr>
        <w:tblStyle w:val="41"/>
        <w:tblW w:w="9209"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129"/>
        <w:gridCol w:w="2132"/>
        <w:gridCol w:w="946"/>
        <w:gridCol w:w="608"/>
        <w:gridCol w:w="1134"/>
        <w:gridCol w:w="1134"/>
        <w:gridCol w:w="992"/>
        <w:gridCol w:w="113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7" w:hRule="atLeast"/>
        </w:trPr>
        <w:tc>
          <w:tcPr>
            <w:tcW w:w="3261" w:type="dxa"/>
            <w:gridSpan w:val="2"/>
            <w:tcBorders>
              <w:top w:val="single" w:color="auto" w:sz="8" w:space="0"/>
              <w:bottom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披露内容</w:t>
            </w:r>
            <w:r>
              <w:rPr>
                <w:rFonts w:asciiTheme="minorEastAsia" w:hAnsiTheme="minorEastAsia" w:eastAsiaTheme="minorEastAsia"/>
                <w:sz w:val="18"/>
                <w:szCs w:val="18"/>
                <w:highlight w:val="none"/>
              </w:rPr>
              <w:t>/形式</w:t>
            </w:r>
          </w:p>
        </w:tc>
        <w:tc>
          <w:tcPr>
            <w:tcW w:w="946" w:type="dxa"/>
            <w:tcBorders>
              <w:top w:val="single" w:color="auto" w:sz="8" w:space="0"/>
              <w:bottom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宋体"/>
                <w:sz w:val="18"/>
                <w:szCs w:val="18"/>
                <w:highlight w:val="none"/>
              </w:rPr>
              <w:t>原则</w:t>
            </w:r>
          </w:p>
        </w:tc>
        <w:tc>
          <w:tcPr>
            <w:tcW w:w="608" w:type="dxa"/>
            <w:tcBorders>
              <w:top w:val="single" w:color="auto" w:sz="8" w:space="0"/>
              <w:bottom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宋体"/>
                <w:sz w:val="18"/>
                <w:szCs w:val="18"/>
                <w:highlight w:val="none"/>
              </w:rPr>
              <w:t>分数</w:t>
            </w:r>
          </w:p>
        </w:tc>
        <w:tc>
          <w:tcPr>
            <w:tcW w:w="1134" w:type="dxa"/>
            <w:tcBorders>
              <w:top w:val="single" w:color="auto" w:sz="8" w:space="0"/>
              <w:bottom w:val="single" w:color="auto" w:sz="8" w:space="0"/>
            </w:tcBorders>
            <w:vAlign w:val="center"/>
          </w:tcPr>
          <w:p>
            <w:pPr>
              <w:widowControl/>
              <w:jc w:val="center"/>
              <w:rPr>
                <w:rFonts w:ascii="Times New Roman"/>
                <w:sz w:val="18"/>
                <w:szCs w:val="18"/>
                <w:highlight w:val="none"/>
              </w:rPr>
            </w:pPr>
            <w:r>
              <w:rPr>
                <w:rFonts w:ascii="Times New Roman"/>
                <w:sz w:val="18"/>
                <w:szCs w:val="18"/>
                <w:highlight w:val="none"/>
              </w:rPr>
              <w:t>“D-有限”</w:t>
            </w:r>
          </w:p>
          <w:p>
            <w:pPr>
              <w:widowControl/>
              <w:jc w:val="center"/>
              <w:rPr>
                <w:rFonts w:ascii="Times New Roman" w:eastAsiaTheme="minorEastAsia"/>
                <w:kern w:val="0"/>
                <w:sz w:val="18"/>
                <w:szCs w:val="18"/>
                <w:highlight w:val="none"/>
              </w:rPr>
            </w:pPr>
            <w:r>
              <w:rPr>
                <w:rFonts w:ascii="Times New Roman"/>
                <w:sz w:val="18"/>
                <w:szCs w:val="18"/>
                <w:highlight w:val="none"/>
              </w:rPr>
              <w:t>最低要求</w:t>
            </w:r>
          </w:p>
        </w:tc>
        <w:tc>
          <w:tcPr>
            <w:tcW w:w="1134" w:type="dxa"/>
            <w:tcBorders>
              <w:top w:val="single" w:color="auto" w:sz="8" w:space="0"/>
              <w:bottom w:val="single" w:color="auto" w:sz="8" w:space="0"/>
            </w:tcBorders>
            <w:vAlign w:val="center"/>
          </w:tcPr>
          <w:p>
            <w:pPr>
              <w:widowControl/>
              <w:jc w:val="center"/>
              <w:rPr>
                <w:rFonts w:ascii="Times New Roman"/>
                <w:sz w:val="18"/>
                <w:szCs w:val="18"/>
                <w:highlight w:val="none"/>
              </w:rPr>
            </w:pPr>
            <w:r>
              <w:rPr>
                <w:rFonts w:ascii="Times New Roman"/>
                <w:sz w:val="18"/>
                <w:szCs w:val="18"/>
                <w:highlight w:val="none"/>
              </w:rPr>
              <w:t>“C-合格”</w:t>
            </w:r>
          </w:p>
          <w:p>
            <w:pPr>
              <w:widowControl/>
              <w:jc w:val="center"/>
              <w:rPr>
                <w:rFonts w:ascii="Times New Roman" w:eastAsiaTheme="minorEastAsia"/>
                <w:kern w:val="0"/>
                <w:sz w:val="18"/>
                <w:szCs w:val="18"/>
                <w:highlight w:val="none"/>
              </w:rPr>
            </w:pPr>
            <w:r>
              <w:rPr>
                <w:rFonts w:ascii="Times New Roman"/>
                <w:sz w:val="18"/>
                <w:szCs w:val="18"/>
                <w:highlight w:val="none"/>
              </w:rPr>
              <w:t>最低要求</w:t>
            </w:r>
          </w:p>
        </w:tc>
        <w:tc>
          <w:tcPr>
            <w:tcW w:w="992" w:type="dxa"/>
            <w:tcBorders>
              <w:top w:val="single" w:color="auto" w:sz="8" w:space="0"/>
              <w:bottom w:val="single" w:color="auto" w:sz="8" w:space="0"/>
            </w:tcBorders>
            <w:vAlign w:val="center"/>
          </w:tcPr>
          <w:p>
            <w:pPr>
              <w:widowControl/>
              <w:jc w:val="center"/>
              <w:rPr>
                <w:rFonts w:ascii="Times New Roman"/>
                <w:sz w:val="18"/>
                <w:szCs w:val="18"/>
                <w:highlight w:val="none"/>
              </w:rPr>
            </w:pPr>
            <w:r>
              <w:rPr>
                <w:rFonts w:ascii="Times New Roman"/>
                <w:sz w:val="18"/>
                <w:szCs w:val="18"/>
                <w:highlight w:val="none"/>
              </w:rPr>
              <w:t>B-充分</w:t>
            </w:r>
          </w:p>
          <w:p>
            <w:pPr>
              <w:widowControl/>
              <w:jc w:val="center"/>
              <w:rPr>
                <w:rFonts w:ascii="Times New Roman" w:eastAsiaTheme="minorEastAsia"/>
                <w:kern w:val="0"/>
                <w:sz w:val="18"/>
                <w:szCs w:val="18"/>
                <w:highlight w:val="none"/>
              </w:rPr>
            </w:pPr>
            <w:r>
              <w:rPr>
                <w:rFonts w:ascii="Times New Roman"/>
                <w:sz w:val="18"/>
                <w:szCs w:val="18"/>
                <w:highlight w:val="none"/>
              </w:rPr>
              <w:t>最低要求</w:t>
            </w:r>
          </w:p>
        </w:tc>
        <w:tc>
          <w:tcPr>
            <w:tcW w:w="1134" w:type="dxa"/>
            <w:tcBorders>
              <w:top w:val="single" w:color="auto" w:sz="8" w:space="0"/>
              <w:bottom w:val="single" w:color="auto" w:sz="8" w:space="0"/>
            </w:tcBorders>
            <w:vAlign w:val="center"/>
          </w:tcPr>
          <w:p>
            <w:pPr>
              <w:widowControl/>
              <w:jc w:val="center"/>
              <w:rPr>
                <w:rFonts w:ascii="Times New Roman"/>
                <w:sz w:val="18"/>
                <w:szCs w:val="18"/>
                <w:highlight w:val="none"/>
              </w:rPr>
            </w:pPr>
            <w:r>
              <w:rPr>
                <w:rFonts w:ascii="Times New Roman"/>
                <w:sz w:val="18"/>
                <w:szCs w:val="18"/>
                <w:highlight w:val="none"/>
              </w:rPr>
              <w:t>“A-完备”</w:t>
            </w:r>
          </w:p>
          <w:p>
            <w:pPr>
              <w:widowControl/>
              <w:jc w:val="center"/>
              <w:rPr>
                <w:rFonts w:ascii="Times New Roman" w:eastAsiaTheme="minorEastAsia"/>
                <w:kern w:val="0"/>
                <w:sz w:val="18"/>
                <w:szCs w:val="18"/>
                <w:highlight w:val="none"/>
              </w:rPr>
            </w:pPr>
            <w:r>
              <w:rPr>
                <w:rFonts w:ascii="Times New Roman"/>
                <w:sz w:val="18"/>
                <w:szCs w:val="18"/>
                <w:highlight w:val="none"/>
              </w:rPr>
              <w:t>最低要求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restart"/>
            <w:tcBorders>
              <w:top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碳信息内涵—特性类（若适用）</w:t>
            </w:r>
          </w:p>
        </w:tc>
        <w:tc>
          <w:tcPr>
            <w:tcW w:w="2132" w:type="dxa"/>
            <w:tcBorders>
              <w:top w:val="single" w:color="auto" w:sz="8" w:space="0"/>
            </w:tcBorders>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特性的基本信息</w:t>
            </w:r>
          </w:p>
        </w:tc>
        <w:tc>
          <w:tcPr>
            <w:tcW w:w="946" w:type="dxa"/>
            <w:tcBorders>
              <w:top w:val="single" w:color="auto" w:sz="8" w:space="0"/>
            </w:tcBorders>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明确性、完整性、准确性</w:t>
            </w:r>
          </w:p>
        </w:tc>
        <w:tc>
          <w:tcPr>
            <w:tcW w:w="608" w:type="dxa"/>
            <w:tcBorders>
              <w:top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25</w:t>
            </w:r>
          </w:p>
        </w:tc>
        <w:tc>
          <w:tcPr>
            <w:tcW w:w="1134" w:type="dxa"/>
            <w:tcBorders>
              <w:top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tcBorders>
              <w:top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14</w:t>
            </w:r>
          </w:p>
        </w:tc>
        <w:tc>
          <w:tcPr>
            <w:tcW w:w="992" w:type="dxa"/>
            <w:tcBorders>
              <w:top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18</w:t>
            </w:r>
          </w:p>
        </w:tc>
        <w:tc>
          <w:tcPr>
            <w:tcW w:w="1134" w:type="dxa"/>
            <w:tcBorders>
              <w:top w:val="single" w:color="auto" w:sz="8" w:space="0"/>
            </w:tcBorders>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widowControl/>
              <w:jc w:val="center"/>
              <w:rPr>
                <w:rFonts w:asciiTheme="minorEastAsia" w:hAnsiTheme="minorEastAsia" w:eastAsiaTheme="minorEastAsia"/>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特性的必要依据</w:t>
            </w:r>
          </w:p>
        </w:tc>
        <w:tc>
          <w:tcPr>
            <w:tcW w:w="946" w:type="dxa"/>
          </w:tcPr>
          <w:p>
            <w:pPr>
              <w:jc w:val="left"/>
              <w:rPr>
                <w:rFonts w:ascii="Times New Roman" w:hAnsi="宋体" w:cs="Arial"/>
                <w:sz w:val="18"/>
                <w:szCs w:val="18"/>
                <w:highlight w:val="none"/>
              </w:rPr>
            </w:pPr>
            <w:r>
              <w:rPr>
                <w:rFonts w:hint="eastAsia" w:ascii="Times New Roman" w:hAnsi="宋体" w:cs="Arial"/>
                <w:sz w:val="18"/>
                <w:szCs w:val="18"/>
                <w:highlight w:val="none"/>
              </w:rPr>
              <w:t>明确性、合理性、</w:t>
            </w:r>
          </w:p>
          <w:p>
            <w:pPr>
              <w:widowControl/>
              <w:jc w:val="left"/>
              <w:rPr>
                <w:rFonts w:asciiTheme="minorEastAsia" w:hAnsiTheme="minorEastAsia" w:eastAsiaTheme="minorEastAsia"/>
                <w:sz w:val="18"/>
                <w:szCs w:val="18"/>
                <w:highlight w:val="none"/>
              </w:rPr>
            </w:pPr>
            <w:r>
              <w:rPr>
                <w:rFonts w:hint="eastAsia" w:ascii="宋体" w:hAnsi="宋体" w:cs="Arial"/>
                <w:sz w:val="18"/>
                <w:szCs w:val="18"/>
                <w:highlight w:val="none"/>
              </w:rPr>
              <w:t>实质性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4</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6</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widowControl/>
              <w:jc w:val="center"/>
              <w:rPr>
                <w:rFonts w:asciiTheme="minorEastAsia" w:hAnsiTheme="minorEastAsia" w:eastAsiaTheme="minorEastAsia"/>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特性的其他必要信息</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完整性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4</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7</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restart"/>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碳信息时序—回顾过去</w:t>
            </w:r>
          </w:p>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（若适用）</w:t>
            </w:r>
          </w:p>
        </w:tc>
        <w:tc>
          <w:tcPr>
            <w:tcW w:w="2132"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验证性声明</w:t>
            </w:r>
          </w:p>
        </w:tc>
        <w:tc>
          <w:tcPr>
            <w:tcW w:w="946" w:type="dxa"/>
          </w:tcPr>
          <w:p>
            <w:pPr>
              <w:widowControl/>
              <w:jc w:val="left"/>
              <w:rPr>
                <w:rFonts w:asciiTheme="minorEastAsia" w:hAnsiTheme="minorEastAsia" w:eastAsiaTheme="minorEastAsia"/>
                <w:sz w:val="18"/>
                <w:szCs w:val="18"/>
                <w:highlight w:val="none"/>
              </w:rPr>
            </w:pPr>
            <w:r>
              <w:rPr>
                <w:rFonts w:hint="eastAsia" w:ascii="宋体" w:hAnsi="宋体"/>
                <w:sz w:val="18"/>
                <w:szCs w:val="18"/>
                <w:highlight w:val="none"/>
              </w:rPr>
              <w:t>合理性，可验证性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6</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widowControl/>
              <w:jc w:val="center"/>
              <w:rPr>
                <w:rFonts w:asciiTheme="minorEastAsia" w:hAnsiTheme="minorEastAsia" w:eastAsiaTheme="minorEastAsia"/>
                <w:sz w:val="18"/>
                <w:szCs w:val="18"/>
                <w:highlight w:val="none"/>
              </w:rPr>
            </w:pPr>
          </w:p>
        </w:tc>
        <w:tc>
          <w:tcPr>
            <w:tcW w:w="2132"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局限性和可信度声明</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准确性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widowControl/>
              <w:jc w:val="center"/>
              <w:rPr>
                <w:rFonts w:asciiTheme="minorEastAsia" w:hAnsiTheme="minorEastAsia" w:eastAsiaTheme="minorEastAsia"/>
                <w:sz w:val="18"/>
                <w:szCs w:val="18"/>
                <w:highlight w:val="none"/>
              </w:rPr>
            </w:pPr>
          </w:p>
        </w:tc>
        <w:tc>
          <w:tcPr>
            <w:tcW w:w="2132"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历史一贯性声明</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准确性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restart"/>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碳信息时序—面向将来</w:t>
            </w:r>
          </w:p>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（若适用）</w:t>
            </w:r>
          </w:p>
        </w:tc>
        <w:tc>
          <w:tcPr>
            <w:tcW w:w="2132"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验证性声明</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真实性，可验证性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6</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tcPr>
          <w:p>
            <w:pPr>
              <w:widowControl/>
              <w:jc w:val="left"/>
              <w:rPr>
                <w:rFonts w:asciiTheme="minorEastAsia" w:hAnsiTheme="minorEastAsia" w:eastAsiaTheme="minorEastAsia"/>
                <w:sz w:val="18"/>
                <w:szCs w:val="18"/>
                <w:highlight w:val="none"/>
              </w:rPr>
            </w:pPr>
          </w:p>
        </w:tc>
        <w:tc>
          <w:tcPr>
            <w:tcW w:w="2132"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局限性和可信度声明</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准确性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tcPr>
          <w:p>
            <w:pPr>
              <w:widowControl/>
              <w:jc w:val="left"/>
              <w:rPr>
                <w:rFonts w:asciiTheme="minorEastAsia" w:hAnsiTheme="minorEastAsia" w:eastAsiaTheme="minorEastAsia"/>
                <w:sz w:val="18"/>
                <w:szCs w:val="18"/>
                <w:highlight w:val="none"/>
              </w:rPr>
            </w:pPr>
          </w:p>
        </w:tc>
        <w:tc>
          <w:tcPr>
            <w:tcW w:w="2132"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历史一贯性声明</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准确性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披露情形</w:t>
            </w:r>
          </w:p>
        </w:tc>
        <w:tc>
          <w:tcPr>
            <w:tcW w:w="2132"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面对特性情形下的披露内容</w:t>
            </w:r>
          </w:p>
        </w:tc>
        <w:tc>
          <w:tcPr>
            <w:tcW w:w="946" w:type="dxa"/>
          </w:tcPr>
          <w:p>
            <w:pPr>
              <w:widowControl/>
              <w:jc w:val="left"/>
              <w:rPr>
                <w:rFonts w:ascii="宋体" w:hAnsi="宋体" w:cs="Arial"/>
                <w:sz w:val="18"/>
                <w:szCs w:val="18"/>
                <w:highlight w:val="none"/>
              </w:rPr>
            </w:pPr>
            <w:r>
              <w:rPr>
                <w:rFonts w:hint="eastAsia" w:ascii="宋体" w:hAnsi="宋体" w:cs="Arial"/>
                <w:sz w:val="18"/>
                <w:szCs w:val="18"/>
                <w:highlight w:val="none"/>
              </w:rPr>
              <w:t>满足各情形的特定要求</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4</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7</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披露材料</w:t>
            </w:r>
          </w:p>
        </w:tc>
        <w:tc>
          <w:tcPr>
            <w:tcW w:w="2132" w:type="dxa"/>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披露材料编制和呈现</w:t>
            </w:r>
          </w:p>
        </w:tc>
        <w:tc>
          <w:tcPr>
            <w:tcW w:w="946" w:type="dxa"/>
          </w:tcPr>
          <w:p>
            <w:pPr>
              <w:widowControl/>
              <w:jc w:val="left"/>
              <w:rPr>
                <w:rFonts w:ascii="宋体" w:hAnsi="宋体" w:cs="Arial"/>
                <w:sz w:val="18"/>
                <w:szCs w:val="18"/>
                <w:highlight w:val="none"/>
              </w:rPr>
            </w:pPr>
            <w:r>
              <w:rPr>
                <w:rFonts w:hint="eastAsia" w:ascii="宋体" w:hAnsi="宋体" w:cs="Arial"/>
                <w:sz w:val="18"/>
                <w:szCs w:val="18"/>
                <w:highlight w:val="none"/>
              </w:rPr>
              <w:t>规范性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r>
    </w:tbl>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pPr>
    </w:p>
    <w:p>
      <w:pPr>
        <w:widowControl/>
        <w:jc w:val="left"/>
        <w:rPr>
          <w:rFonts w:ascii="宋体" w:hAnsi="宋体" w:cs="Arial"/>
          <w:szCs w:val="21"/>
          <w:highlight w:val="none"/>
        </w:rPr>
        <w:sectPr>
          <w:headerReference r:id="rId8" w:type="default"/>
          <w:footerReference r:id="rId10" w:type="default"/>
          <w:headerReference r:id="rId9" w:type="even"/>
          <w:footerReference r:id="rId11" w:type="even"/>
          <w:pgSz w:w="11906" w:h="16838"/>
          <w:pgMar w:top="1418" w:right="1134" w:bottom="1134" w:left="1418" w:header="1418" w:footer="1134" w:gutter="0"/>
          <w:pgNumType w:fmt="decimal" w:start="1"/>
          <w:cols w:space="720" w:num="1"/>
          <w:formProt w:val="0"/>
          <w:docGrid w:type="lines" w:linePitch="312" w:charSpace="0"/>
        </w:sectPr>
      </w:pPr>
    </w:p>
    <w:p>
      <w:pPr>
        <w:pStyle w:val="14"/>
        <w:spacing w:before="567" w:after="0"/>
        <w:ind w:right="172"/>
        <w:jc w:val="center"/>
        <w:outlineLvl w:val="0"/>
        <w:rPr>
          <w:rFonts w:hint="eastAsia" w:ascii="黑体" w:hAnsi="黑体" w:eastAsia="黑体" w:cs="黑体"/>
          <w:spacing w:val="51"/>
          <w:highlight w:val="none"/>
        </w:rPr>
      </w:pPr>
      <w:bookmarkStart w:id="70" w:name="_Toc166611400"/>
      <w:r>
        <w:rPr>
          <w:rFonts w:hint="eastAsia" w:ascii="黑体" w:hAnsi="黑体" w:eastAsia="黑体" w:cs="黑体"/>
          <w:spacing w:val="51"/>
          <w:kern w:val="2"/>
          <w:sz w:val="21"/>
          <w:szCs w:val="24"/>
          <w:highlight w:val="none"/>
        </w:rPr>
        <w:t>附</w:t>
      </w:r>
      <w:r>
        <w:rPr>
          <w:rFonts w:ascii="黑体" w:hAnsi="黑体" w:eastAsia="黑体" w:cs="黑体"/>
          <w:spacing w:val="51"/>
          <w:kern w:val="2"/>
          <w:sz w:val="21"/>
          <w:szCs w:val="24"/>
          <w:highlight w:val="none"/>
        </w:rPr>
        <w:t xml:space="preserve"> </w:t>
      </w:r>
      <w:r>
        <w:rPr>
          <w:rFonts w:hint="eastAsia" w:ascii="黑体" w:hAnsi="黑体" w:eastAsia="黑体" w:cs="黑体"/>
          <w:spacing w:val="51"/>
          <w:kern w:val="2"/>
          <w:sz w:val="21"/>
          <w:szCs w:val="24"/>
          <w:highlight w:val="none"/>
        </w:rPr>
        <w:t>录</w:t>
      </w:r>
      <w:bookmarkEnd w:id="70"/>
      <w:r>
        <w:rPr>
          <w:rFonts w:hint="eastAsia" w:eastAsia="黑体"/>
          <w:spacing w:val="51"/>
          <w:highlight w:val="none"/>
        </w:rPr>
        <w:t>G</w:t>
      </w:r>
    </w:p>
    <w:p>
      <w:pPr>
        <w:pStyle w:val="14"/>
        <w:spacing w:after="0"/>
        <w:ind w:right="172"/>
        <w:jc w:val="center"/>
        <w:rPr>
          <w:rFonts w:ascii="黑体" w:hAnsi="黑体" w:eastAsia="黑体" w:cs="黑体"/>
          <w:spacing w:val="-1"/>
          <w:highlight w:val="none"/>
        </w:rPr>
      </w:pPr>
      <w:r>
        <w:rPr>
          <w:rFonts w:hint="eastAsia" w:ascii="黑体" w:hAnsi="黑体" w:eastAsia="黑体" w:cs="黑体"/>
          <w:spacing w:val="-1"/>
          <w:highlight w:val="none"/>
        </w:rPr>
        <w:t>（资料性）</w:t>
      </w:r>
    </w:p>
    <w:p>
      <w:pPr>
        <w:pStyle w:val="14"/>
        <w:spacing w:before="0" w:after="283"/>
        <w:ind w:right="172"/>
        <w:jc w:val="center"/>
        <w:rPr>
          <w:rFonts w:ascii="黑体" w:hAnsi="黑体" w:eastAsia="黑体" w:cs="黑体"/>
          <w:spacing w:val="51"/>
          <w:highlight w:val="none"/>
        </w:rPr>
      </w:pPr>
      <w:r>
        <w:rPr>
          <w:rFonts w:ascii="黑体" w:hAnsi="黑体" w:eastAsia="黑体"/>
          <w:spacing w:val="-1"/>
          <w:highlight w:val="none"/>
        </w:rPr>
        <w:t>企业碳信息合规披露评</w:t>
      </w:r>
      <w:r>
        <w:rPr>
          <w:rFonts w:hint="eastAsia" w:ascii="黑体" w:hAnsi="黑体" w:eastAsia="黑体"/>
          <w:spacing w:val="-1"/>
          <w:highlight w:val="none"/>
        </w:rPr>
        <w:t>分</w:t>
      </w:r>
    </w:p>
    <w:p>
      <w:pPr>
        <w:pStyle w:val="14"/>
        <w:spacing w:before="0" w:after="0"/>
        <w:ind w:right="172" w:firstLine="420"/>
        <w:rPr>
          <w:rFonts w:ascii="宋体" w:hAnsi="宋体" w:cs="Arial"/>
          <w:szCs w:val="21"/>
          <w:highlight w:val="none"/>
        </w:rPr>
      </w:pPr>
      <w:r>
        <w:rPr>
          <w:rFonts w:hint="eastAsia" w:ascii="宋体" w:hAnsi="宋体" w:cs="Arial"/>
          <w:szCs w:val="21"/>
          <w:highlight w:val="none"/>
        </w:rPr>
        <w:t>企业碳信息合规披露评估应基于</w:t>
      </w:r>
      <w:r>
        <w:rPr>
          <w:rFonts w:hint="eastAsia"/>
          <w:szCs w:val="21"/>
          <w:highlight w:val="none"/>
        </w:rPr>
        <w:t>G</w:t>
      </w:r>
      <w:r>
        <w:rPr>
          <w:szCs w:val="21"/>
          <w:highlight w:val="none"/>
        </w:rPr>
        <w:t>.1</w:t>
      </w:r>
      <w:r>
        <w:rPr>
          <w:rFonts w:hint="eastAsia" w:ascii="宋体" w:hAnsi="宋体" w:cs="Arial"/>
          <w:szCs w:val="21"/>
          <w:highlight w:val="none"/>
        </w:rPr>
        <w:t>评分表，满足为</w:t>
      </w:r>
      <w:r>
        <w:rPr>
          <w:rFonts w:hint="eastAsia"/>
          <w:szCs w:val="21"/>
          <w:highlight w:val="none"/>
        </w:rPr>
        <w:t>100</w:t>
      </w:r>
      <w:r>
        <w:rPr>
          <w:rFonts w:hint="eastAsia" w:ascii="宋体" w:hAnsi="宋体" w:cs="Arial"/>
          <w:szCs w:val="21"/>
          <w:highlight w:val="none"/>
        </w:rPr>
        <w:t>分，得分项包含披露主体、描述对象、碳信息内涵、碳信息时序和披露材料编制，最终得分为各得分项的加和。</w:t>
      </w:r>
    </w:p>
    <w:p>
      <w:pPr>
        <w:pStyle w:val="14"/>
        <w:spacing w:after="0"/>
        <w:ind w:right="172" w:firstLine="420"/>
        <w:jc w:val="center"/>
        <w:rPr>
          <w:rFonts w:ascii="宋体" w:hAnsi="宋体" w:cs="Arial"/>
          <w:szCs w:val="21"/>
          <w:highlight w:val="none"/>
        </w:rPr>
      </w:pPr>
      <w:r>
        <w:rPr>
          <w:rFonts w:hint="eastAsia" w:ascii="宋体" w:hAnsi="宋体" w:cs="Arial"/>
          <w:szCs w:val="21"/>
          <w:highlight w:val="none"/>
        </w:rPr>
        <w:t>碳信息内涵得分为披露主体所披露碳信息内涵各类别得分的平均值，碳信息时序得分为披露主体所披露碳信息时序各类别得分的平均值。</w:t>
      </w:r>
    </w:p>
    <w:p>
      <w:pPr>
        <w:widowControl/>
        <w:spacing w:before="283" w:after="284"/>
        <w:jc w:val="center"/>
        <w:rPr>
          <w:rFonts w:ascii="黑体" w:hAnsi="黑体" w:eastAsia="黑体"/>
          <w:spacing w:val="-1"/>
          <w:highlight w:val="none"/>
        </w:rPr>
      </w:pPr>
      <w:r>
        <w:rPr>
          <w:rFonts w:ascii="黑体" w:hAnsi="黑体" w:eastAsia="黑体"/>
          <w:spacing w:val="-1"/>
          <w:highlight w:val="none"/>
        </w:rPr>
        <w:t>表</w:t>
      </w:r>
      <w:r>
        <w:rPr>
          <w:rFonts w:hint="eastAsia" w:eastAsia="黑体"/>
          <w:spacing w:val="-1"/>
          <w:highlight w:val="none"/>
        </w:rPr>
        <w:t>G</w:t>
      </w:r>
      <w:r>
        <w:rPr>
          <w:rFonts w:ascii="黑体" w:hAnsi="黑体" w:eastAsia="黑体"/>
          <w:spacing w:val="-1"/>
          <w:highlight w:val="none"/>
        </w:rPr>
        <w:t>.1</w:t>
      </w:r>
      <w:r>
        <w:rPr>
          <w:rFonts w:ascii="黑体" w:hAnsi="黑体" w:eastAsia="黑体"/>
          <w:b w:val="0"/>
          <w:bCs w:val="0"/>
          <w:spacing w:val="-1"/>
          <w:highlight w:val="none"/>
        </w:rPr>
        <w:t>企业碳信息合规披露评价表</w:t>
      </w:r>
    </w:p>
    <w:tbl>
      <w:tblPr>
        <w:tblStyle w:val="41"/>
        <w:tblW w:w="9209"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129"/>
        <w:gridCol w:w="2132"/>
        <w:gridCol w:w="946"/>
        <w:gridCol w:w="608"/>
        <w:gridCol w:w="1134"/>
        <w:gridCol w:w="1134"/>
        <w:gridCol w:w="992"/>
        <w:gridCol w:w="113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7" w:hRule="atLeast"/>
        </w:trPr>
        <w:tc>
          <w:tcPr>
            <w:tcW w:w="3261" w:type="dxa"/>
            <w:gridSpan w:val="2"/>
            <w:tcBorders>
              <w:top w:val="single" w:color="auto" w:sz="8" w:space="0"/>
              <w:bottom w:val="single" w:color="auto" w:sz="8" w:space="0"/>
            </w:tcBorders>
            <w:vAlign w:val="center"/>
          </w:tcPr>
          <w:p>
            <w:pPr>
              <w:widowControl/>
              <w:jc w:val="center"/>
              <w:rPr>
                <w:rFonts w:ascii="宋体" w:hAnsiTheme="minorEastAsia" w:eastAsiaTheme="minorEastAsia"/>
                <w:b w:val="0"/>
                <w:bCs w:val="0"/>
                <w:sz w:val="18"/>
                <w:szCs w:val="18"/>
                <w:highlight w:val="none"/>
              </w:rPr>
            </w:pPr>
            <w:r>
              <w:rPr>
                <w:rFonts w:hint="eastAsia" w:asciiTheme="minorEastAsia" w:hAnsiTheme="minorEastAsia" w:eastAsiaTheme="minorEastAsia"/>
                <w:b w:val="0"/>
                <w:bCs w:val="0"/>
                <w:sz w:val="18"/>
                <w:szCs w:val="18"/>
                <w:highlight w:val="none"/>
              </w:rPr>
              <w:t>披露内容</w:t>
            </w:r>
            <w:r>
              <w:rPr>
                <w:rFonts w:asciiTheme="minorEastAsia" w:hAnsiTheme="minorEastAsia" w:eastAsiaTheme="minorEastAsia"/>
                <w:b w:val="0"/>
                <w:bCs w:val="0"/>
                <w:sz w:val="18"/>
                <w:szCs w:val="18"/>
                <w:highlight w:val="none"/>
              </w:rPr>
              <w:t>/形式</w:t>
            </w:r>
          </w:p>
        </w:tc>
        <w:tc>
          <w:tcPr>
            <w:tcW w:w="946" w:type="dxa"/>
            <w:tcBorders>
              <w:top w:val="single" w:color="auto" w:sz="8" w:space="0"/>
              <w:bottom w:val="single" w:color="auto" w:sz="8" w:space="0"/>
            </w:tcBorders>
            <w:vAlign w:val="center"/>
          </w:tcPr>
          <w:p>
            <w:pPr>
              <w:widowControl/>
              <w:jc w:val="center"/>
              <w:rPr>
                <w:rFonts w:ascii="宋体" w:cs="宋体" w:hAnsiTheme="minorEastAsia" w:eastAsiaTheme="minorEastAsia"/>
                <w:b w:val="0"/>
                <w:bCs w:val="0"/>
                <w:kern w:val="0"/>
                <w:sz w:val="18"/>
                <w:szCs w:val="18"/>
                <w:highlight w:val="none"/>
              </w:rPr>
            </w:pPr>
            <w:r>
              <w:rPr>
                <w:rFonts w:hint="eastAsia" w:ascii="宋体"/>
                <w:sz w:val="18"/>
                <w:szCs w:val="18"/>
                <w:highlight w:val="none"/>
              </w:rPr>
              <w:t>原则</w:t>
            </w:r>
          </w:p>
        </w:tc>
        <w:tc>
          <w:tcPr>
            <w:tcW w:w="608" w:type="dxa"/>
            <w:tcBorders>
              <w:top w:val="single" w:color="auto" w:sz="8" w:space="0"/>
              <w:bottom w:val="single" w:color="auto" w:sz="8" w:space="0"/>
            </w:tcBorders>
            <w:vAlign w:val="center"/>
          </w:tcPr>
          <w:p>
            <w:pPr>
              <w:widowControl/>
              <w:jc w:val="center"/>
              <w:rPr>
                <w:rFonts w:ascii="宋体" w:cs="宋体" w:hAnsiTheme="minorEastAsia" w:eastAsiaTheme="minorEastAsia"/>
                <w:b w:val="0"/>
                <w:bCs w:val="0"/>
                <w:kern w:val="0"/>
                <w:sz w:val="18"/>
                <w:szCs w:val="18"/>
                <w:highlight w:val="none"/>
              </w:rPr>
            </w:pPr>
            <w:r>
              <w:rPr>
                <w:rFonts w:hint="eastAsia" w:ascii="宋体"/>
                <w:sz w:val="18"/>
                <w:szCs w:val="18"/>
                <w:highlight w:val="none"/>
              </w:rPr>
              <w:t>分数</w:t>
            </w:r>
          </w:p>
        </w:tc>
        <w:tc>
          <w:tcPr>
            <w:tcW w:w="1134" w:type="dxa"/>
            <w:tcBorders>
              <w:top w:val="single" w:color="auto" w:sz="8" w:space="0"/>
              <w:bottom w:val="single" w:color="auto" w:sz="8" w:space="0"/>
            </w:tcBorders>
            <w:vAlign w:val="center"/>
          </w:tcPr>
          <w:p>
            <w:pPr>
              <w:widowControl/>
              <w:jc w:val="center"/>
              <w:rPr>
                <w:rFonts w:ascii="Times New Roman"/>
                <w:sz w:val="18"/>
                <w:szCs w:val="18"/>
                <w:highlight w:val="none"/>
              </w:rPr>
            </w:pPr>
            <w:r>
              <w:rPr>
                <w:rFonts w:ascii="Times New Roman"/>
                <w:sz w:val="18"/>
                <w:szCs w:val="18"/>
                <w:highlight w:val="none"/>
              </w:rPr>
              <w:t>“D-有限”</w:t>
            </w:r>
          </w:p>
          <w:p>
            <w:pPr>
              <w:widowControl/>
              <w:jc w:val="center"/>
              <w:rPr>
                <w:rFonts w:ascii="Times New Roman" w:hAnsi="Times New Roman" w:cs="Times New Roman" w:eastAsiaTheme="minorEastAsia"/>
                <w:b w:val="0"/>
                <w:bCs w:val="0"/>
                <w:kern w:val="0"/>
                <w:sz w:val="18"/>
                <w:szCs w:val="18"/>
                <w:highlight w:val="none"/>
              </w:rPr>
            </w:pPr>
            <w:r>
              <w:rPr>
                <w:rFonts w:ascii="Times New Roman"/>
                <w:sz w:val="18"/>
                <w:szCs w:val="18"/>
                <w:highlight w:val="none"/>
              </w:rPr>
              <w:t>最低要求</w:t>
            </w:r>
          </w:p>
        </w:tc>
        <w:tc>
          <w:tcPr>
            <w:tcW w:w="1134" w:type="dxa"/>
            <w:tcBorders>
              <w:top w:val="single" w:color="auto" w:sz="8" w:space="0"/>
              <w:bottom w:val="single" w:color="auto" w:sz="8" w:space="0"/>
            </w:tcBorders>
            <w:vAlign w:val="center"/>
          </w:tcPr>
          <w:p>
            <w:pPr>
              <w:widowControl/>
              <w:jc w:val="center"/>
              <w:rPr>
                <w:rFonts w:ascii="Times New Roman"/>
                <w:sz w:val="18"/>
                <w:szCs w:val="18"/>
                <w:highlight w:val="none"/>
              </w:rPr>
            </w:pPr>
            <w:r>
              <w:rPr>
                <w:rFonts w:ascii="Times New Roman"/>
                <w:sz w:val="18"/>
                <w:szCs w:val="18"/>
                <w:highlight w:val="none"/>
              </w:rPr>
              <w:t>“C-合格”</w:t>
            </w:r>
          </w:p>
          <w:p>
            <w:pPr>
              <w:widowControl/>
              <w:jc w:val="center"/>
              <w:rPr>
                <w:rFonts w:ascii="Times New Roman" w:hAnsi="Times New Roman" w:cs="Times New Roman" w:eastAsiaTheme="minorEastAsia"/>
                <w:b w:val="0"/>
                <w:bCs w:val="0"/>
                <w:kern w:val="0"/>
                <w:sz w:val="18"/>
                <w:szCs w:val="18"/>
                <w:highlight w:val="none"/>
              </w:rPr>
            </w:pPr>
            <w:r>
              <w:rPr>
                <w:rFonts w:ascii="Times New Roman"/>
                <w:sz w:val="18"/>
                <w:szCs w:val="18"/>
                <w:highlight w:val="none"/>
              </w:rPr>
              <w:t>最低要求</w:t>
            </w:r>
          </w:p>
        </w:tc>
        <w:tc>
          <w:tcPr>
            <w:tcW w:w="992" w:type="dxa"/>
            <w:tcBorders>
              <w:top w:val="single" w:color="auto" w:sz="8" w:space="0"/>
              <w:bottom w:val="single" w:color="auto" w:sz="8" w:space="0"/>
            </w:tcBorders>
            <w:vAlign w:val="center"/>
          </w:tcPr>
          <w:p>
            <w:pPr>
              <w:widowControl/>
              <w:jc w:val="center"/>
              <w:rPr>
                <w:rFonts w:ascii="Times New Roman"/>
                <w:sz w:val="18"/>
                <w:szCs w:val="18"/>
                <w:highlight w:val="none"/>
              </w:rPr>
            </w:pPr>
            <w:r>
              <w:rPr>
                <w:rFonts w:ascii="Times New Roman"/>
                <w:sz w:val="18"/>
                <w:szCs w:val="18"/>
                <w:highlight w:val="none"/>
              </w:rPr>
              <w:t>B-充分</w:t>
            </w:r>
          </w:p>
          <w:p>
            <w:pPr>
              <w:widowControl/>
              <w:jc w:val="center"/>
              <w:rPr>
                <w:rFonts w:ascii="Times New Roman" w:hAnsi="Times New Roman" w:cs="Times New Roman" w:eastAsiaTheme="minorEastAsia"/>
                <w:b w:val="0"/>
                <w:bCs w:val="0"/>
                <w:kern w:val="0"/>
                <w:sz w:val="18"/>
                <w:szCs w:val="18"/>
                <w:highlight w:val="none"/>
              </w:rPr>
            </w:pPr>
            <w:r>
              <w:rPr>
                <w:rFonts w:ascii="Times New Roman"/>
                <w:sz w:val="18"/>
                <w:szCs w:val="18"/>
                <w:highlight w:val="none"/>
              </w:rPr>
              <w:t>最低要求</w:t>
            </w:r>
          </w:p>
        </w:tc>
        <w:tc>
          <w:tcPr>
            <w:tcW w:w="1134" w:type="dxa"/>
            <w:tcBorders>
              <w:top w:val="single" w:color="auto" w:sz="8" w:space="0"/>
              <w:bottom w:val="single" w:color="auto" w:sz="8" w:space="0"/>
            </w:tcBorders>
            <w:vAlign w:val="center"/>
          </w:tcPr>
          <w:p>
            <w:pPr>
              <w:widowControl/>
              <w:jc w:val="center"/>
              <w:rPr>
                <w:rFonts w:ascii="Times New Roman"/>
                <w:sz w:val="18"/>
                <w:szCs w:val="18"/>
                <w:highlight w:val="none"/>
              </w:rPr>
            </w:pPr>
            <w:r>
              <w:rPr>
                <w:rFonts w:ascii="Times New Roman"/>
                <w:sz w:val="18"/>
                <w:szCs w:val="18"/>
                <w:highlight w:val="none"/>
              </w:rPr>
              <w:t>“A-完备”</w:t>
            </w:r>
          </w:p>
          <w:p>
            <w:pPr>
              <w:widowControl/>
              <w:jc w:val="center"/>
              <w:rPr>
                <w:rFonts w:ascii="Times New Roman" w:hAnsi="Times New Roman" w:cs="Times New Roman" w:eastAsiaTheme="minorEastAsia"/>
                <w:b w:val="0"/>
                <w:bCs w:val="0"/>
                <w:kern w:val="0"/>
                <w:sz w:val="18"/>
                <w:szCs w:val="18"/>
                <w:highlight w:val="none"/>
              </w:rPr>
            </w:pPr>
            <w:r>
              <w:rPr>
                <w:rFonts w:ascii="Times New Roman"/>
                <w:sz w:val="18"/>
                <w:szCs w:val="18"/>
                <w:highlight w:val="none"/>
              </w:rPr>
              <w:t>最低要求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tcBorders>
              <w:top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披露主体</w:t>
            </w:r>
          </w:p>
        </w:tc>
        <w:tc>
          <w:tcPr>
            <w:tcW w:w="2132" w:type="dxa"/>
            <w:tcBorders>
              <w:top w:val="single" w:color="auto" w:sz="8" w:space="0"/>
            </w:tcBorders>
          </w:tcPr>
          <w:p>
            <w:pPr>
              <w:widowControl/>
              <w:jc w:val="left"/>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合规披露内部管理体系</w:t>
            </w:r>
          </w:p>
        </w:tc>
        <w:tc>
          <w:tcPr>
            <w:tcW w:w="946" w:type="dxa"/>
            <w:tcBorders>
              <w:top w:val="single" w:color="auto" w:sz="8" w:space="0"/>
            </w:tcBorders>
            <w:vAlign w:val="center"/>
          </w:tcPr>
          <w:p>
            <w:pPr>
              <w:widowControl/>
              <w:jc w:val="left"/>
              <w:rPr>
                <w:rFonts w:cs="宋体" w:asciiTheme="minorEastAsia" w:hAnsiTheme="minorEastAsia" w:eastAsiaTheme="minorEastAsia"/>
                <w:kern w:val="0"/>
                <w:sz w:val="18"/>
                <w:szCs w:val="18"/>
                <w:highlight w:val="none"/>
              </w:rPr>
            </w:pPr>
            <w:r>
              <w:rPr>
                <w:rFonts w:hint="eastAsia" w:cs="宋体" w:asciiTheme="minorEastAsia" w:hAnsiTheme="minorEastAsia" w:eastAsiaTheme="minorEastAsia"/>
                <w:kern w:val="0"/>
                <w:sz w:val="18"/>
                <w:szCs w:val="18"/>
                <w:highlight w:val="none"/>
              </w:rPr>
              <w:t>有效性</w:t>
            </w:r>
          </w:p>
        </w:tc>
        <w:tc>
          <w:tcPr>
            <w:tcW w:w="608" w:type="dxa"/>
            <w:tcBorders>
              <w:top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10</w:t>
            </w:r>
          </w:p>
        </w:tc>
        <w:tc>
          <w:tcPr>
            <w:tcW w:w="1134" w:type="dxa"/>
            <w:tcBorders>
              <w:top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c>
          <w:tcPr>
            <w:tcW w:w="1134" w:type="dxa"/>
            <w:tcBorders>
              <w:top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c>
          <w:tcPr>
            <w:tcW w:w="992" w:type="dxa"/>
            <w:tcBorders>
              <w:top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5</w:t>
            </w:r>
          </w:p>
        </w:tc>
        <w:tc>
          <w:tcPr>
            <w:tcW w:w="1134" w:type="dxa"/>
            <w:tcBorders>
              <w:top w:val="single" w:color="auto" w:sz="8" w:space="0"/>
            </w:tcBorders>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7</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restart"/>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描述对象</w:t>
            </w: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描述</w:t>
            </w:r>
            <w:r>
              <w:rPr>
                <w:rFonts w:asciiTheme="minorEastAsia" w:hAnsiTheme="minorEastAsia" w:eastAsiaTheme="minorEastAsia"/>
                <w:sz w:val="18"/>
                <w:szCs w:val="18"/>
                <w:highlight w:val="none"/>
              </w:rPr>
              <w:t>对象</w:t>
            </w:r>
            <w:r>
              <w:rPr>
                <w:rFonts w:hint="eastAsia" w:asciiTheme="minorEastAsia" w:hAnsiTheme="minorEastAsia" w:eastAsiaTheme="minorEastAsia"/>
                <w:sz w:val="18"/>
                <w:szCs w:val="18"/>
                <w:highlight w:val="none"/>
              </w:rPr>
              <w:t>的定义</w:t>
            </w:r>
          </w:p>
        </w:tc>
        <w:tc>
          <w:tcPr>
            <w:tcW w:w="946" w:type="dxa"/>
          </w:tcPr>
          <w:p>
            <w:pPr>
              <w:widowControl/>
              <w:jc w:val="left"/>
              <w:rPr>
                <w:rFonts w:cs="宋体" w:asciiTheme="minorEastAsia" w:hAnsiTheme="minorEastAsia" w:eastAsiaTheme="minorEastAsia"/>
                <w:kern w:val="0"/>
                <w:sz w:val="18"/>
                <w:szCs w:val="18"/>
                <w:highlight w:val="none"/>
              </w:rPr>
            </w:pPr>
            <w:r>
              <w:rPr>
                <w:rFonts w:ascii="Times New Roman"/>
                <w:bCs/>
                <w:color w:val="000000"/>
                <w:kern w:val="0"/>
                <w:sz w:val="18"/>
                <w:szCs w:val="18"/>
                <w:highlight w:val="none"/>
              </w:rPr>
              <w:t>明确性</w:t>
            </w:r>
          </w:p>
        </w:tc>
        <w:tc>
          <w:tcPr>
            <w:tcW w:w="608"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w:t>
            </w:r>
          </w:p>
        </w:tc>
        <w:tc>
          <w:tcPr>
            <w:tcW w:w="992"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tcPr>
          <w:p>
            <w:pPr>
              <w:jc w:val="center"/>
              <w:rPr>
                <w:rFonts w:cs="宋体" w:asciiTheme="minorEastAsia" w:hAnsiTheme="minorEastAsia" w:eastAsiaTheme="minorEastAsia"/>
                <w:kern w:val="0"/>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asciiTheme="minorEastAsia" w:hAnsiTheme="minorEastAsia" w:eastAsiaTheme="minorEastAsia"/>
                <w:sz w:val="18"/>
                <w:szCs w:val="18"/>
                <w:highlight w:val="none"/>
              </w:rPr>
              <w:t>描述对象</w:t>
            </w:r>
            <w:r>
              <w:rPr>
                <w:rFonts w:hint="eastAsia" w:asciiTheme="minorEastAsia" w:hAnsiTheme="minorEastAsia" w:eastAsiaTheme="minorEastAsia"/>
                <w:sz w:val="18"/>
                <w:szCs w:val="18"/>
                <w:highlight w:val="none"/>
              </w:rPr>
              <w:t>的类型</w:t>
            </w:r>
          </w:p>
        </w:tc>
        <w:tc>
          <w:tcPr>
            <w:tcW w:w="946" w:type="dxa"/>
          </w:tcPr>
          <w:p>
            <w:pPr>
              <w:widowControl/>
              <w:jc w:val="left"/>
              <w:rPr>
                <w:rFonts w:cs="宋体" w:asciiTheme="minorEastAsia" w:hAnsiTheme="minorEastAsia" w:eastAsiaTheme="minorEastAsia"/>
                <w:kern w:val="0"/>
                <w:sz w:val="18"/>
                <w:szCs w:val="18"/>
                <w:highlight w:val="none"/>
              </w:rPr>
            </w:pPr>
            <w:r>
              <w:rPr>
                <w:rFonts w:ascii="Times New Roman"/>
                <w:bCs/>
                <w:color w:val="000000"/>
                <w:kern w:val="0"/>
                <w:sz w:val="18"/>
                <w:szCs w:val="18"/>
                <w:highlight w:val="none"/>
              </w:rPr>
              <w:t>明确性</w:t>
            </w:r>
            <w:r>
              <w:rPr>
                <w:rFonts w:hint="eastAsia" w:ascii="Times New Roman"/>
                <w:bCs/>
                <w:color w:val="000000"/>
                <w:kern w:val="0"/>
                <w:sz w:val="18"/>
                <w:szCs w:val="18"/>
                <w:highlight w:val="none"/>
              </w:rPr>
              <w:t>、</w:t>
            </w:r>
            <w:r>
              <w:rPr>
                <w:rFonts w:ascii="Times New Roman"/>
                <w:bCs/>
                <w:color w:val="000000"/>
                <w:kern w:val="0"/>
                <w:sz w:val="18"/>
                <w:szCs w:val="18"/>
                <w:highlight w:val="none"/>
              </w:rPr>
              <w:t>完整性</w:t>
            </w:r>
          </w:p>
        </w:tc>
        <w:tc>
          <w:tcPr>
            <w:tcW w:w="608"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c>
          <w:tcPr>
            <w:tcW w:w="992"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3</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tcPr>
          <w:p>
            <w:pPr>
              <w:jc w:val="center"/>
              <w:rPr>
                <w:rFonts w:cs="宋体" w:asciiTheme="minorEastAsia" w:hAnsiTheme="minorEastAsia" w:eastAsiaTheme="minorEastAsia"/>
                <w:kern w:val="0"/>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描述</w:t>
            </w:r>
            <w:r>
              <w:rPr>
                <w:rFonts w:asciiTheme="minorEastAsia" w:hAnsiTheme="minorEastAsia" w:eastAsiaTheme="minorEastAsia"/>
                <w:sz w:val="18"/>
                <w:szCs w:val="18"/>
                <w:highlight w:val="none"/>
              </w:rPr>
              <w:t>对象与</w:t>
            </w:r>
            <w:r>
              <w:rPr>
                <w:rFonts w:hint="eastAsia" w:asciiTheme="minorEastAsia" w:hAnsiTheme="minorEastAsia" w:eastAsiaTheme="minorEastAsia"/>
                <w:sz w:val="18"/>
                <w:szCs w:val="18"/>
                <w:highlight w:val="none"/>
              </w:rPr>
              <w:t>披露</w:t>
            </w:r>
            <w:r>
              <w:rPr>
                <w:rFonts w:asciiTheme="minorEastAsia" w:hAnsiTheme="minorEastAsia" w:eastAsiaTheme="minorEastAsia"/>
                <w:sz w:val="18"/>
                <w:szCs w:val="18"/>
                <w:highlight w:val="none"/>
              </w:rPr>
              <w:t>主体的相关性</w:t>
            </w:r>
          </w:p>
        </w:tc>
        <w:tc>
          <w:tcPr>
            <w:tcW w:w="946" w:type="dxa"/>
          </w:tcPr>
          <w:p>
            <w:pPr>
              <w:widowControl/>
              <w:jc w:val="left"/>
              <w:rPr>
                <w:rFonts w:cs="宋体" w:asciiTheme="minorEastAsia" w:hAnsiTheme="minorEastAsia" w:eastAsiaTheme="minorEastAsia"/>
                <w:kern w:val="0"/>
                <w:sz w:val="18"/>
                <w:szCs w:val="18"/>
                <w:highlight w:val="none"/>
              </w:rPr>
            </w:pPr>
            <w:r>
              <w:rPr>
                <w:rFonts w:ascii="Times New Roman"/>
                <w:bCs/>
                <w:color w:val="000000"/>
                <w:kern w:val="0"/>
                <w:sz w:val="18"/>
                <w:szCs w:val="18"/>
                <w:highlight w:val="none"/>
              </w:rPr>
              <w:t>明确性</w:t>
            </w:r>
          </w:p>
        </w:tc>
        <w:tc>
          <w:tcPr>
            <w:tcW w:w="608"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w:t>
            </w:r>
          </w:p>
        </w:tc>
        <w:tc>
          <w:tcPr>
            <w:tcW w:w="992"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3</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tcPr>
          <w:p>
            <w:pPr>
              <w:widowControl/>
              <w:jc w:val="center"/>
              <w:rPr>
                <w:rFonts w:cs="宋体" w:asciiTheme="minorEastAsia" w:hAnsiTheme="minorEastAsia" w:eastAsiaTheme="minorEastAsia"/>
                <w:kern w:val="0"/>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以上信息的标准依据</w:t>
            </w:r>
          </w:p>
        </w:tc>
        <w:tc>
          <w:tcPr>
            <w:tcW w:w="946" w:type="dxa"/>
          </w:tcPr>
          <w:p>
            <w:pPr>
              <w:widowControl/>
              <w:jc w:val="left"/>
              <w:rPr>
                <w:rFonts w:cs="宋体" w:asciiTheme="minorEastAsia" w:hAnsiTheme="minorEastAsia" w:eastAsiaTheme="minorEastAsia"/>
                <w:kern w:val="0"/>
                <w:sz w:val="18"/>
                <w:szCs w:val="18"/>
                <w:highlight w:val="none"/>
              </w:rPr>
            </w:pPr>
            <w:r>
              <w:rPr>
                <w:rFonts w:ascii="Times New Roman"/>
                <w:bCs/>
                <w:color w:val="000000"/>
                <w:kern w:val="0"/>
                <w:sz w:val="18"/>
                <w:szCs w:val="18"/>
                <w:highlight w:val="none"/>
              </w:rPr>
              <w:t>合理性</w:t>
            </w:r>
          </w:p>
        </w:tc>
        <w:tc>
          <w:tcPr>
            <w:tcW w:w="608"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0</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w:t>
            </w:r>
          </w:p>
        </w:tc>
        <w:tc>
          <w:tcPr>
            <w:tcW w:w="992"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restart"/>
            <w:vAlign w:val="center"/>
          </w:tcPr>
          <w:p>
            <w:pPr>
              <w:widowControl/>
              <w:jc w:val="center"/>
              <w:rPr>
                <w:rFonts w:cs="宋体" w:asciiTheme="minorEastAsia" w:hAnsiTheme="minorEastAsia" w:eastAsiaTheme="minorEastAsia"/>
                <w:kern w:val="0"/>
                <w:sz w:val="18"/>
                <w:szCs w:val="18"/>
                <w:highlight w:val="none"/>
              </w:rPr>
            </w:pPr>
            <w:r>
              <w:rPr>
                <w:rFonts w:hint="eastAsia" w:asciiTheme="minorEastAsia" w:hAnsiTheme="minorEastAsia" w:eastAsiaTheme="minorEastAsia"/>
                <w:sz w:val="18"/>
                <w:szCs w:val="18"/>
                <w:highlight w:val="none"/>
              </w:rPr>
              <w:t>碳信息内涵—目标类（若适用）</w:t>
            </w: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目标的基本信息</w:t>
            </w:r>
          </w:p>
        </w:tc>
        <w:tc>
          <w:tcPr>
            <w:tcW w:w="946" w:type="dxa"/>
          </w:tcPr>
          <w:p>
            <w:pPr>
              <w:widowControl/>
              <w:jc w:val="left"/>
              <w:rPr>
                <w:rFonts w:cs="宋体" w:asciiTheme="minorEastAsia" w:hAnsiTheme="minorEastAsia" w:eastAsiaTheme="minorEastAsia"/>
                <w:kern w:val="0"/>
                <w:sz w:val="18"/>
                <w:szCs w:val="18"/>
                <w:highlight w:val="none"/>
              </w:rPr>
            </w:pPr>
            <w:r>
              <w:rPr>
                <w:rFonts w:hint="eastAsia" w:ascii="Times New Roman" w:hAnsi="宋体" w:cs="Arial"/>
                <w:sz w:val="18"/>
                <w:szCs w:val="18"/>
                <w:highlight w:val="none"/>
              </w:rPr>
              <w:t>明确性、完整性、准确性</w:t>
            </w:r>
          </w:p>
        </w:tc>
        <w:tc>
          <w:tcPr>
            <w:tcW w:w="608"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15</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10</w:t>
            </w:r>
          </w:p>
        </w:tc>
        <w:tc>
          <w:tcPr>
            <w:tcW w:w="992"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11</w:t>
            </w:r>
          </w:p>
        </w:tc>
        <w:tc>
          <w:tcPr>
            <w:tcW w:w="1134" w:type="dxa"/>
            <w:vAlign w:val="center"/>
          </w:tcPr>
          <w:p>
            <w:pPr>
              <w:widowControl/>
              <w:jc w:val="center"/>
              <w:rPr>
                <w:rFonts w:cs="宋体" w:asciiTheme="minorEastAsia" w:hAnsiTheme="minorEastAsia" w:eastAsiaTheme="minorEastAsia"/>
                <w:kern w:val="0"/>
                <w:sz w:val="18"/>
                <w:szCs w:val="18"/>
                <w:highlight w:val="none"/>
              </w:rPr>
            </w:pPr>
            <w:r>
              <w:rPr>
                <w:rFonts w:hint="eastAsia" w:ascii="宋体"/>
                <w:color w:val="000000"/>
                <w:sz w:val="18"/>
                <w:szCs w:val="18"/>
                <w:highlight w:val="none"/>
              </w:rPr>
              <w:t>12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jc w:val="center"/>
              <w:rPr>
                <w:rFonts w:asciiTheme="minorEastAsia" w:hAnsiTheme="minorEastAsia" w:eastAsiaTheme="minorEastAsia"/>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目标的承诺和声明</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明确性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4</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jc w:val="center"/>
              <w:rPr>
                <w:rFonts w:asciiTheme="minorEastAsia" w:hAnsiTheme="minorEastAsia" w:eastAsiaTheme="minorEastAsia"/>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目标的实现路径</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合理性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6</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jc w:val="center"/>
              <w:rPr>
                <w:rFonts w:asciiTheme="minorEastAsia" w:hAnsiTheme="minorEastAsia" w:eastAsiaTheme="minorEastAsia"/>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目标与路径的必要依据</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合理性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6</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7</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widowControl/>
              <w:jc w:val="center"/>
              <w:rPr>
                <w:rFonts w:asciiTheme="minorEastAsia" w:hAnsiTheme="minorEastAsia" w:eastAsiaTheme="minorEastAsia"/>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更积极的行动</w:t>
            </w:r>
          </w:p>
        </w:tc>
        <w:tc>
          <w:tcPr>
            <w:tcW w:w="946" w:type="dxa"/>
          </w:tcPr>
          <w:p>
            <w:pPr>
              <w:widowControl/>
              <w:jc w:val="left"/>
              <w:rPr>
                <w:rFonts w:asciiTheme="minorEastAsia" w:hAnsiTheme="minorEastAsia" w:eastAsiaTheme="minorEastAsia"/>
                <w:sz w:val="18"/>
                <w:szCs w:val="18"/>
                <w:highlight w:val="none"/>
              </w:rPr>
            </w:pPr>
            <w:r>
              <w:rPr>
                <w:rFonts w:hint="eastAsia" w:ascii="宋体" w:hAnsi="宋体" w:cs="Arial"/>
                <w:sz w:val="18"/>
                <w:szCs w:val="18"/>
                <w:highlight w:val="none"/>
              </w:rPr>
              <w:t>实质性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0</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restart"/>
            <w:vAlign w:val="center"/>
          </w:tcPr>
          <w:p>
            <w:pPr>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碳信息内涵—举措类（若适用）</w:t>
            </w: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举措的基本信息</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明确性、完整性、准确性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9</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16</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widowControl/>
              <w:jc w:val="center"/>
              <w:rPr>
                <w:rFonts w:asciiTheme="minorEastAsia" w:hAnsiTheme="minorEastAsia" w:eastAsiaTheme="minorEastAsia"/>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举措内容的必要依据</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明确性、合理性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6</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9</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restart"/>
            <w:vAlign w:val="center"/>
          </w:tcPr>
          <w:p>
            <w:pPr>
              <w:widowControl/>
              <w:jc w:val="center"/>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碳信息内涵—绩效类（若适用）</w:t>
            </w: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绩效指标的基本信息</w:t>
            </w:r>
          </w:p>
        </w:tc>
        <w:tc>
          <w:tcPr>
            <w:tcW w:w="946" w:type="dxa"/>
          </w:tcPr>
          <w:p>
            <w:pPr>
              <w:widowControl/>
              <w:jc w:val="left"/>
              <w:rPr>
                <w:rFonts w:asciiTheme="minorEastAsia" w:hAnsiTheme="minorEastAsia" w:eastAsiaTheme="minorEastAsia"/>
                <w:sz w:val="18"/>
                <w:szCs w:val="18"/>
                <w:highlight w:val="none"/>
              </w:rPr>
            </w:pPr>
            <w:r>
              <w:rPr>
                <w:rFonts w:hint="eastAsia" w:ascii="Times New Roman" w:hAnsi="宋体" w:cs="Arial"/>
                <w:sz w:val="18"/>
                <w:szCs w:val="18"/>
                <w:highlight w:val="none"/>
              </w:rPr>
              <w:t>明确性、完整性、准确性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15</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18</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20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jc w:val="center"/>
              <w:rPr>
                <w:rFonts w:asciiTheme="minorEastAsia" w:hAnsiTheme="minorEastAsia" w:eastAsiaTheme="minorEastAsia"/>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绩效指标的必要依据</w:t>
            </w:r>
          </w:p>
        </w:tc>
        <w:tc>
          <w:tcPr>
            <w:tcW w:w="946" w:type="dxa"/>
          </w:tcPr>
          <w:p>
            <w:pPr>
              <w:widowControl/>
              <w:jc w:val="left"/>
              <w:rPr>
                <w:rFonts w:asciiTheme="minorEastAsia" w:hAnsiTheme="minorEastAsia" w:eastAsiaTheme="minorEastAsia"/>
                <w:sz w:val="18"/>
                <w:szCs w:val="18"/>
                <w:highlight w:val="none"/>
              </w:rPr>
            </w:pPr>
            <w:r>
              <w:rPr>
                <w:rFonts w:hint="eastAsia" w:ascii="宋体" w:hAnsi="宋体" w:cs="Arial"/>
                <w:sz w:val="18"/>
                <w:szCs w:val="18"/>
                <w:highlight w:val="none"/>
              </w:rPr>
              <w:t>合理性、</w:t>
            </w:r>
            <w:r>
              <w:rPr>
                <w:rFonts w:hint="eastAsia" w:ascii="Times New Roman" w:hAnsi="宋体" w:cs="Arial"/>
                <w:sz w:val="18"/>
                <w:szCs w:val="18"/>
                <w:highlight w:val="none"/>
              </w:rPr>
              <w:t>明确性、可验证性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4</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6</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129" w:type="dxa"/>
            <w:vMerge w:val="continue"/>
            <w:vAlign w:val="center"/>
          </w:tcPr>
          <w:p>
            <w:pPr>
              <w:jc w:val="center"/>
              <w:rPr>
                <w:rFonts w:asciiTheme="minorEastAsia" w:hAnsiTheme="minorEastAsia" w:eastAsiaTheme="minorEastAsia"/>
                <w:sz w:val="18"/>
                <w:szCs w:val="18"/>
                <w:highlight w:val="none"/>
              </w:rPr>
            </w:pPr>
          </w:p>
        </w:tc>
        <w:tc>
          <w:tcPr>
            <w:tcW w:w="2132" w:type="dxa"/>
          </w:tcPr>
          <w:p>
            <w:pPr>
              <w:widowControl/>
              <w:rPr>
                <w:rFonts w:asciiTheme="minorEastAsia" w:hAnsiTheme="minorEastAsia" w:eastAsiaTheme="minorEastAsia"/>
                <w:sz w:val="18"/>
                <w:szCs w:val="18"/>
                <w:highlight w:val="none"/>
              </w:rPr>
            </w:pPr>
            <w:r>
              <w:rPr>
                <w:rFonts w:hint="eastAsia" w:asciiTheme="minorEastAsia" w:hAnsiTheme="minorEastAsia" w:eastAsiaTheme="minorEastAsia"/>
                <w:sz w:val="18"/>
                <w:szCs w:val="18"/>
                <w:highlight w:val="none"/>
              </w:rPr>
              <w:t>绩效指标相关的其他信息</w:t>
            </w:r>
          </w:p>
        </w:tc>
        <w:tc>
          <w:tcPr>
            <w:tcW w:w="946" w:type="dxa"/>
          </w:tcPr>
          <w:p>
            <w:pPr>
              <w:widowControl/>
              <w:jc w:val="left"/>
              <w:rPr>
                <w:rFonts w:asciiTheme="minorEastAsia" w:hAnsiTheme="minorEastAsia" w:eastAsiaTheme="minorEastAsia"/>
                <w:sz w:val="18"/>
                <w:szCs w:val="18"/>
                <w:highlight w:val="none"/>
              </w:rPr>
            </w:pPr>
            <w:r>
              <w:rPr>
                <w:rFonts w:hint="eastAsia" w:ascii="宋体" w:hAnsi="宋体" w:cs="Arial"/>
                <w:sz w:val="18"/>
                <w:szCs w:val="18"/>
                <w:highlight w:val="none"/>
              </w:rPr>
              <w:t>完整性</w:t>
            </w:r>
            <w:r>
              <w:rPr>
                <w:rFonts w:hint="eastAsia" w:ascii="Times New Roman" w:hAnsi="宋体" w:cs="Arial"/>
                <w:sz w:val="18"/>
                <w:szCs w:val="18"/>
                <w:highlight w:val="none"/>
              </w:rPr>
              <w:t>、准确性</w:t>
            </w:r>
          </w:p>
        </w:tc>
        <w:tc>
          <w:tcPr>
            <w:tcW w:w="608"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10</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1</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3</w:t>
            </w:r>
          </w:p>
        </w:tc>
        <w:tc>
          <w:tcPr>
            <w:tcW w:w="992"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5</w:t>
            </w:r>
          </w:p>
        </w:tc>
        <w:tc>
          <w:tcPr>
            <w:tcW w:w="1134" w:type="dxa"/>
            <w:vAlign w:val="center"/>
          </w:tcPr>
          <w:p>
            <w:pPr>
              <w:widowControl/>
              <w:jc w:val="center"/>
              <w:rPr>
                <w:rFonts w:asciiTheme="minorEastAsia" w:hAnsiTheme="minorEastAsia" w:eastAsiaTheme="minorEastAsia"/>
                <w:sz w:val="18"/>
                <w:szCs w:val="18"/>
                <w:highlight w:val="none"/>
              </w:rPr>
            </w:pPr>
            <w:r>
              <w:rPr>
                <w:rFonts w:hint="eastAsia" w:ascii="宋体"/>
                <w:color w:val="000000"/>
                <w:sz w:val="18"/>
                <w:szCs w:val="18"/>
                <w:highlight w:val="none"/>
              </w:rPr>
              <w:t>7</w:t>
            </w:r>
          </w:p>
        </w:tc>
      </w:tr>
    </w:tbl>
    <w:p>
      <w:pPr>
        <w:widowControl/>
        <w:jc w:val="left"/>
        <w:rPr>
          <w:rFonts w:ascii="宋体" w:hAnsi="宋体" w:cs="Arial"/>
          <w:szCs w:val="21"/>
          <w:highlight w:val="none"/>
        </w:rPr>
        <w:sectPr>
          <w:footerReference r:id="rId12" w:type="default"/>
          <w:footerReference r:id="rId13" w:type="even"/>
          <w:pgSz w:w="11906" w:h="16838"/>
          <w:pgMar w:top="1418" w:right="1134" w:bottom="1134" w:left="1418" w:header="1418" w:footer="1134" w:gutter="0"/>
          <w:pgNumType w:fmt="decimal"/>
          <w:cols w:space="720" w:num="1"/>
          <w:formProt w:val="0"/>
          <w:docGrid w:type="lines" w:linePitch="312" w:charSpace="0"/>
        </w:sectPr>
      </w:pPr>
    </w:p>
    <w:p>
      <w:pPr>
        <w:pStyle w:val="14"/>
        <w:spacing w:before="567" w:after="283"/>
        <w:jc w:val="center"/>
        <w:outlineLvl w:val="0"/>
        <w:rPr>
          <w:rFonts w:ascii="黑体" w:hAnsi="黑体" w:eastAsia="黑体" w:cs="黑体"/>
          <w:spacing w:val="51"/>
          <w:highlight w:val="none"/>
        </w:rPr>
      </w:pPr>
      <w:bookmarkStart w:id="71" w:name="_Toc166611401"/>
      <w:r>
        <w:rPr>
          <w:rFonts w:hint="eastAsia" w:ascii="黑体" w:hAnsi="黑体" w:eastAsia="黑体" w:cs="黑体"/>
          <w:spacing w:val="51"/>
          <w:highlight w:val="none"/>
        </w:rPr>
        <w:t>参考文献</w:t>
      </w:r>
      <w:bookmarkEnd w:id="71"/>
    </w:p>
    <w:p>
      <w:pPr>
        <w:rPr>
          <w:highlight w:val="none"/>
        </w:rPr>
      </w:pPr>
      <w:r>
        <w:rPr>
          <w:highlight w:val="none"/>
        </w:rPr>
        <w:t>[</w:t>
      </w:r>
      <w:r>
        <w:rPr>
          <w:rFonts w:hint="eastAsia"/>
          <w:highlight w:val="none"/>
        </w:rPr>
        <w:t>1</w:t>
      </w:r>
      <w:r>
        <w:rPr>
          <w:highlight w:val="none"/>
        </w:rPr>
        <w:t xml:space="preserve">] </w:t>
      </w:r>
      <w:r>
        <w:rPr>
          <w:rFonts w:hint="eastAsia"/>
          <w:highlight w:val="none"/>
        </w:rPr>
        <w:t>世界自然资源研究所（WRI）与世界企业永续发展委员会（WBSCD）温室气体核算体系 范围2指南 (Greenhouse Gas Protocol Scope 2 Guidance)</w:t>
      </w:r>
    </w:p>
    <w:p>
      <w:pPr>
        <w:rPr>
          <w:highlight w:val="none"/>
        </w:rPr>
      </w:pPr>
      <w:r>
        <w:rPr>
          <w:highlight w:val="none"/>
        </w:rPr>
        <w:t>[</w:t>
      </w:r>
      <w:r>
        <w:rPr>
          <w:rFonts w:hint="eastAsia"/>
          <w:highlight w:val="none"/>
        </w:rPr>
        <w:t>2</w:t>
      </w:r>
      <w:r>
        <w:rPr>
          <w:highlight w:val="none"/>
        </w:rPr>
        <w:t xml:space="preserve">] </w:t>
      </w:r>
      <w:r>
        <w:rPr>
          <w:rFonts w:hint="eastAsia"/>
          <w:highlight w:val="none"/>
        </w:rPr>
        <w:t>世界自然资源研究所（WRI）与世界企业永续发展委员会（WBSCD）</w:t>
      </w:r>
      <w:r>
        <w:rPr>
          <w:highlight w:val="none"/>
        </w:rPr>
        <w:t>温室气体核算体系企业价值链（范围3）核算与报告标准 (Greenhouse Gas Protocol Corporate Value Chain (Scope 3) Accounting and Reporting Standard)</w:t>
      </w:r>
    </w:p>
    <w:p>
      <w:pPr>
        <w:rPr>
          <w:highlight w:val="none"/>
        </w:rPr>
      </w:pPr>
      <w:r>
        <w:rPr>
          <w:highlight w:val="none"/>
        </w:rPr>
        <w:t>[</w:t>
      </w:r>
      <w:r>
        <w:rPr>
          <w:rFonts w:hint="eastAsia"/>
          <w:highlight w:val="none"/>
        </w:rPr>
        <w:t>3</w:t>
      </w:r>
      <w:r>
        <w:rPr>
          <w:highlight w:val="none"/>
        </w:rPr>
        <w:t xml:space="preserve">] </w:t>
      </w:r>
      <w:r>
        <w:rPr>
          <w:rFonts w:hint="eastAsia"/>
          <w:highlight w:val="none"/>
        </w:rPr>
        <w:t>国际可持续准则理事会（ISSB）</w:t>
      </w:r>
      <w:r>
        <w:rPr>
          <w:highlight w:val="none"/>
        </w:rPr>
        <w:t>国际财务报告可持续披露准则第1号——可持续相关财务信息披露一般要求（IFRS S1 General Requirements for Disclosure of Sustainability-related Financial Information）</w:t>
      </w:r>
    </w:p>
    <w:p>
      <w:pPr>
        <w:rPr>
          <w:highlight w:val="none"/>
        </w:rPr>
      </w:pPr>
      <w:r>
        <w:rPr>
          <w:highlight w:val="none"/>
        </w:rPr>
        <w:t>[</w:t>
      </w:r>
      <w:r>
        <w:rPr>
          <w:rFonts w:hint="eastAsia"/>
          <w:highlight w:val="none"/>
        </w:rPr>
        <w:t>4</w:t>
      </w:r>
      <w:r>
        <w:rPr>
          <w:highlight w:val="none"/>
        </w:rPr>
        <w:t xml:space="preserve">] </w:t>
      </w:r>
      <w:r>
        <w:rPr>
          <w:rFonts w:hint="eastAsia"/>
          <w:highlight w:val="none"/>
        </w:rPr>
        <w:t>国际可持续准则理事会（ISSB）</w:t>
      </w:r>
      <w:r>
        <w:rPr>
          <w:highlight w:val="none"/>
        </w:rPr>
        <w:t>国际财务报告可持续披露准则第2号——气候相关披露（IFRS S2 Climate-related Disclosures）</w:t>
      </w:r>
    </w:p>
    <w:p>
      <w:pPr>
        <w:rPr>
          <w:highlight w:val="none"/>
        </w:rPr>
      </w:pPr>
      <w:r>
        <w:rPr>
          <w:highlight w:val="none"/>
        </w:rPr>
        <w:t>[</w:t>
      </w:r>
      <w:r>
        <w:rPr>
          <w:rFonts w:hint="eastAsia"/>
          <w:highlight w:val="none"/>
        </w:rPr>
        <w:t>5</w:t>
      </w:r>
      <w:r>
        <w:rPr>
          <w:highlight w:val="none"/>
        </w:rPr>
        <w:t>] VTT碳手印指南V. 2.0适用于环境手印</w:t>
      </w:r>
      <w:r>
        <w:rPr>
          <w:rFonts w:hint="eastAsia"/>
          <w:highlight w:val="none"/>
        </w:rPr>
        <w:t xml:space="preserve"> </w:t>
      </w:r>
      <w:r>
        <w:rPr>
          <w:highlight w:val="none"/>
        </w:rPr>
        <w:t>(Carbon handprint guide V. 2.0 Applicable for environmental handprint)</w:t>
      </w:r>
    </w:p>
    <w:p>
      <w:pPr>
        <w:rPr>
          <w:highlight w:val="none"/>
        </w:rPr>
      </w:pPr>
      <w:r>
        <w:rPr>
          <w:highlight w:val="none"/>
        </w:rPr>
        <w:t>[</w:t>
      </w:r>
      <w:r>
        <w:rPr>
          <w:rFonts w:hint="eastAsia"/>
          <w:highlight w:val="none"/>
        </w:rPr>
        <w:t>6</w:t>
      </w:r>
      <w:r>
        <w:rPr>
          <w:highlight w:val="none"/>
        </w:rPr>
        <w:t>] ICVCM 核心碳原则、评估框架和评估程序</w:t>
      </w:r>
      <w:r>
        <w:rPr>
          <w:rFonts w:hint="eastAsia"/>
          <w:highlight w:val="none"/>
        </w:rPr>
        <w:t xml:space="preserve"> </w:t>
      </w:r>
      <w:r>
        <w:rPr>
          <w:highlight w:val="none"/>
        </w:rPr>
        <w:t>(Core Carbon Principles, Assessment Framework and Assessment Procedure)</w:t>
      </w:r>
    </w:p>
    <w:p>
      <w:pPr>
        <w:rPr>
          <w:highlight w:val="none"/>
        </w:rPr>
      </w:pPr>
      <w:r>
        <w:rPr>
          <w:highlight w:val="none"/>
        </w:rPr>
        <w:t>[</w:t>
      </w:r>
      <w:r>
        <w:rPr>
          <w:rFonts w:hint="eastAsia"/>
          <w:highlight w:val="none"/>
        </w:rPr>
        <w:t>7</w:t>
      </w:r>
      <w:r>
        <w:rPr>
          <w:highlight w:val="none"/>
        </w:rPr>
        <w:t>] 气候变化相关财务信息披露建议</w:t>
      </w:r>
      <w:r>
        <w:rPr>
          <w:rFonts w:hint="eastAsia"/>
          <w:highlight w:val="none"/>
        </w:rPr>
        <w:t xml:space="preserve"> </w:t>
      </w:r>
      <w:r>
        <w:rPr>
          <w:highlight w:val="none"/>
        </w:rPr>
        <w:t>(TCFD Recommendations)</w:t>
      </w:r>
    </w:p>
    <w:p>
      <w:pPr>
        <w:rPr>
          <w:highlight w:val="none"/>
        </w:rPr>
      </w:pPr>
      <w:r>
        <w:rPr>
          <w:highlight w:val="none"/>
        </w:rPr>
        <w:t>[</w:t>
      </w:r>
      <w:r>
        <w:rPr>
          <w:rFonts w:hint="eastAsia"/>
          <w:highlight w:val="none"/>
        </w:rPr>
        <w:t>8</w:t>
      </w:r>
      <w:r>
        <w:rPr>
          <w:highlight w:val="none"/>
        </w:rPr>
        <w:t xml:space="preserve">] </w:t>
      </w:r>
      <w:r>
        <w:rPr>
          <w:rFonts w:hint="eastAsia"/>
          <w:highlight w:val="none"/>
        </w:rPr>
        <w:t>生态环境部</w:t>
      </w:r>
      <w:r>
        <w:rPr>
          <w:highlight w:val="none"/>
        </w:rPr>
        <w:t>《大型活动碳中和实施指南（试行）》</w:t>
      </w:r>
    </w:p>
    <w:p>
      <w:pPr>
        <w:rPr>
          <w:highlight w:val="none"/>
        </w:rPr>
      </w:pPr>
      <w:r>
        <w:rPr>
          <w:rFonts w:hint="eastAsia"/>
          <w:highlight w:val="none"/>
        </w:rPr>
        <w:t xml:space="preserve">[9] ISO 37301-1:2021 合规管理体系 要求及使用指南 (Compliance management </w:t>
      </w:r>
      <w:r>
        <w:rPr>
          <w:highlight w:val="none"/>
        </w:rPr>
        <w:t>systems</w:t>
      </w:r>
      <w:r>
        <w:rPr>
          <w:rFonts w:hint="eastAsia"/>
          <w:highlight w:val="none"/>
        </w:rPr>
        <w:t>—Requirements with guidance for use)</w:t>
      </w:r>
    </w:p>
    <w:sectPr>
      <w:footerReference r:id="rId14" w:type="default"/>
      <w:footerReference r:id="rId15" w:type="even"/>
      <w:pgSz w:w="11906" w:h="16838"/>
      <w:pgMar w:top="1418" w:right="1134" w:bottom="1134" w:left="1418" w:header="1418" w:footer="1134" w:gutter="0"/>
      <w:pgNumType w:fmt="decimal"/>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SSJ-PK74820003135-Identity-H">
    <w:altName w:val="Segoe Print"/>
    <w:panose1 w:val="00000000000000000000"/>
    <w:charset w:val="00"/>
    <w:family w:val="auto"/>
    <w:pitch w:val="default"/>
    <w:sig w:usb0="00000000" w:usb1="00000000" w:usb2="00000000" w:usb3="00000000" w:csb0="00040001" w:csb1="00000000"/>
  </w:font>
  <w:font w:name="E-BZ9-PK748344-Identity-H">
    <w:altName w:val="Segoe Print"/>
    <w:panose1 w:val="00000000000000000000"/>
    <w:charset w:val="00"/>
    <w:family w:val="auto"/>
    <w:pitch w:val="default"/>
    <w:sig w:usb0="00000000" w:usb1="00000000" w:usb2="00000000" w:usb3="00000000" w:csb0="00040001" w:csb1="00000000"/>
  </w:font>
  <w:font w:name="H-SS9-PK7482000313c-Identity-H">
    <w:altName w:val="Segoe Print"/>
    <w:panose1 w:val="00000000000000000000"/>
    <w:charset w:val="00"/>
    <w:family w:val="auto"/>
    <w:pitch w:val="default"/>
    <w:sig w:usb0="00000000" w:usb1="00000000" w:usb2="00000000" w:usb3="00000000" w:csb0="00040001" w:csb1="00000000"/>
  </w:font>
  <w:font w:name="Helvetica">
    <w:altName w:val="Arial"/>
    <w:panose1 w:val="020B05040202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1252916"/>
      <w:docPartObj>
        <w:docPartGallery w:val="autotext"/>
      </w:docPartObj>
    </w:sdtPr>
    <w:sdtContent>
      <w:p>
        <w:pPr>
          <w:pStyle w:val="24"/>
          <w:jc w:val="left"/>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ascii="黑体" w:hAnsi="黑体" w:eastAsia="黑体"/>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23091957"/>
                            <w:docPartObj>
                              <w:docPartGallery w:val="autotext"/>
                            </w:docPartObj>
                          </w:sdtPr>
                          <w:sdtEndPr>
                            <w:rPr>
                              <w:rFonts w:ascii="黑体" w:hAnsi="黑体" w:eastAsia="黑体"/>
                            </w:rPr>
                          </w:sdtEndPr>
                          <w:sdtContent>
                            <w:p>
                              <w:pPr>
                                <w:pStyle w:val="24"/>
                                <w:rPr>
                                  <w:rFonts w:ascii="黑体" w:hAnsi="黑体" w:eastAsia="黑体"/>
                                </w:rPr>
                              </w:pPr>
                              <w:r>
                                <w:rPr>
                                  <w:rFonts w:ascii="黑体" w:hAnsi="黑体" w:eastAsia="黑体"/>
                                </w:rPr>
                                <w:fldChar w:fldCharType="begin"/>
                              </w:r>
                              <w:r>
                                <w:rPr>
                                  <w:rFonts w:ascii="黑体" w:hAnsi="黑体" w:eastAsia="黑体"/>
                                </w:rPr>
                                <w:instrText xml:space="preserve">PAGE   \* MERGEFORMAT</w:instrText>
                              </w:r>
                              <w:r>
                                <w:rPr>
                                  <w:rFonts w:ascii="黑体" w:hAnsi="黑体" w:eastAsia="黑体"/>
                                </w:rPr>
                                <w:fldChar w:fldCharType="separate"/>
                              </w:r>
                              <w:r>
                                <w:rPr>
                                  <w:rFonts w:ascii="黑体" w:hAnsi="黑体" w:eastAsia="黑体"/>
                                  <w:lang w:val="zh-CN"/>
                                </w:rPr>
                                <w:t>2</w:t>
                              </w:r>
                              <w:r>
                                <w:rPr>
                                  <w:rFonts w:ascii="黑体" w:hAnsi="黑体" w:eastAsia="黑体"/>
                                </w:rPr>
                                <w:fldChar w:fldCharType="end"/>
                              </w:r>
                            </w:p>
                          </w:sdtContent>
                        </w:sdt>
                        <w:p>
                          <w:pPr>
                            <w:rPr>
                              <w:rFonts w:ascii="黑体" w:hAnsi="黑体" w:eastAsia="黑体"/>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sdt>
                    <w:sdtPr>
                      <w:id w:val="1223091957"/>
                      <w:docPartObj>
                        <w:docPartGallery w:val="autotext"/>
                      </w:docPartObj>
                    </w:sdtPr>
                    <w:sdtEndPr>
                      <w:rPr>
                        <w:rFonts w:ascii="黑体" w:hAnsi="黑体" w:eastAsia="黑体"/>
                      </w:rPr>
                    </w:sdtEndPr>
                    <w:sdtContent>
                      <w:p>
                        <w:pPr>
                          <w:pStyle w:val="24"/>
                          <w:rPr>
                            <w:rFonts w:ascii="黑体" w:hAnsi="黑体" w:eastAsia="黑体"/>
                          </w:rPr>
                        </w:pPr>
                        <w:r>
                          <w:rPr>
                            <w:rFonts w:ascii="黑体" w:hAnsi="黑体" w:eastAsia="黑体"/>
                          </w:rPr>
                          <w:fldChar w:fldCharType="begin"/>
                        </w:r>
                        <w:r>
                          <w:rPr>
                            <w:rFonts w:ascii="黑体" w:hAnsi="黑体" w:eastAsia="黑体"/>
                          </w:rPr>
                          <w:instrText xml:space="preserve">PAGE   \* MERGEFORMAT</w:instrText>
                        </w:r>
                        <w:r>
                          <w:rPr>
                            <w:rFonts w:ascii="黑体" w:hAnsi="黑体" w:eastAsia="黑体"/>
                          </w:rPr>
                          <w:fldChar w:fldCharType="separate"/>
                        </w:r>
                        <w:r>
                          <w:rPr>
                            <w:rFonts w:ascii="黑体" w:hAnsi="黑体" w:eastAsia="黑体"/>
                            <w:lang w:val="zh-CN"/>
                          </w:rPr>
                          <w:t>2</w:t>
                        </w:r>
                        <w:r>
                          <w:rPr>
                            <w:rFonts w:ascii="黑体" w:hAnsi="黑体" w:eastAsia="黑体"/>
                          </w:rPr>
                          <w:fldChar w:fldCharType="end"/>
                        </w:r>
                      </w:p>
                    </w:sdtContent>
                  </w:sdt>
                  <w:p>
                    <w:pPr>
                      <w:rPr>
                        <w:rFonts w:ascii="黑体" w:hAnsi="黑体" w:eastAsia="黑体"/>
                      </w:rPr>
                    </w:pPr>
                  </w:p>
                </w:txbxContent>
              </v:textbox>
            </v:shape>
          </w:pict>
        </mc:Fallback>
      </mc:AlternateContent>
    </w:r>
  </w:p>
  <w:p>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left"/>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61252916"/>
                            <w:docPartObj>
                              <w:docPartGallery w:val="autotext"/>
                            </w:docPartObj>
                          </w:sdtPr>
                          <w:sdtContent>
                            <w:p>
                              <w:pPr>
                                <w:pStyle w:val="24"/>
                                <w:jc w:val="left"/>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sdt>
                    <w:sdtPr>
                      <w:id w:val="-1461252916"/>
                      <w:docPartObj>
                        <w:docPartGallery w:val="autotext"/>
                      </w:docPartObj>
                    </w:sdtPr>
                    <w:sdtContent>
                      <w:p>
                        <w:pPr>
                          <w:pStyle w:val="24"/>
                          <w:jc w:val="left"/>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ascii="黑体" w:hAnsi="黑体" w:eastAsia="黑体"/>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23091957"/>
                            <w:docPartObj>
                              <w:docPartGallery w:val="autotext"/>
                            </w:docPartObj>
                          </w:sdtPr>
                          <w:sdtEndPr>
                            <w:rPr>
                              <w:rFonts w:ascii="黑体" w:hAnsi="黑体" w:eastAsia="黑体"/>
                            </w:rPr>
                          </w:sdtEndPr>
                          <w:sdtContent>
                            <w:p>
                              <w:pPr>
                                <w:pStyle w:val="24"/>
                                <w:rPr>
                                  <w:rFonts w:ascii="黑体" w:hAnsi="黑体" w:eastAsia="黑体"/>
                                </w:rPr>
                              </w:pPr>
                              <w:r>
                                <w:rPr>
                                  <w:rFonts w:ascii="黑体" w:hAnsi="黑体" w:eastAsia="黑体"/>
                                </w:rPr>
                                <w:fldChar w:fldCharType="begin"/>
                              </w:r>
                              <w:r>
                                <w:rPr>
                                  <w:rFonts w:ascii="黑体" w:hAnsi="黑体" w:eastAsia="黑体"/>
                                </w:rPr>
                                <w:instrText xml:space="preserve">PAGE   \* MERGEFORMAT</w:instrText>
                              </w:r>
                              <w:r>
                                <w:rPr>
                                  <w:rFonts w:ascii="黑体" w:hAnsi="黑体" w:eastAsia="黑体"/>
                                </w:rPr>
                                <w:fldChar w:fldCharType="separate"/>
                              </w:r>
                              <w:r>
                                <w:rPr>
                                  <w:rFonts w:ascii="黑体" w:hAnsi="黑体" w:eastAsia="黑体"/>
                                  <w:lang w:val="zh-CN"/>
                                </w:rPr>
                                <w:t>2</w:t>
                              </w:r>
                              <w:r>
                                <w:rPr>
                                  <w:rFonts w:ascii="黑体" w:hAnsi="黑体" w:eastAsia="黑体"/>
                                </w:rPr>
                                <w:fldChar w:fldCharType="end"/>
                              </w:r>
                            </w:p>
                          </w:sdtContent>
                        </w:sdt>
                        <w:p>
                          <w:pPr>
                            <w:rPr>
                              <w:rFonts w:ascii="黑体" w:hAnsi="黑体" w:eastAsia="黑体"/>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sdt>
                    <w:sdtPr>
                      <w:id w:val="1223091957"/>
                      <w:docPartObj>
                        <w:docPartGallery w:val="autotext"/>
                      </w:docPartObj>
                    </w:sdtPr>
                    <w:sdtEndPr>
                      <w:rPr>
                        <w:rFonts w:ascii="黑体" w:hAnsi="黑体" w:eastAsia="黑体"/>
                      </w:rPr>
                    </w:sdtEndPr>
                    <w:sdtContent>
                      <w:p>
                        <w:pPr>
                          <w:pStyle w:val="24"/>
                          <w:rPr>
                            <w:rFonts w:ascii="黑体" w:hAnsi="黑体" w:eastAsia="黑体"/>
                          </w:rPr>
                        </w:pPr>
                        <w:r>
                          <w:rPr>
                            <w:rFonts w:ascii="黑体" w:hAnsi="黑体" w:eastAsia="黑体"/>
                          </w:rPr>
                          <w:fldChar w:fldCharType="begin"/>
                        </w:r>
                        <w:r>
                          <w:rPr>
                            <w:rFonts w:ascii="黑体" w:hAnsi="黑体" w:eastAsia="黑体"/>
                          </w:rPr>
                          <w:instrText xml:space="preserve">PAGE   \* MERGEFORMAT</w:instrText>
                        </w:r>
                        <w:r>
                          <w:rPr>
                            <w:rFonts w:ascii="黑体" w:hAnsi="黑体" w:eastAsia="黑体"/>
                          </w:rPr>
                          <w:fldChar w:fldCharType="separate"/>
                        </w:r>
                        <w:r>
                          <w:rPr>
                            <w:rFonts w:ascii="黑体" w:hAnsi="黑体" w:eastAsia="黑体"/>
                            <w:lang w:val="zh-CN"/>
                          </w:rPr>
                          <w:t>2</w:t>
                        </w:r>
                        <w:r>
                          <w:rPr>
                            <w:rFonts w:ascii="黑体" w:hAnsi="黑体" w:eastAsia="黑体"/>
                          </w:rPr>
                          <w:fldChar w:fldCharType="end"/>
                        </w:r>
                      </w:p>
                    </w:sdtContent>
                  </w:sdt>
                  <w:p>
                    <w:pPr>
                      <w:rPr>
                        <w:rFonts w:ascii="黑体" w:hAnsi="黑体" w:eastAsia="黑体"/>
                      </w:rPr>
                    </w:pPr>
                  </w:p>
                </w:txbxContent>
              </v:textbox>
            </v:shape>
          </w:pict>
        </mc:Fallback>
      </mc:AlternateContent>
    </w:r>
  </w:p>
  <w:p>
    <w:pPr>
      <w:pStyle w:val="2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left"/>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61252916"/>
                            <w:docPartObj>
                              <w:docPartGallery w:val="autotext"/>
                            </w:docPartObj>
                          </w:sdtPr>
                          <w:sdtContent>
                            <w:p>
                              <w:pPr>
                                <w:pStyle w:val="24"/>
                                <w:jc w:val="left"/>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sdt>
                    <w:sdtPr>
                      <w:id w:val="-1461252916"/>
                      <w:docPartObj>
                        <w:docPartGallery w:val="autotext"/>
                      </w:docPartObj>
                    </w:sdtPr>
                    <w:sdtContent>
                      <w:p>
                        <w:pPr>
                          <w:pStyle w:val="24"/>
                          <w:jc w:val="left"/>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after="283"/>
      <w:rPr>
        <w:rFonts w:ascii="黑体" w:hAnsi="黑体" w:eastAsia="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right"/>
    </w:pPr>
    <w:r>
      <w:rPr>
        <w:rFonts w:hint="eastAsia"/>
      </w:rPr>
      <w:t>XX/T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rPr>
        <w:rFonts w:ascii="黑体" w:hAnsi="黑体" w:eastAsia="黑体" w:cs="黑体"/>
        <w:sz w:val="21"/>
        <w:szCs w:val="21"/>
      </w:rPr>
    </w:pPr>
    <w:r>
      <w:rPr>
        <w:rFonts w:hint="eastAsia" w:ascii="黑体" w:hAnsi="黑体" w:eastAsia="黑体" w:cs="黑体"/>
        <w:bCs/>
        <w:sz w:val="21"/>
        <w:szCs w:val="21"/>
      </w:rPr>
      <w:t xml:space="preserve">T/CCAA </w:t>
    </w:r>
    <w:r>
      <w:rPr>
        <w:rFonts w:ascii="黑体" w:hAnsi="黑体" w:eastAsia="黑体" w:cs="黑体"/>
        <w:bCs/>
        <w:sz w:val="21"/>
        <w:szCs w:val="21"/>
      </w:rPr>
      <w:t>XX</w:t>
    </w:r>
    <w:r>
      <w:rPr>
        <w:rFonts w:hint="eastAsia" w:ascii="黑体" w:hAnsi="黑体" w:eastAsia="黑体" w:cs="黑体"/>
        <w:sz w:val="21"/>
        <w:szCs w:val="21"/>
      </w:rPr>
      <w:t>-202</w:t>
    </w:r>
    <w:r>
      <w:rPr>
        <w:rFonts w:ascii="黑体" w:hAnsi="黑体" w:eastAsia="黑体" w:cs="黑体"/>
        <w:sz w:val="21"/>
        <w:szCs w:val="21"/>
      </w:rPr>
      <w:t>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right"/>
      <w:rPr>
        <w:bCs/>
      </w:rPr>
    </w:pPr>
    <w:r>
      <w:rPr>
        <w:rFonts w:hint="eastAsia" w:ascii="黑体" w:hAnsi="黑体" w:eastAsia="黑体" w:cs="黑体"/>
        <w:bCs/>
        <w:sz w:val="21"/>
        <w:szCs w:val="21"/>
      </w:rPr>
      <w:t xml:space="preserve">T/CCAA </w:t>
    </w:r>
    <w:r>
      <w:rPr>
        <w:rFonts w:ascii="黑体" w:hAnsi="黑体" w:eastAsia="黑体" w:cs="黑体"/>
        <w:bCs/>
        <w:sz w:val="21"/>
        <w:szCs w:val="21"/>
      </w:rPr>
      <w:t>XX</w:t>
    </w:r>
    <w:r>
      <w:rPr>
        <w:rFonts w:hint="eastAsia" w:ascii="黑体" w:hAnsi="黑体" w:eastAsia="黑体" w:cs="黑体"/>
        <w:bCs/>
        <w:sz w:val="21"/>
        <w:szCs w:val="21"/>
      </w:rPr>
      <w:t>-202</w:t>
    </w:r>
    <w:r>
      <w:rPr>
        <w:rFonts w:ascii="黑体" w:hAnsi="黑体" w:eastAsia="黑体" w:cs="黑体"/>
        <w:bCs/>
        <w:sz w:val="21"/>
        <w:szCs w:val="21"/>
      </w:rPr>
      <w:t>X</w:t>
    </w:r>
  </w:p>
  <w:p>
    <w:pPr>
      <w:pStyle w:val="2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right"/>
      <w:rPr>
        <w:rFonts w:ascii="黑体" w:hAnsi="黑体" w:eastAsia="黑体"/>
        <w:sz w:val="21"/>
        <w:szCs w:val="21"/>
      </w:rPr>
    </w:pPr>
    <w:r>
      <w:rPr>
        <w:rFonts w:hint="eastAsia" w:ascii="黑体" w:hAnsi="黑体" w:eastAsia="黑体" w:cs="黑体"/>
        <w:bCs/>
        <w:sz w:val="21"/>
        <w:szCs w:val="21"/>
      </w:rPr>
      <w:t xml:space="preserve">T/CCAA </w:t>
    </w:r>
    <w:r>
      <w:rPr>
        <w:rFonts w:ascii="黑体" w:hAnsi="黑体" w:eastAsia="黑体" w:cs="黑体"/>
        <w:bCs/>
        <w:sz w:val="21"/>
        <w:szCs w:val="21"/>
      </w:rPr>
      <w:t>XX</w:t>
    </w:r>
    <w:r>
      <w:rPr>
        <w:rFonts w:hint="eastAsia" w:ascii="黑体" w:hAnsi="黑体" w:eastAsia="黑体" w:cs="黑体"/>
        <w:bCs/>
        <w:sz w:val="21"/>
        <w:szCs w:val="21"/>
      </w:rPr>
      <w:t>-202</w:t>
    </w:r>
    <w:r>
      <w:rPr>
        <w:rFonts w:ascii="黑体" w:hAnsi="黑体" w:eastAsia="黑体" w:cs="黑体"/>
        <w:bCs/>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3274E"/>
    <w:multiLevelType w:val="multilevel"/>
    <w:tmpl w:val="0403274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040A15CD"/>
    <w:multiLevelType w:val="multilevel"/>
    <w:tmpl w:val="040A15CD"/>
    <w:lvl w:ilvl="0" w:tentative="0">
      <w:start w:val="1"/>
      <w:numFmt w:val="none"/>
      <w:suff w:val="nothing"/>
      <w:lvlText w:val="　"/>
      <w:lvlJc w:val="left"/>
      <w:pPr>
        <w:ind w:left="21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41"/>
      <w:suff w:val="nothing"/>
      <w:lvlText w:val="%1%2.%3　"/>
      <w:lvlJc w:val="left"/>
      <w:pPr>
        <w:ind w:left="0" w:firstLine="0"/>
      </w:pPr>
      <w:rPr>
        <w:rFonts w:hint="eastAsia" w:ascii="黑体" w:hAnsi="Times New Roman" w:eastAsia="黑体"/>
        <w:b w:val="0"/>
        <w:i w:val="0"/>
        <w:sz w:val="21"/>
      </w:rPr>
    </w:lvl>
    <w:lvl w:ilvl="3" w:tentative="0">
      <w:start w:val="1"/>
      <w:numFmt w:val="decimal"/>
      <w:pStyle w:val="96"/>
      <w:suff w:val="nothing"/>
      <w:lvlText w:val="%1%2.%3.%4　"/>
      <w:lvlJc w:val="left"/>
      <w:pPr>
        <w:ind w:left="630" w:firstLine="0"/>
      </w:pPr>
      <w:rPr>
        <w:rFonts w:hint="eastAsia" w:ascii="黑体" w:hAnsi="Times New Roman" w:eastAsia="黑体"/>
        <w:b w:val="0"/>
        <w:i w:val="0"/>
        <w:sz w:val="21"/>
      </w:rPr>
    </w:lvl>
    <w:lvl w:ilvl="4" w:tentative="0">
      <w:start w:val="1"/>
      <w:numFmt w:val="decimal"/>
      <w:pStyle w:val="127"/>
      <w:suff w:val="nothing"/>
      <w:lvlText w:val="%1%2.%3.%4.%5　"/>
      <w:lvlJc w:val="left"/>
      <w:pPr>
        <w:ind w:left="0" w:firstLine="0"/>
      </w:pPr>
      <w:rPr>
        <w:rFonts w:hint="eastAsia" w:ascii="黑体" w:hAnsi="Times New Roman" w:eastAsia="黑体"/>
        <w:b w:val="0"/>
        <w:i w:val="0"/>
        <w:sz w:val="21"/>
      </w:rPr>
    </w:lvl>
    <w:lvl w:ilvl="5" w:tentative="0">
      <w:start w:val="1"/>
      <w:numFmt w:val="decimal"/>
      <w:pStyle w:val="134"/>
      <w:suff w:val="nothing"/>
      <w:lvlText w:val="%1%2.%3.%4.%5.%6　"/>
      <w:lvlJc w:val="left"/>
      <w:pPr>
        <w:ind w:left="0" w:firstLine="0"/>
      </w:pPr>
      <w:rPr>
        <w:rFonts w:hint="eastAsia" w:ascii="黑体" w:hAnsi="Times New Roman" w:eastAsia="黑体"/>
        <w:b w:val="0"/>
        <w:i w:val="0"/>
        <w:sz w:val="21"/>
      </w:rPr>
    </w:lvl>
    <w:lvl w:ilvl="6" w:tentative="0">
      <w:start w:val="1"/>
      <w:numFmt w:val="decimal"/>
      <w:pStyle w:val="10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07445BEB"/>
    <w:multiLevelType w:val="multilevel"/>
    <w:tmpl w:val="07445BEB"/>
    <w:lvl w:ilvl="0" w:tentative="0">
      <w:start w:val="1"/>
      <w:numFmt w:val="bullet"/>
      <w:lvlText w:val=""/>
      <w:lvlJc w:val="left"/>
      <w:pPr>
        <w:ind w:left="1280" w:hanging="440"/>
      </w:pPr>
      <w:rPr>
        <w:rFonts w:hint="default" w:ascii="Wingdings" w:hAnsi="Wingdings"/>
      </w:rPr>
    </w:lvl>
    <w:lvl w:ilvl="1" w:tentative="0">
      <w:start w:val="1"/>
      <w:numFmt w:val="lowerLetter"/>
      <w:lvlText w:val="%2)"/>
      <w:lvlJc w:val="left"/>
      <w:pPr>
        <w:ind w:left="1720" w:hanging="440"/>
      </w:pPr>
    </w:lvl>
    <w:lvl w:ilvl="2" w:tentative="0">
      <w:start w:val="1"/>
      <w:numFmt w:val="lowerRoman"/>
      <w:lvlText w:val="%3."/>
      <w:lvlJc w:val="right"/>
      <w:pPr>
        <w:ind w:left="2160" w:hanging="440"/>
      </w:pPr>
    </w:lvl>
    <w:lvl w:ilvl="3" w:tentative="0">
      <w:start w:val="1"/>
      <w:numFmt w:val="decimal"/>
      <w:lvlText w:val="%4."/>
      <w:lvlJc w:val="left"/>
      <w:pPr>
        <w:ind w:left="2600" w:hanging="440"/>
      </w:pPr>
    </w:lvl>
    <w:lvl w:ilvl="4" w:tentative="0">
      <w:start w:val="1"/>
      <w:numFmt w:val="lowerLetter"/>
      <w:lvlText w:val="%5)"/>
      <w:lvlJc w:val="left"/>
      <w:pPr>
        <w:ind w:left="3040" w:hanging="440"/>
      </w:pPr>
    </w:lvl>
    <w:lvl w:ilvl="5" w:tentative="0">
      <w:start w:val="1"/>
      <w:numFmt w:val="lowerRoman"/>
      <w:lvlText w:val="%6."/>
      <w:lvlJc w:val="right"/>
      <w:pPr>
        <w:ind w:left="3480" w:hanging="440"/>
      </w:pPr>
    </w:lvl>
    <w:lvl w:ilvl="6" w:tentative="0">
      <w:start w:val="1"/>
      <w:numFmt w:val="decimal"/>
      <w:lvlText w:val="%7."/>
      <w:lvlJc w:val="left"/>
      <w:pPr>
        <w:ind w:left="3920" w:hanging="440"/>
      </w:pPr>
    </w:lvl>
    <w:lvl w:ilvl="7" w:tentative="0">
      <w:start w:val="1"/>
      <w:numFmt w:val="lowerLetter"/>
      <w:lvlText w:val="%8)"/>
      <w:lvlJc w:val="left"/>
      <w:pPr>
        <w:ind w:left="4360" w:hanging="440"/>
      </w:pPr>
    </w:lvl>
    <w:lvl w:ilvl="8" w:tentative="0">
      <w:start w:val="1"/>
      <w:numFmt w:val="lowerRoman"/>
      <w:lvlText w:val="%9."/>
      <w:lvlJc w:val="right"/>
      <w:pPr>
        <w:ind w:left="4800" w:hanging="440"/>
      </w:pPr>
    </w:lvl>
  </w:abstractNum>
  <w:abstractNum w:abstractNumId="3">
    <w:nsid w:val="079102AD"/>
    <w:multiLevelType w:val="multilevel"/>
    <w:tmpl w:val="079102AD"/>
    <w:lvl w:ilvl="0" w:tentative="0">
      <w:start w:val="1"/>
      <w:numFmt w:val="decimal"/>
      <w:pStyle w:val="8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93C6778"/>
    <w:multiLevelType w:val="multilevel"/>
    <w:tmpl w:val="093C6778"/>
    <w:lvl w:ilvl="0" w:tentative="0">
      <w:start w:val="1"/>
      <w:numFmt w:val="decimal"/>
      <w:pStyle w:val="6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0AE367E9"/>
    <w:multiLevelType w:val="multilevel"/>
    <w:tmpl w:val="0AE367E9"/>
    <w:lvl w:ilvl="0" w:tentative="0">
      <w:start w:val="1"/>
      <w:numFmt w:val="none"/>
      <w:pStyle w:val="12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D983844"/>
    <w:multiLevelType w:val="multilevel"/>
    <w:tmpl w:val="0D983844"/>
    <w:lvl w:ilvl="0" w:tentative="0">
      <w:start w:val="1"/>
      <w:numFmt w:val="decimal"/>
      <w:pStyle w:val="13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0DDE2B46"/>
    <w:multiLevelType w:val="multilevel"/>
    <w:tmpl w:val="0DDE2B46"/>
    <w:lvl w:ilvl="0" w:tentative="0">
      <w:start w:val="1"/>
      <w:numFmt w:val="lowerLetter"/>
      <w:pStyle w:val="12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8">
    <w:nsid w:val="0E935AA9"/>
    <w:multiLevelType w:val="multilevel"/>
    <w:tmpl w:val="0E935AA9"/>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9">
    <w:nsid w:val="112561C0"/>
    <w:multiLevelType w:val="multilevel"/>
    <w:tmpl w:val="112561C0"/>
    <w:lvl w:ilvl="0" w:tentative="0">
      <w:start w:val="1"/>
      <w:numFmt w:val="lowerLetter"/>
      <w:lvlText w:val="%1)"/>
      <w:lvlJc w:val="left"/>
      <w:pPr>
        <w:ind w:left="800" w:hanging="440"/>
      </w:pPr>
      <w:rPr>
        <w:rFonts w:hint="default"/>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10">
    <w:nsid w:val="14454629"/>
    <w:multiLevelType w:val="multilevel"/>
    <w:tmpl w:val="14454629"/>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1">
    <w:nsid w:val="1DBF583A"/>
    <w:multiLevelType w:val="multilevel"/>
    <w:tmpl w:val="1DBF583A"/>
    <w:lvl w:ilvl="0" w:tentative="0">
      <w:start w:val="1"/>
      <w:numFmt w:val="decimal"/>
      <w:pStyle w:val="15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2">
    <w:nsid w:val="1FC91163"/>
    <w:multiLevelType w:val="multilevel"/>
    <w:tmpl w:val="1FC91163"/>
    <w:lvl w:ilvl="0" w:tentative="0">
      <w:start w:val="1"/>
      <w:numFmt w:val="decimal"/>
      <w:pStyle w:val="83"/>
      <w:suff w:val="nothing"/>
      <w:lvlText w:val="%1　"/>
      <w:lvlJc w:val="left"/>
      <w:pPr>
        <w:ind w:left="284" w:firstLine="0"/>
      </w:pPr>
      <w:rPr>
        <w:rFonts w:hint="eastAsia" w:ascii="黑体" w:hAnsi="Times New Roman" w:eastAsia="黑体"/>
        <w:b w:val="0"/>
        <w:i w:val="0"/>
        <w:sz w:val="21"/>
        <w:szCs w:val="21"/>
      </w:rPr>
    </w:lvl>
    <w:lvl w:ilvl="1" w:tentative="0">
      <w:start w:val="1"/>
      <w:numFmt w:val="decimal"/>
      <w:suff w:val="nothing"/>
      <w:lvlText w:val="%1.%2　"/>
      <w:lvlJc w:val="left"/>
      <w:pPr>
        <w:ind w:left="2269"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86"/>
      <w:suff w:val="nothing"/>
      <w:lvlText w:val="%1.%2.%3　"/>
      <w:lvlJc w:val="left"/>
      <w:pPr>
        <w:ind w:left="156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pStyle w:val="9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2827D5B"/>
    <w:multiLevelType w:val="multilevel"/>
    <w:tmpl w:val="22827D5B"/>
    <w:lvl w:ilvl="0" w:tentative="0">
      <w:start w:val="1"/>
      <w:numFmt w:val="none"/>
      <w:pStyle w:val="14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4">
    <w:nsid w:val="251716B1"/>
    <w:multiLevelType w:val="multilevel"/>
    <w:tmpl w:val="251716B1"/>
    <w:lvl w:ilvl="0" w:tentative="0">
      <w:start w:val="1"/>
      <w:numFmt w:val="lowerLetter"/>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28D113A1"/>
    <w:multiLevelType w:val="multilevel"/>
    <w:tmpl w:val="28D113A1"/>
    <w:lvl w:ilvl="0" w:tentative="0">
      <w:start w:val="1"/>
      <w:numFmt w:val="lowerLetter"/>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6">
    <w:nsid w:val="2A8F7113"/>
    <w:multiLevelType w:val="multilevel"/>
    <w:tmpl w:val="2A8F7113"/>
    <w:lvl w:ilvl="0" w:tentative="0">
      <w:start w:val="1"/>
      <w:numFmt w:val="upperLetter"/>
      <w:pStyle w:val="136"/>
      <w:suff w:val="space"/>
      <w:lvlText w:val="%1"/>
      <w:lvlJc w:val="left"/>
      <w:pPr>
        <w:ind w:left="623" w:hanging="425"/>
      </w:pPr>
      <w:rPr>
        <w:rFonts w:hint="eastAsia"/>
      </w:rPr>
    </w:lvl>
    <w:lvl w:ilvl="1" w:tentative="0">
      <w:start w:val="1"/>
      <w:numFmt w:val="decimal"/>
      <w:pStyle w:val="8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2B34380B"/>
    <w:multiLevelType w:val="multilevel"/>
    <w:tmpl w:val="2B34380B"/>
    <w:lvl w:ilvl="0" w:tentative="0">
      <w:start w:val="6"/>
      <w:numFmt w:val="decimal"/>
      <w:lvlText w:val="%1"/>
      <w:lvlJc w:val="left"/>
      <w:pPr>
        <w:ind w:left="540" w:hanging="540"/>
      </w:pPr>
      <w:rPr>
        <w:rFonts w:hint="default" w:ascii="黑体" w:hAnsi="黑体" w:eastAsia="黑体"/>
      </w:rPr>
    </w:lvl>
    <w:lvl w:ilvl="1" w:tentative="0">
      <w:start w:val="2"/>
      <w:numFmt w:val="decimal"/>
      <w:lvlText w:val="%1.%2"/>
      <w:lvlJc w:val="left"/>
      <w:pPr>
        <w:ind w:left="540" w:hanging="540"/>
      </w:pPr>
      <w:rPr>
        <w:rFonts w:hint="default" w:ascii="黑体" w:hAnsi="黑体" w:eastAsia="黑体"/>
      </w:rPr>
    </w:lvl>
    <w:lvl w:ilvl="2" w:tentative="0">
      <w:start w:val="2"/>
      <w:numFmt w:val="decimal"/>
      <w:lvlText w:val="%1.%2.%3"/>
      <w:lvlJc w:val="left"/>
      <w:pPr>
        <w:ind w:left="720" w:hanging="720"/>
      </w:pPr>
      <w:rPr>
        <w:rFonts w:hint="default" w:ascii="黑体" w:hAnsi="黑体" w:eastAsia="黑体"/>
      </w:rPr>
    </w:lvl>
    <w:lvl w:ilvl="3" w:tentative="0">
      <w:start w:val="1"/>
      <w:numFmt w:val="decimal"/>
      <w:lvlText w:val="%1.%2.%3.%4"/>
      <w:lvlJc w:val="left"/>
      <w:pPr>
        <w:ind w:left="720" w:hanging="720"/>
      </w:pPr>
      <w:rPr>
        <w:rFonts w:hint="default" w:ascii="黑体" w:hAnsi="黑体" w:eastAsia="黑体"/>
      </w:rPr>
    </w:lvl>
    <w:lvl w:ilvl="4" w:tentative="0">
      <w:start w:val="1"/>
      <w:numFmt w:val="decimal"/>
      <w:lvlText w:val="%1.%2.%3.%4.%5"/>
      <w:lvlJc w:val="left"/>
      <w:pPr>
        <w:ind w:left="1080" w:hanging="1080"/>
      </w:pPr>
      <w:rPr>
        <w:rFonts w:hint="default" w:ascii="黑体" w:hAnsi="黑体" w:eastAsia="黑体"/>
      </w:rPr>
    </w:lvl>
    <w:lvl w:ilvl="5" w:tentative="0">
      <w:start w:val="1"/>
      <w:numFmt w:val="decimal"/>
      <w:lvlText w:val="%1.%2.%3.%4.%5.%6"/>
      <w:lvlJc w:val="left"/>
      <w:pPr>
        <w:ind w:left="1080" w:hanging="1080"/>
      </w:pPr>
      <w:rPr>
        <w:rFonts w:hint="default" w:ascii="黑体" w:hAnsi="黑体" w:eastAsia="黑体"/>
      </w:rPr>
    </w:lvl>
    <w:lvl w:ilvl="6" w:tentative="0">
      <w:start w:val="1"/>
      <w:numFmt w:val="decimal"/>
      <w:lvlText w:val="%1.%2.%3.%4.%5.%6.%7"/>
      <w:lvlJc w:val="left"/>
      <w:pPr>
        <w:ind w:left="1080" w:hanging="1080"/>
      </w:pPr>
      <w:rPr>
        <w:rFonts w:hint="default" w:ascii="黑体" w:hAnsi="黑体" w:eastAsia="黑体"/>
      </w:rPr>
    </w:lvl>
    <w:lvl w:ilvl="7" w:tentative="0">
      <w:start w:val="1"/>
      <w:numFmt w:val="decimal"/>
      <w:lvlText w:val="%1.%2.%3.%4.%5.%6.%7.%8"/>
      <w:lvlJc w:val="left"/>
      <w:pPr>
        <w:ind w:left="1440" w:hanging="1440"/>
      </w:pPr>
      <w:rPr>
        <w:rFonts w:hint="default" w:ascii="黑体" w:hAnsi="黑体" w:eastAsia="黑体"/>
      </w:rPr>
    </w:lvl>
    <w:lvl w:ilvl="8" w:tentative="0">
      <w:start w:val="1"/>
      <w:numFmt w:val="decimal"/>
      <w:lvlText w:val="%1.%2.%3.%4.%5.%6.%7.%8.%9"/>
      <w:lvlJc w:val="left"/>
      <w:pPr>
        <w:ind w:left="1440" w:hanging="1440"/>
      </w:pPr>
      <w:rPr>
        <w:rFonts w:hint="default" w:ascii="黑体" w:hAnsi="黑体" w:eastAsia="黑体"/>
      </w:rPr>
    </w:lvl>
  </w:abstractNum>
  <w:abstractNum w:abstractNumId="18">
    <w:nsid w:val="2C5917C3"/>
    <w:multiLevelType w:val="multilevel"/>
    <w:tmpl w:val="2C5917C3"/>
    <w:lvl w:ilvl="0" w:tentative="0">
      <w:start w:val="1"/>
      <w:numFmt w:val="none"/>
      <w:pStyle w:val="131"/>
      <w:suff w:val="nothing"/>
      <w:lvlText w:val="%1——"/>
      <w:lvlJc w:val="left"/>
      <w:pPr>
        <w:ind w:left="833" w:hanging="408"/>
      </w:pPr>
      <w:rPr>
        <w:rFonts w:hint="eastAsia"/>
      </w:rPr>
    </w:lvl>
    <w:lvl w:ilvl="1" w:tentative="0">
      <w:start w:val="1"/>
      <w:numFmt w:val="bullet"/>
      <w:pStyle w:val="118"/>
      <w:lvlText w:val=""/>
      <w:lvlJc w:val="left"/>
      <w:pPr>
        <w:tabs>
          <w:tab w:val="left" w:pos="760"/>
        </w:tabs>
        <w:ind w:left="1264" w:hanging="413"/>
      </w:pPr>
      <w:rPr>
        <w:rFonts w:hint="default" w:ascii="Symbol" w:hAnsi="Symbol"/>
        <w:color w:val="auto"/>
      </w:rPr>
    </w:lvl>
    <w:lvl w:ilvl="2" w:tentative="0">
      <w:start w:val="1"/>
      <w:numFmt w:val="bullet"/>
      <w:pStyle w:val="13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2FDC3ED1"/>
    <w:multiLevelType w:val="multilevel"/>
    <w:tmpl w:val="2FDC3ED1"/>
    <w:lvl w:ilvl="0" w:tentative="0">
      <w:start w:val="1"/>
      <w:numFmt w:val="lowerLetter"/>
      <w:lvlText w:val="%1)"/>
      <w:lvlJc w:val="left"/>
      <w:pPr>
        <w:ind w:left="860" w:hanging="440"/>
      </w:pPr>
      <w:rPr>
        <w:rFonts w:hint="default"/>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0">
    <w:nsid w:val="36981FFF"/>
    <w:multiLevelType w:val="multilevel"/>
    <w:tmpl w:val="36981FF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37741AD9"/>
    <w:multiLevelType w:val="multilevel"/>
    <w:tmpl w:val="37741AD9"/>
    <w:lvl w:ilvl="0" w:tentative="0">
      <w:start w:val="1"/>
      <w:numFmt w:val="lowerLetter"/>
      <w:lvlText w:val="%1)"/>
      <w:lvlJc w:val="left"/>
      <w:pPr>
        <w:tabs>
          <w:tab w:val="left" w:pos="720"/>
        </w:tabs>
        <w:ind w:left="720" w:hanging="360"/>
      </w:pPr>
      <w:rPr>
        <w:rFonts w:hint="default"/>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3D733618"/>
    <w:multiLevelType w:val="multilevel"/>
    <w:tmpl w:val="3D733618"/>
    <w:lvl w:ilvl="0" w:tentative="0">
      <w:start w:val="1"/>
      <w:numFmt w:val="decimal"/>
      <w:pStyle w:val="3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3">
    <w:nsid w:val="44C50F90"/>
    <w:multiLevelType w:val="multilevel"/>
    <w:tmpl w:val="44C50F90"/>
    <w:lvl w:ilvl="0" w:tentative="0">
      <w:start w:val="1"/>
      <w:numFmt w:val="lowerLetter"/>
      <w:pStyle w:val="12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7"/>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47751FF9"/>
    <w:multiLevelType w:val="multilevel"/>
    <w:tmpl w:val="47751FF9"/>
    <w:lvl w:ilvl="0" w:tentative="0">
      <w:start w:val="1"/>
      <w:numFmt w:val="lowerLetter"/>
      <w:lvlText w:val="%1)"/>
      <w:lvlJc w:val="left"/>
      <w:pPr>
        <w:ind w:left="864" w:hanging="440"/>
      </w:pPr>
    </w:lvl>
    <w:lvl w:ilvl="1" w:tentative="0">
      <w:start w:val="1"/>
      <w:numFmt w:val="lowerLetter"/>
      <w:lvlText w:val="%2)"/>
      <w:lvlJc w:val="left"/>
      <w:pPr>
        <w:ind w:left="1304" w:hanging="440"/>
      </w:pPr>
    </w:lvl>
    <w:lvl w:ilvl="2" w:tentative="0">
      <w:start w:val="1"/>
      <w:numFmt w:val="lowerRoman"/>
      <w:lvlText w:val="%3."/>
      <w:lvlJc w:val="right"/>
      <w:pPr>
        <w:ind w:left="1744" w:hanging="440"/>
      </w:pPr>
    </w:lvl>
    <w:lvl w:ilvl="3" w:tentative="0">
      <w:start w:val="1"/>
      <w:numFmt w:val="decimal"/>
      <w:lvlText w:val="%4."/>
      <w:lvlJc w:val="left"/>
      <w:pPr>
        <w:ind w:left="2184" w:hanging="440"/>
      </w:pPr>
    </w:lvl>
    <w:lvl w:ilvl="4" w:tentative="0">
      <w:start w:val="1"/>
      <w:numFmt w:val="lowerLetter"/>
      <w:lvlText w:val="%5)"/>
      <w:lvlJc w:val="left"/>
      <w:pPr>
        <w:ind w:left="2624" w:hanging="440"/>
      </w:pPr>
    </w:lvl>
    <w:lvl w:ilvl="5" w:tentative="0">
      <w:start w:val="1"/>
      <w:numFmt w:val="lowerRoman"/>
      <w:lvlText w:val="%6."/>
      <w:lvlJc w:val="right"/>
      <w:pPr>
        <w:ind w:left="3064" w:hanging="440"/>
      </w:pPr>
    </w:lvl>
    <w:lvl w:ilvl="6" w:tentative="0">
      <w:start w:val="1"/>
      <w:numFmt w:val="decimal"/>
      <w:lvlText w:val="%7."/>
      <w:lvlJc w:val="left"/>
      <w:pPr>
        <w:ind w:left="3504" w:hanging="440"/>
      </w:pPr>
    </w:lvl>
    <w:lvl w:ilvl="7" w:tentative="0">
      <w:start w:val="1"/>
      <w:numFmt w:val="lowerLetter"/>
      <w:lvlText w:val="%8)"/>
      <w:lvlJc w:val="left"/>
      <w:pPr>
        <w:ind w:left="3944" w:hanging="440"/>
      </w:pPr>
    </w:lvl>
    <w:lvl w:ilvl="8" w:tentative="0">
      <w:start w:val="1"/>
      <w:numFmt w:val="lowerRoman"/>
      <w:lvlText w:val="%9."/>
      <w:lvlJc w:val="right"/>
      <w:pPr>
        <w:ind w:left="4384" w:hanging="440"/>
      </w:pPr>
    </w:lvl>
  </w:abstractNum>
  <w:abstractNum w:abstractNumId="25">
    <w:nsid w:val="4B733A5F"/>
    <w:multiLevelType w:val="multilevel"/>
    <w:tmpl w:val="4B733A5F"/>
    <w:lvl w:ilvl="0" w:tentative="0">
      <w:start w:val="1"/>
      <w:numFmt w:val="decimal"/>
      <w:pStyle w:val="10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6">
    <w:nsid w:val="5CA5783D"/>
    <w:multiLevelType w:val="multilevel"/>
    <w:tmpl w:val="5CA5783D"/>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7">
    <w:nsid w:val="60B55DC2"/>
    <w:multiLevelType w:val="multilevel"/>
    <w:tmpl w:val="60B55DC2"/>
    <w:lvl w:ilvl="0" w:tentative="0">
      <w:start w:val="1"/>
      <w:numFmt w:val="upperLetter"/>
      <w:pStyle w:val="165"/>
      <w:lvlText w:val="%1"/>
      <w:lvlJc w:val="left"/>
      <w:pPr>
        <w:tabs>
          <w:tab w:val="left" w:pos="0"/>
        </w:tabs>
        <w:ind w:left="0" w:hanging="425"/>
      </w:pPr>
      <w:rPr>
        <w:rFonts w:hint="eastAsia"/>
      </w:rPr>
    </w:lvl>
    <w:lvl w:ilvl="1" w:tentative="0">
      <w:start w:val="1"/>
      <w:numFmt w:val="decimal"/>
      <w:pStyle w:val="7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135"/>
      <w:suff w:val="nothing"/>
      <w:lvlText w:val="表%1　"/>
      <w:lvlJc w:val="left"/>
      <w:pPr>
        <w:ind w:left="3545" w:firstLine="0"/>
      </w:pPr>
      <w:rPr>
        <w:rFonts w:hint="eastAsia" w:ascii="黑体" w:hAnsi="Times New Roman" w:eastAsia="黑体"/>
        <w:b w:val="0"/>
        <w:i w:val="0"/>
        <w:sz w:val="21"/>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1559"/>
        </w:tabs>
        <w:ind w:left="1559" w:hanging="708"/>
      </w:pPr>
      <w:rPr>
        <w:rFonts w:hint="eastAsia"/>
      </w:rPr>
    </w:lvl>
    <w:lvl w:ilvl="4" w:tentative="0">
      <w:start w:val="1"/>
      <w:numFmt w:val="decimal"/>
      <w:lvlText w:val="%1.%2.%3.%4.%5"/>
      <w:lvlJc w:val="left"/>
      <w:pPr>
        <w:tabs>
          <w:tab w:val="left" w:pos="2126"/>
        </w:tabs>
        <w:ind w:left="2126" w:hanging="850"/>
      </w:pPr>
      <w:rPr>
        <w:rFonts w:hint="eastAsia"/>
      </w:rPr>
    </w:lvl>
    <w:lvl w:ilvl="5" w:tentative="0">
      <w:start w:val="1"/>
      <w:numFmt w:val="decimal"/>
      <w:lvlText w:val="%1.%2.%3.%4.%5.%6"/>
      <w:lvlJc w:val="left"/>
      <w:pPr>
        <w:tabs>
          <w:tab w:val="left" w:pos="2835"/>
        </w:tabs>
        <w:ind w:left="2835" w:hanging="1134"/>
      </w:pPr>
      <w:rPr>
        <w:rFonts w:hint="eastAsia"/>
      </w:rPr>
    </w:lvl>
    <w:lvl w:ilvl="6" w:tentative="0">
      <w:start w:val="1"/>
      <w:numFmt w:val="decimal"/>
      <w:lvlText w:val="%1.%2.%3.%4.%5.%6.%7"/>
      <w:lvlJc w:val="left"/>
      <w:pPr>
        <w:tabs>
          <w:tab w:val="left" w:pos="3402"/>
        </w:tabs>
        <w:ind w:left="3402" w:hanging="1276"/>
      </w:pPr>
      <w:rPr>
        <w:rFonts w:hint="eastAsia"/>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29">
    <w:nsid w:val="657D3FBC"/>
    <w:multiLevelType w:val="multilevel"/>
    <w:tmpl w:val="657D3FBC"/>
    <w:lvl w:ilvl="0" w:tentative="0">
      <w:start w:val="1"/>
      <w:numFmt w:val="upperLetter"/>
      <w:pStyle w:val="163"/>
      <w:suff w:val="nothing"/>
      <w:lvlText w:val="附　录　%1"/>
      <w:lvlJc w:val="left"/>
      <w:pPr>
        <w:ind w:left="5104" w:firstLine="0"/>
      </w:pPr>
      <w:rPr>
        <w:rFonts w:hint="eastAsia" w:ascii="黑体" w:hAnsi="Times New Roman" w:eastAsia="黑体"/>
        <w:b w:val="0"/>
        <w:i w:val="0"/>
        <w:spacing w:val="0"/>
        <w:w w:val="100"/>
        <w:sz w:val="21"/>
      </w:rPr>
    </w:lvl>
    <w:lvl w:ilvl="1" w:tentative="0">
      <w:start w:val="1"/>
      <w:numFmt w:val="decimal"/>
      <w:pStyle w:val="125"/>
      <w:suff w:val="nothing"/>
      <w:lvlText w:val="%1.%2　"/>
      <w:lvlJc w:val="left"/>
      <w:pPr>
        <w:ind w:left="5104" w:firstLine="0"/>
      </w:pPr>
      <w:rPr>
        <w:rFonts w:hint="eastAsia" w:ascii="黑体" w:hAnsi="Times New Roman" w:eastAsia="黑体"/>
        <w:b w:val="0"/>
        <w:i w:val="0"/>
        <w:snapToGrid/>
        <w:spacing w:val="0"/>
        <w:w w:val="100"/>
        <w:kern w:val="21"/>
        <w:sz w:val="21"/>
      </w:rPr>
    </w:lvl>
    <w:lvl w:ilvl="2" w:tentative="0">
      <w:start w:val="1"/>
      <w:numFmt w:val="decimal"/>
      <w:pStyle w:val="139"/>
      <w:suff w:val="nothing"/>
      <w:lvlText w:val="%1.%2.%3　"/>
      <w:lvlJc w:val="left"/>
      <w:pPr>
        <w:ind w:left="5104" w:firstLine="0"/>
      </w:pPr>
      <w:rPr>
        <w:rFonts w:hint="eastAsia" w:ascii="黑体" w:hAnsi="Times New Roman" w:eastAsia="黑体"/>
        <w:b w:val="0"/>
        <w:i w:val="0"/>
        <w:sz w:val="21"/>
      </w:rPr>
    </w:lvl>
    <w:lvl w:ilvl="3" w:tentative="0">
      <w:start w:val="1"/>
      <w:numFmt w:val="decimal"/>
      <w:suff w:val="nothing"/>
      <w:lvlText w:val="%1.%2.%3.%4　"/>
      <w:lvlJc w:val="left"/>
      <w:pPr>
        <w:ind w:left="5104" w:firstLine="0"/>
      </w:pPr>
      <w:rPr>
        <w:rFonts w:hint="eastAsia" w:ascii="黑体" w:hAnsi="Times New Roman" w:eastAsia="黑体"/>
        <w:b w:val="0"/>
        <w:i w:val="0"/>
        <w:sz w:val="21"/>
      </w:rPr>
    </w:lvl>
    <w:lvl w:ilvl="4" w:tentative="0">
      <w:start w:val="1"/>
      <w:numFmt w:val="decimal"/>
      <w:suff w:val="nothing"/>
      <w:lvlText w:val="%1.%2.%3.%4.%5　"/>
      <w:lvlJc w:val="left"/>
      <w:pPr>
        <w:ind w:left="5104" w:firstLine="0"/>
      </w:pPr>
      <w:rPr>
        <w:rFonts w:hint="eastAsia" w:ascii="黑体" w:hAnsi="Times New Roman" w:eastAsia="黑体"/>
        <w:b w:val="0"/>
        <w:i w:val="0"/>
        <w:sz w:val="21"/>
      </w:rPr>
    </w:lvl>
    <w:lvl w:ilvl="5" w:tentative="0">
      <w:start w:val="1"/>
      <w:numFmt w:val="decimal"/>
      <w:suff w:val="nothing"/>
      <w:lvlText w:val="%1.%2.%3.%4.%5.%6　"/>
      <w:lvlJc w:val="left"/>
      <w:pPr>
        <w:ind w:left="5104" w:firstLine="0"/>
      </w:pPr>
      <w:rPr>
        <w:rFonts w:hint="eastAsia" w:ascii="黑体" w:hAnsi="Times New Roman" w:eastAsia="黑体"/>
        <w:b w:val="0"/>
        <w:i w:val="0"/>
        <w:sz w:val="21"/>
      </w:rPr>
    </w:lvl>
    <w:lvl w:ilvl="6" w:tentative="0">
      <w:start w:val="1"/>
      <w:numFmt w:val="decimal"/>
      <w:suff w:val="nothing"/>
      <w:lvlText w:val="%1.%2.%3.%4.%5.%6.%7　"/>
      <w:lvlJc w:val="left"/>
      <w:pPr>
        <w:ind w:left="5104" w:firstLine="0"/>
      </w:pPr>
      <w:rPr>
        <w:rFonts w:hint="eastAsia" w:ascii="黑体" w:hAnsi="Times New Roman" w:eastAsia="黑体"/>
        <w:b w:val="0"/>
        <w:i w:val="0"/>
        <w:sz w:val="21"/>
      </w:rPr>
    </w:lvl>
    <w:lvl w:ilvl="7" w:tentative="0">
      <w:start w:val="1"/>
      <w:numFmt w:val="decimal"/>
      <w:lvlText w:val="%1.%2.%3.%4.%5.%6.%7.%8"/>
      <w:lvlJc w:val="left"/>
      <w:pPr>
        <w:tabs>
          <w:tab w:val="left" w:pos="9498"/>
        </w:tabs>
        <w:ind w:left="9498" w:hanging="1418"/>
      </w:pPr>
      <w:rPr>
        <w:rFonts w:hint="eastAsia"/>
      </w:rPr>
    </w:lvl>
    <w:lvl w:ilvl="8" w:tentative="0">
      <w:start w:val="1"/>
      <w:numFmt w:val="decimal"/>
      <w:lvlText w:val="%1.%2.%3.%4.%5.%6.%7.%8.%9"/>
      <w:lvlJc w:val="left"/>
      <w:pPr>
        <w:tabs>
          <w:tab w:val="left" w:pos="10206"/>
        </w:tabs>
        <w:ind w:left="10206" w:hanging="1700"/>
      </w:pPr>
      <w:rPr>
        <w:rFonts w:hint="eastAsia"/>
      </w:rPr>
    </w:lvl>
  </w:abstractNum>
  <w:abstractNum w:abstractNumId="30">
    <w:nsid w:val="6CF6556A"/>
    <w:multiLevelType w:val="multilevel"/>
    <w:tmpl w:val="6CF6556A"/>
    <w:lvl w:ilvl="0" w:tentative="0">
      <w:start w:val="1"/>
      <w:numFmt w:val="lowerLetter"/>
      <w:lvlText w:val="%1)"/>
      <w:lvlJc w:val="left"/>
      <w:pPr>
        <w:ind w:left="650" w:hanging="440"/>
      </w:pPr>
    </w:lvl>
    <w:lvl w:ilvl="1" w:tentative="0">
      <w:start w:val="1"/>
      <w:numFmt w:val="upperRoman"/>
      <w:lvlText w:val="%2."/>
      <w:lvlJc w:val="left"/>
      <w:pPr>
        <w:ind w:left="1370" w:hanging="720"/>
      </w:pPr>
      <w:rPr>
        <w:rFonts w:hint="default"/>
      </w:r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31">
    <w:nsid w:val="6D6C07CD"/>
    <w:multiLevelType w:val="multilevel"/>
    <w:tmpl w:val="6D6C07CD"/>
    <w:lvl w:ilvl="0" w:tentative="0">
      <w:start w:val="1"/>
      <w:numFmt w:val="lowerLetter"/>
      <w:pStyle w:val="99"/>
      <w:lvlText w:val="%1)"/>
      <w:lvlJc w:val="left"/>
      <w:pPr>
        <w:tabs>
          <w:tab w:val="left" w:pos="839"/>
        </w:tabs>
        <w:ind w:left="839" w:hanging="419"/>
      </w:pPr>
      <w:rPr>
        <w:rFonts w:hint="eastAsia" w:ascii="宋体" w:eastAsia="宋体"/>
        <w:b w:val="0"/>
        <w:i w:val="0"/>
        <w:sz w:val="21"/>
      </w:rPr>
    </w:lvl>
    <w:lvl w:ilvl="1" w:tentative="0">
      <w:start w:val="1"/>
      <w:numFmt w:val="decimal"/>
      <w:pStyle w:val="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6DBF04F4"/>
    <w:multiLevelType w:val="multilevel"/>
    <w:tmpl w:val="6DBF04F4"/>
    <w:lvl w:ilvl="0" w:tentative="0">
      <w:start w:val="1"/>
      <w:numFmt w:val="none"/>
      <w:pStyle w:val="9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2"/>
  </w:num>
  <w:num w:numId="2">
    <w:abstractNumId w:val="4"/>
  </w:num>
  <w:num w:numId="3">
    <w:abstractNumId w:val="27"/>
  </w:num>
  <w:num w:numId="4">
    <w:abstractNumId w:val="16"/>
  </w:num>
  <w:num w:numId="5">
    <w:abstractNumId w:val="3"/>
  </w:num>
  <w:num w:numId="6">
    <w:abstractNumId w:val="12"/>
  </w:num>
  <w:num w:numId="7">
    <w:abstractNumId w:val="31"/>
  </w:num>
  <w:num w:numId="8">
    <w:abstractNumId w:val="1"/>
  </w:num>
  <w:num w:numId="9">
    <w:abstractNumId w:val="32"/>
  </w:num>
  <w:num w:numId="10">
    <w:abstractNumId w:val="23"/>
  </w:num>
  <w:num w:numId="11">
    <w:abstractNumId w:val="25"/>
  </w:num>
  <w:num w:numId="12">
    <w:abstractNumId w:val="18"/>
  </w:num>
  <w:num w:numId="13">
    <w:abstractNumId w:val="5"/>
  </w:num>
  <w:num w:numId="14">
    <w:abstractNumId w:val="29"/>
  </w:num>
  <w:num w:numId="15">
    <w:abstractNumId w:val="7"/>
  </w:num>
  <w:num w:numId="16">
    <w:abstractNumId w:val="6"/>
  </w:num>
  <w:num w:numId="17">
    <w:abstractNumId w:val="28"/>
  </w:num>
  <w:num w:numId="18">
    <w:abstractNumId w:val="13"/>
  </w:num>
  <w:num w:numId="19">
    <w:abstractNumId w:val="11"/>
  </w:num>
  <w:num w:numId="20">
    <w:abstractNumId w:val="8"/>
  </w:num>
  <w:num w:numId="21">
    <w:abstractNumId w:val="10"/>
  </w:num>
  <w:num w:numId="22">
    <w:abstractNumId w:val="17"/>
  </w:num>
  <w:num w:numId="23">
    <w:abstractNumId w:val="30"/>
  </w:num>
  <w:num w:numId="24">
    <w:abstractNumId w:val="15"/>
  </w:num>
  <w:num w:numId="25">
    <w:abstractNumId w:val="14"/>
  </w:num>
  <w:num w:numId="26">
    <w:abstractNumId w:val="26"/>
  </w:num>
  <w:num w:numId="27">
    <w:abstractNumId w:val="9"/>
  </w:num>
  <w:num w:numId="28">
    <w:abstractNumId w:val="19"/>
  </w:num>
  <w:num w:numId="29">
    <w:abstractNumId w:val="2"/>
  </w:num>
  <w:num w:numId="30">
    <w:abstractNumId w:val="24"/>
  </w:num>
  <w:num w:numId="31">
    <w:abstractNumId w:val="21"/>
  </w:num>
  <w:num w:numId="32">
    <w:abstractNumId w:val="20"/>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2YWZmYjAxZGI5OWE1YmY0NjU5NGRjMDk1MTYzZjcifQ=="/>
  </w:docVars>
  <w:rsids>
    <w:rsidRoot w:val="00172A27"/>
    <w:rsid w:val="00000244"/>
    <w:rsid w:val="00000B48"/>
    <w:rsid w:val="00001770"/>
    <w:rsid w:val="0000185F"/>
    <w:rsid w:val="000018C3"/>
    <w:rsid w:val="00002E1F"/>
    <w:rsid w:val="00002F72"/>
    <w:rsid w:val="0000586F"/>
    <w:rsid w:val="00005B14"/>
    <w:rsid w:val="000106B5"/>
    <w:rsid w:val="00010B72"/>
    <w:rsid w:val="00011526"/>
    <w:rsid w:val="000121CB"/>
    <w:rsid w:val="00013D86"/>
    <w:rsid w:val="00013E02"/>
    <w:rsid w:val="00013E7A"/>
    <w:rsid w:val="00015850"/>
    <w:rsid w:val="00016798"/>
    <w:rsid w:val="00016E03"/>
    <w:rsid w:val="0002041F"/>
    <w:rsid w:val="0002143C"/>
    <w:rsid w:val="000251C6"/>
    <w:rsid w:val="00025A65"/>
    <w:rsid w:val="00026671"/>
    <w:rsid w:val="0002668A"/>
    <w:rsid w:val="00026A40"/>
    <w:rsid w:val="00026B79"/>
    <w:rsid w:val="00026C31"/>
    <w:rsid w:val="00026F9F"/>
    <w:rsid w:val="00027280"/>
    <w:rsid w:val="00030153"/>
    <w:rsid w:val="000307FF"/>
    <w:rsid w:val="00030CAB"/>
    <w:rsid w:val="00031781"/>
    <w:rsid w:val="00031E7E"/>
    <w:rsid w:val="000320A7"/>
    <w:rsid w:val="0003288F"/>
    <w:rsid w:val="00032953"/>
    <w:rsid w:val="0003319C"/>
    <w:rsid w:val="00034CC1"/>
    <w:rsid w:val="000355C5"/>
    <w:rsid w:val="00035925"/>
    <w:rsid w:val="00037CF1"/>
    <w:rsid w:val="00037D33"/>
    <w:rsid w:val="000404F7"/>
    <w:rsid w:val="0004058C"/>
    <w:rsid w:val="000408F7"/>
    <w:rsid w:val="00041132"/>
    <w:rsid w:val="0004201D"/>
    <w:rsid w:val="000425DA"/>
    <w:rsid w:val="000427DF"/>
    <w:rsid w:val="00043107"/>
    <w:rsid w:val="00044124"/>
    <w:rsid w:val="0004448D"/>
    <w:rsid w:val="00045C48"/>
    <w:rsid w:val="00045DC4"/>
    <w:rsid w:val="00046542"/>
    <w:rsid w:val="000472B7"/>
    <w:rsid w:val="00050044"/>
    <w:rsid w:val="00052BAD"/>
    <w:rsid w:val="00053CFB"/>
    <w:rsid w:val="00053F54"/>
    <w:rsid w:val="000544ED"/>
    <w:rsid w:val="000547C5"/>
    <w:rsid w:val="00054930"/>
    <w:rsid w:val="00055983"/>
    <w:rsid w:val="0005685E"/>
    <w:rsid w:val="00056991"/>
    <w:rsid w:val="0006040C"/>
    <w:rsid w:val="00061D1D"/>
    <w:rsid w:val="00061D27"/>
    <w:rsid w:val="0006213A"/>
    <w:rsid w:val="00062A0C"/>
    <w:rsid w:val="000636F0"/>
    <w:rsid w:val="00064281"/>
    <w:rsid w:val="000642F4"/>
    <w:rsid w:val="00064803"/>
    <w:rsid w:val="00064F28"/>
    <w:rsid w:val="0006513B"/>
    <w:rsid w:val="000655E1"/>
    <w:rsid w:val="000657C1"/>
    <w:rsid w:val="000659B2"/>
    <w:rsid w:val="00065A1E"/>
    <w:rsid w:val="0006641F"/>
    <w:rsid w:val="000677E1"/>
    <w:rsid w:val="00067CDF"/>
    <w:rsid w:val="00070036"/>
    <w:rsid w:val="00070E79"/>
    <w:rsid w:val="000725BC"/>
    <w:rsid w:val="00073553"/>
    <w:rsid w:val="00074278"/>
    <w:rsid w:val="00074FBE"/>
    <w:rsid w:val="000769B9"/>
    <w:rsid w:val="000773C3"/>
    <w:rsid w:val="000775D4"/>
    <w:rsid w:val="00080101"/>
    <w:rsid w:val="000815A1"/>
    <w:rsid w:val="000815D1"/>
    <w:rsid w:val="000829FC"/>
    <w:rsid w:val="00082A3E"/>
    <w:rsid w:val="00082C65"/>
    <w:rsid w:val="00082D2F"/>
    <w:rsid w:val="00083A09"/>
    <w:rsid w:val="00083C59"/>
    <w:rsid w:val="000844F7"/>
    <w:rsid w:val="000860DC"/>
    <w:rsid w:val="00087701"/>
    <w:rsid w:val="00087F85"/>
    <w:rsid w:val="0009001C"/>
    <w:rsid w:val="0009005E"/>
    <w:rsid w:val="00090369"/>
    <w:rsid w:val="0009130A"/>
    <w:rsid w:val="00092857"/>
    <w:rsid w:val="0009288E"/>
    <w:rsid w:val="00092CC1"/>
    <w:rsid w:val="000931D1"/>
    <w:rsid w:val="00093BEB"/>
    <w:rsid w:val="00093DCF"/>
    <w:rsid w:val="0009414C"/>
    <w:rsid w:val="00094794"/>
    <w:rsid w:val="00095395"/>
    <w:rsid w:val="00095709"/>
    <w:rsid w:val="00096F01"/>
    <w:rsid w:val="000A0E8C"/>
    <w:rsid w:val="000A124E"/>
    <w:rsid w:val="000A13FE"/>
    <w:rsid w:val="000A1D29"/>
    <w:rsid w:val="000A20A9"/>
    <w:rsid w:val="000A30F0"/>
    <w:rsid w:val="000A395E"/>
    <w:rsid w:val="000A48B1"/>
    <w:rsid w:val="000A4DD6"/>
    <w:rsid w:val="000A4F53"/>
    <w:rsid w:val="000A75DA"/>
    <w:rsid w:val="000A764B"/>
    <w:rsid w:val="000A7CBE"/>
    <w:rsid w:val="000A7EED"/>
    <w:rsid w:val="000B01A5"/>
    <w:rsid w:val="000B1C9B"/>
    <w:rsid w:val="000B3143"/>
    <w:rsid w:val="000B3D03"/>
    <w:rsid w:val="000B3E11"/>
    <w:rsid w:val="000B46D9"/>
    <w:rsid w:val="000B55CF"/>
    <w:rsid w:val="000B57C4"/>
    <w:rsid w:val="000B629A"/>
    <w:rsid w:val="000B66CE"/>
    <w:rsid w:val="000B6797"/>
    <w:rsid w:val="000C1762"/>
    <w:rsid w:val="000C1B21"/>
    <w:rsid w:val="000C2EF5"/>
    <w:rsid w:val="000C320A"/>
    <w:rsid w:val="000C320C"/>
    <w:rsid w:val="000C4996"/>
    <w:rsid w:val="000C4EBB"/>
    <w:rsid w:val="000C5A16"/>
    <w:rsid w:val="000C6849"/>
    <w:rsid w:val="000C6B05"/>
    <w:rsid w:val="000C6DD6"/>
    <w:rsid w:val="000C72E4"/>
    <w:rsid w:val="000C73D4"/>
    <w:rsid w:val="000C7BD2"/>
    <w:rsid w:val="000D153B"/>
    <w:rsid w:val="000D1861"/>
    <w:rsid w:val="000D1D8D"/>
    <w:rsid w:val="000D20FC"/>
    <w:rsid w:val="000D2CF3"/>
    <w:rsid w:val="000D3D4C"/>
    <w:rsid w:val="000D4F51"/>
    <w:rsid w:val="000D5C75"/>
    <w:rsid w:val="000D5F44"/>
    <w:rsid w:val="000D6201"/>
    <w:rsid w:val="000D718B"/>
    <w:rsid w:val="000D7660"/>
    <w:rsid w:val="000D7D1F"/>
    <w:rsid w:val="000E0C46"/>
    <w:rsid w:val="000E1F31"/>
    <w:rsid w:val="000E1FA5"/>
    <w:rsid w:val="000E32D8"/>
    <w:rsid w:val="000E4105"/>
    <w:rsid w:val="000E468E"/>
    <w:rsid w:val="000E4A89"/>
    <w:rsid w:val="000E555C"/>
    <w:rsid w:val="000E6E3D"/>
    <w:rsid w:val="000E71D9"/>
    <w:rsid w:val="000E7230"/>
    <w:rsid w:val="000E73BF"/>
    <w:rsid w:val="000F030C"/>
    <w:rsid w:val="000F129C"/>
    <w:rsid w:val="000F1B61"/>
    <w:rsid w:val="000F2157"/>
    <w:rsid w:val="000F2A24"/>
    <w:rsid w:val="000F35E5"/>
    <w:rsid w:val="000F5A75"/>
    <w:rsid w:val="000F7388"/>
    <w:rsid w:val="000F7441"/>
    <w:rsid w:val="000F7998"/>
    <w:rsid w:val="000F7DEC"/>
    <w:rsid w:val="001019BA"/>
    <w:rsid w:val="00101DE4"/>
    <w:rsid w:val="00101E29"/>
    <w:rsid w:val="00102AB8"/>
    <w:rsid w:val="001036E0"/>
    <w:rsid w:val="00103B7B"/>
    <w:rsid w:val="00104B7D"/>
    <w:rsid w:val="001056DE"/>
    <w:rsid w:val="0010591E"/>
    <w:rsid w:val="001059A3"/>
    <w:rsid w:val="001070BE"/>
    <w:rsid w:val="00107B0F"/>
    <w:rsid w:val="00107DAB"/>
    <w:rsid w:val="0011020F"/>
    <w:rsid w:val="00111C6D"/>
    <w:rsid w:val="001124C0"/>
    <w:rsid w:val="00112CAF"/>
    <w:rsid w:val="00112E98"/>
    <w:rsid w:val="001133DD"/>
    <w:rsid w:val="00113491"/>
    <w:rsid w:val="0011441B"/>
    <w:rsid w:val="001147DD"/>
    <w:rsid w:val="001153EA"/>
    <w:rsid w:val="00115B90"/>
    <w:rsid w:val="001164C1"/>
    <w:rsid w:val="001169A1"/>
    <w:rsid w:val="00117B09"/>
    <w:rsid w:val="00120081"/>
    <w:rsid w:val="00121A62"/>
    <w:rsid w:val="001224F5"/>
    <w:rsid w:val="0012277B"/>
    <w:rsid w:val="00122A50"/>
    <w:rsid w:val="00122B66"/>
    <w:rsid w:val="00123CA2"/>
    <w:rsid w:val="001246F2"/>
    <w:rsid w:val="0012484E"/>
    <w:rsid w:val="001251C4"/>
    <w:rsid w:val="00126047"/>
    <w:rsid w:val="001274CB"/>
    <w:rsid w:val="00127739"/>
    <w:rsid w:val="0013022A"/>
    <w:rsid w:val="00130608"/>
    <w:rsid w:val="00130C43"/>
    <w:rsid w:val="0013175F"/>
    <w:rsid w:val="0013211A"/>
    <w:rsid w:val="00133005"/>
    <w:rsid w:val="0013334B"/>
    <w:rsid w:val="00133412"/>
    <w:rsid w:val="001346EB"/>
    <w:rsid w:val="001359D8"/>
    <w:rsid w:val="001364F9"/>
    <w:rsid w:val="00137177"/>
    <w:rsid w:val="00137FEC"/>
    <w:rsid w:val="00140708"/>
    <w:rsid w:val="00140FE7"/>
    <w:rsid w:val="001440A5"/>
    <w:rsid w:val="00144CF4"/>
    <w:rsid w:val="00144DFA"/>
    <w:rsid w:val="001451FF"/>
    <w:rsid w:val="00145D12"/>
    <w:rsid w:val="00145D80"/>
    <w:rsid w:val="00147489"/>
    <w:rsid w:val="001508F0"/>
    <w:rsid w:val="001512B4"/>
    <w:rsid w:val="00151A8B"/>
    <w:rsid w:val="001532C3"/>
    <w:rsid w:val="00153966"/>
    <w:rsid w:val="00153ED5"/>
    <w:rsid w:val="00154F71"/>
    <w:rsid w:val="00155ADC"/>
    <w:rsid w:val="00156129"/>
    <w:rsid w:val="00156D10"/>
    <w:rsid w:val="00156D19"/>
    <w:rsid w:val="00157572"/>
    <w:rsid w:val="00157A31"/>
    <w:rsid w:val="001608BC"/>
    <w:rsid w:val="00160906"/>
    <w:rsid w:val="001618D4"/>
    <w:rsid w:val="00161F74"/>
    <w:rsid w:val="001620A5"/>
    <w:rsid w:val="0016370C"/>
    <w:rsid w:val="00164738"/>
    <w:rsid w:val="00164E53"/>
    <w:rsid w:val="00165256"/>
    <w:rsid w:val="0016699D"/>
    <w:rsid w:val="001670D8"/>
    <w:rsid w:val="001675B8"/>
    <w:rsid w:val="001716BD"/>
    <w:rsid w:val="00171D21"/>
    <w:rsid w:val="00172A27"/>
    <w:rsid w:val="00173DA8"/>
    <w:rsid w:val="001744BE"/>
    <w:rsid w:val="001745DD"/>
    <w:rsid w:val="00175159"/>
    <w:rsid w:val="00175C82"/>
    <w:rsid w:val="00176208"/>
    <w:rsid w:val="00177546"/>
    <w:rsid w:val="001778CF"/>
    <w:rsid w:val="001820F0"/>
    <w:rsid w:val="0018211B"/>
    <w:rsid w:val="00182872"/>
    <w:rsid w:val="00183740"/>
    <w:rsid w:val="00183938"/>
    <w:rsid w:val="00183D3E"/>
    <w:rsid w:val="001840D3"/>
    <w:rsid w:val="00184FE3"/>
    <w:rsid w:val="0018614A"/>
    <w:rsid w:val="00186309"/>
    <w:rsid w:val="001864DD"/>
    <w:rsid w:val="00187A9D"/>
    <w:rsid w:val="00187C39"/>
    <w:rsid w:val="00187C83"/>
    <w:rsid w:val="00187C8B"/>
    <w:rsid w:val="00187E63"/>
    <w:rsid w:val="001900F8"/>
    <w:rsid w:val="001903B4"/>
    <w:rsid w:val="001910B7"/>
    <w:rsid w:val="00191258"/>
    <w:rsid w:val="00192223"/>
    <w:rsid w:val="00192248"/>
    <w:rsid w:val="00192344"/>
    <w:rsid w:val="0019249C"/>
    <w:rsid w:val="00192680"/>
    <w:rsid w:val="00192691"/>
    <w:rsid w:val="00193037"/>
    <w:rsid w:val="00193A2C"/>
    <w:rsid w:val="00193AAC"/>
    <w:rsid w:val="00193E0E"/>
    <w:rsid w:val="001949DA"/>
    <w:rsid w:val="00195C4B"/>
    <w:rsid w:val="00196008"/>
    <w:rsid w:val="001A0404"/>
    <w:rsid w:val="001A23D8"/>
    <w:rsid w:val="001A245F"/>
    <w:rsid w:val="001A24DF"/>
    <w:rsid w:val="001A26F2"/>
    <w:rsid w:val="001A288E"/>
    <w:rsid w:val="001A43B1"/>
    <w:rsid w:val="001A46E8"/>
    <w:rsid w:val="001A4AEC"/>
    <w:rsid w:val="001A4B48"/>
    <w:rsid w:val="001A53A4"/>
    <w:rsid w:val="001A5557"/>
    <w:rsid w:val="001A56C7"/>
    <w:rsid w:val="001A6B56"/>
    <w:rsid w:val="001A749A"/>
    <w:rsid w:val="001B0AE1"/>
    <w:rsid w:val="001B10F4"/>
    <w:rsid w:val="001B2244"/>
    <w:rsid w:val="001B2601"/>
    <w:rsid w:val="001B344D"/>
    <w:rsid w:val="001B3473"/>
    <w:rsid w:val="001B3DCF"/>
    <w:rsid w:val="001B4678"/>
    <w:rsid w:val="001B55E2"/>
    <w:rsid w:val="001B5905"/>
    <w:rsid w:val="001B6DC2"/>
    <w:rsid w:val="001B70FE"/>
    <w:rsid w:val="001B7F56"/>
    <w:rsid w:val="001C0142"/>
    <w:rsid w:val="001C0325"/>
    <w:rsid w:val="001C149C"/>
    <w:rsid w:val="001C21AC"/>
    <w:rsid w:val="001C2832"/>
    <w:rsid w:val="001C3458"/>
    <w:rsid w:val="001C3A06"/>
    <w:rsid w:val="001C4786"/>
    <w:rsid w:val="001C47BA"/>
    <w:rsid w:val="001C4DF6"/>
    <w:rsid w:val="001C4F10"/>
    <w:rsid w:val="001C59EA"/>
    <w:rsid w:val="001C6A75"/>
    <w:rsid w:val="001D0252"/>
    <w:rsid w:val="001D0354"/>
    <w:rsid w:val="001D107B"/>
    <w:rsid w:val="001D140E"/>
    <w:rsid w:val="001D25AC"/>
    <w:rsid w:val="001D2F3D"/>
    <w:rsid w:val="001D31BC"/>
    <w:rsid w:val="001D358B"/>
    <w:rsid w:val="001D3EF2"/>
    <w:rsid w:val="001D406C"/>
    <w:rsid w:val="001D41EE"/>
    <w:rsid w:val="001D5092"/>
    <w:rsid w:val="001D5783"/>
    <w:rsid w:val="001D65E1"/>
    <w:rsid w:val="001D7D70"/>
    <w:rsid w:val="001E0380"/>
    <w:rsid w:val="001E13B1"/>
    <w:rsid w:val="001E374B"/>
    <w:rsid w:val="001E4113"/>
    <w:rsid w:val="001E46F1"/>
    <w:rsid w:val="001E4D3A"/>
    <w:rsid w:val="001E5CCD"/>
    <w:rsid w:val="001E6F07"/>
    <w:rsid w:val="001E70BF"/>
    <w:rsid w:val="001E7ECB"/>
    <w:rsid w:val="001F186E"/>
    <w:rsid w:val="001F2378"/>
    <w:rsid w:val="001F28A4"/>
    <w:rsid w:val="001F34D2"/>
    <w:rsid w:val="001F3A19"/>
    <w:rsid w:val="001F4578"/>
    <w:rsid w:val="001F5A3B"/>
    <w:rsid w:val="001F6205"/>
    <w:rsid w:val="001F6B5A"/>
    <w:rsid w:val="00200412"/>
    <w:rsid w:val="002016D1"/>
    <w:rsid w:val="0020199D"/>
    <w:rsid w:val="002023B0"/>
    <w:rsid w:val="0020244D"/>
    <w:rsid w:val="00204A07"/>
    <w:rsid w:val="00205539"/>
    <w:rsid w:val="00206087"/>
    <w:rsid w:val="00210457"/>
    <w:rsid w:val="002107D8"/>
    <w:rsid w:val="00210C25"/>
    <w:rsid w:val="00214494"/>
    <w:rsid w:val="0021550C"/>
    <w:rsid w:val="00215657"/>
    <w:rsid w:val="00215D83"/>
    <w:rsid w:val="0021725F"/>
    <w:rsid w:val="00217A45"/>
    <w:rsid w:val="002206D3"/>
    <w:rsid w:val="00221386"/>
    <w:rsid w:val="002215AA"/>
    <w:rsid w:val="00221A21"/>
    <w:rsid w:val="00221F68"/>
    <w:rsid w:val="002239C7"/>
    <w:rsid w:val="00223C67"/>
    <w:rsid w:val="0022400B"/>
    <w:rsid w:val="00224A8A"/>
    <w:rsid w:val="00224AB0"/>
    <w:rsid w:val="00224CC9"/>
    <w:rsid w:val="002255AA"/>
    <w:rsid w:val="00226168"/>
    <w:rsid w:val="0022679E"/>
    <w:rsid w:val="00227013"/>
    <w:rsid w:val="0022723C"/>
    <w:rsid w:val="00227788"/>
    <w:rsid w:val="00230B84"/>
    <w:rsid w:val="00231577"/>
    <w:rsid w:val="0023249E"/>
    <w:rsid w:val="002336F5"/>
    <w:rsid w:val="00233E2A"/>
    <w:rsid w:val="00234055"/>
    <w:rsid w:val="00234467"/>
    <w:rsid w:val="00234C4B"/>
    <w:rsid w:val="00235584"/>
    <w:rsid w:val="00235F0E"/>
    <w:rsid w:val="00236623"/>
    <w:rsid w:val="00237D8D"/>
    <w:rsid w:val="00240E17"/>
    <w:rsid w:val="00240E29"/>
    <w:rsid w:val="0024165B"/>
    <w:rsid w:val="00241DA2"/>
    <w:rsid w:val="00242D66"/>
    <w:rsid w:val="00243B68"/>
    <w:rsid w:val="00243E09"/>
    <w:rsid w:val="0024420D"/>
    <w:rsid w:val="002443F4"/>
    <w:rsid w:val="00244EB6"/>
    <w:rsid w:val="00245310"/>
    <w:rsid w:val="00246C78"/>
    <w:rsid w:val="00247D26"/>
    <w:rsid w:val="00247FEE"/>
    <w:rsid w:val="00250E7D"/>
    <w:rsid w:val="00252627"/>
    <w:rsid w:val="002530E8"/>
    <w:rsid w:val="00254C76"/>
    <w:rsid w:val="0025530A"/>
    <w:rsid w:val="00255412"/>
    <w:rsid w:val="0025621D"/>
    <w:rsid w:val="002564FA"/>
    <w:rsid w:val="002565D5"/>
    <w:rsid w:val="002566AF"/>
    <w:rsid w:val="0025764B"/>
    <w:rsid w:val="00260230"/>
    <w:rsid w:val="002622C0"/>
    <w:rsid w:val="002627A2"/>
    <w:rsid w:val="00262A1C"/>
    <w:rsid w:val="00263B06"/>
    <w:rsid w:val="002654D1"/>
    <w:rsid w:val="00265C0D"/>
    <w:rsid w:val="002661C7"/>
    <w:rsid w:val="00266384"/>
    <w:rsid w:val="002671F3"/>
    <w:rsid w:val="00267BC4"/>
    <w:rsid w:val="00267D0A"/>
    <w:rsid w:val="00270273"/>
    <w:rsid w:val="002729C2"/>
    <w:rsid w:val="00272E4D"/>
    <w:rsid w:val="00276450"/>
    <w:rsid w:val="0027718F"/>
    <w:rsid w:val="002776A7"/>
    <w:rsid w:val="002778AE"/>
    <w:rsid w:val="002805E8"/>
    <w:rsid w:val="0028077F"/>
    <w:rsid w:val="00280B7A"/>
    <w:rsid w:val="0028269A"/>
    <w:rsid w:val="00283590"/>
    <w:rsid w:val="00283A03"/>
    <w:rsid w:val="002844BC"/>
    <w:rsid w:val="00285E75"/>
    <w:rsid w:val="002860DF"/>
    <w:rsid w:val="00286504"/>
    <w:rsid w:val="00286973"/>
    <w:rsid w:val="002870D8"/>
    <w:rsid w:val="00287AD4"/>
    <w:rsid w:val="00290766"/>
    <w:rsid w:val="002908F6"/>
    <w:rsid w:val="00290E37"/>
    <w:rsid w:val="00291E83"/>
    <w:rsid w:val="00292EB8"/>
    <w:rsid w:val="0029480F"/>
    <w:rsid w:val="00294E70"/>
    <w:rsid w:val="002955E7"/>
    <w:rsid w:val="002956EC"/>
    <w:rsid w:val="002960F0"/>
    <w:rsid w:val="00296EEB"/>
    <w:rsid w:val="0029704D"/>
    <w:rsid w:val="002973E1"/>
    <w:rsid w:val="002979B8"/>
    <w:rsid w:val="002A088F"/>
    <w:rsid w:val="002A0FC1"/>
    <w:rsid w:val="002A1623"/>
    <w:rsid w:val="002A1924"/>
    <w:rsid w:val="002A1D1A"/>
    <w:rsid w:val="002A31F7"/>
    <w:rsid w:val="002A32B2"/>
    <w:rsid w:val="002A3A3A"/>
    <w:rsid w:val="002A4C8E"/>
    <w:rsid w:val="002A60B5"/>
    <w:rsid w:val="002A7420"/>
    <w:rsid w:val="002A7449"/>
    <w:rsid w:val="002A7804"/>
    <w:rsid w:val="002B09B0"/>
    <w:rsid w:val="002B0F12"/>
    <w:rsid w:val="002B1259"/>
    <w:rsid w:val="002B1308"/>
    <w:rsid w:val="002B1452"/>
    <w:rsid w:val="002B1F9A"/>
    <w:rsid w:val="002B238F"/>
    <w:rsid w:val="002B3348"/>
    <w:rsid w:val="002B4554"/>
    <w:rsid w:val="002B5596"/>
    <w:rsid w:val="002B60B8"/>
    <w:rsid w:val="002B6292"/>
    <w:rsid w:val="002C02D2"/>
    <w:rsid w:val="002C0667"/>
    <w:rsid w:val="002C23F4"/>
    <w:rsid w:val="002C3208"/>
    <w:rsid w:val="002C356B"/>
    <w:rsid w:val="002C35BA"/>
    <w:rsid w:val="002C3AD8"/>
    <w:rsid w:val="002C4312"/>
    <w:rsid w:val="002C43D0"/>
    <w:rsid w:val="002C4750"/>
    <w:rsid w:val="002C50C4"/>
    <w:rsid w:val="002C68AC"/>
    <w:rsid w:val="002C71D5"/>
    <w:rsid w:val="002C72D8"/>
    <w:rsid w:val="002C7785"/>
    <w:rsid w:val="002D05E0"/>
    <w:rsid w:val="002D091B"/>
    <w:rsid w:val="002D11FA"/>
    <w:rsid w:val="002D18B0"/>
    <w:rsid w:val="002D22CB"/>
    <w:rsid w:val="002D312E"/>
    <w:rsid w:val="002D33EF"/>
    <w:rsid w:val="002D40A2"/>
    <w:rsid w:val="002D48EE"/>
    <w:rsid w:val="002D5133"/>
    <w:rsid w:val="002D53DC"/>
    <w:rsid w:val="002D5BA4"/>
    <w:rsid w:val="002D5CF6"/>
    <w:rsid w:val="002D7BE9"/>
    <w:rsid w:val="002E0389"/>
    <w:rsid w:val="002E072B"/>
    <w:rsid w:val="002E0C8D"/>
    <w:rsid w:val="002E0DDF"/>
    <w:rsid w:val="002E2297"/>
    <w:rsid w:val="002E2508"/>
    <w:rsid w:val="002E2906"/>
    <w:rsid w:val="002E2BD8"/>
    <w:rsid w:val="002E3421"/>
    <w:rsid w:val="002E363B"/>
    <w:rsid w:val="002E5635"/>
    <w:rsid w:val="002E5A5F"/>
    <w:rsid w:val="002E5EEA"/>
    <w:rsid w:val="002E6418"/>
    <w:rsid w:val="002E64C3"/>
    <w:rsid w:val="002E6A2C"/>
    <w:rsid w:val="002E6DB5"/>
    <w:rsid w:val="002E70F3"/>
    <w:rsid w:val="002E7AF4"/>
    <w:rsid w:val="002F02B6"/>
    <w:rsid w:val="002F11A3"/>
    <w:rsid w:val="002F1D8C"/>
    <w:rsid w:val="002F21DA"/>
    <w:rsid w:val="002F2A42"/>
    <w:rsid w:val="002F33CE"/>
    <w:rsid w:val="002F4240"/>
    <w:rsid w:val="002F46F5"/>
    <w:rsid w:val="002F4D04"/>
    <w:rsid w:val="002F4D16"/>
    <w:rsid w:val="002F6D1A"/>
    <w:rsid w:val="002F798D"/>
    <w:rsid w:val="002F7D15"/>
    <w:rsid w:val="002F7E71"/>
    <w:rsid w:val="00300A25"/>
    <w:rsid w:val="00301B3A"/>
    <w:rsid w:val="00301F39"/>
    <w:rsid w:val="00302FF0"/>
    <w:rsid w:val="00303035"/>
    <w:rsid w:val="00303F57"/>
    <w:rsid w:val="003049B8"/>
    <w:rsid w:val="0030534F"/>
    <w:rsid w:val="00305372"/>
    <w:rsid w:val="003056BD"/>
    <w:rsid w:val="00310CE6"/>
    <w:rsid w:val="003114B1"/>
    <w:rsid w:val="00311C66"/>
    <w:rsid w:val="003123F0"/>
    <w:rsid w:val="00312739"/>
    <w:rsid w:val="00312C68"/>
    <w:rsid w:val="00312F40"/>
    <w:rsid w:val="00313A32"/>
    <w:rsid w:val="00313C28"/>
    <w:rsid w:val="003151EA"/>
    <w:rsid w:val="003156F4"/>
    <w:rsid w:val="0031598D"/>
    <w:rsid w:val="00316B8C"/>
    <w:rsid w:val="00317F20"/>
    <w:rsid w:val="0032076B"/>
    <w:rsid w:val="0032151A"/>
    <w:rsid w:val="00323859"/>
    <w:rsid w:val="0032446C"/>
    <w:rsid w:val="003245EA"/>
    <w:rsid w:val="00325926"/>
    <w:rsid w:val="003262B0"/>
    <w:rsid w:val="0032635C"/>
    <w:rsid w:val="00326504"/>
    <w:rsid w:val="003270D7"/>
    <w:rsid w:val="00327261"/>
    <w:rsid w:val="00327A8A"/>
    <w:rsid w:val="00330F5B"/>
    <w:rsid w:val="003314F4"/>
    <w:rsid w:val="0033294E"/>
    <w:rsid w:val="0033304E"/>
    <w:rsid w:val="003331E2"/>
    <w:rsid w:val="003332B3"/>
    <w:rsid w:val="00333406"/>
    <w:rsid w:val="0033482A"/>
    <w:rsid w:val="00334963"/>
    <w:rsid w:val="00334A92"/>
    <w:rsid w:val="003356C3"/>
    <w:rsid w:val="00336610"/>
    <w:rsid w:val="0033687D"/>
    <w:rsid w:val="00337220"/>
    <w:rsid w:val="00337281"/>
    <w:rsid w:val="003379EC"/>
    <w:rsid w:val="003403D0"/>
    <w:rsid w:val="00340CFD"/>
    <w:rsid w:val="00340F82"/>
    <w:rsid w:val="00341AFC"/>
    <w:rsid w:val="00341C0B"/>
    <w:rsid w:val="00342B52"/>
    <w:rsid w:val="00342DAB"/>
    <w:rsid w:val="003435ED"/>
    <w:rsid w:val="00343657"/>
    <w:rsid w:val="00343F73"/>
    <w:rsid w:val="003443FE"/>
    <w:rsid w:val="00345060"/>
    <w:rsid w:val="00345129"/>
    <w:rsid w:val="00346C19"/>
    <w:rsid w:val="00346CF1"/>
    <w:rsid w:val="00347A4B"/>
    <w:rsid w:val="00350321"/>
    <w:rsid w:val="0035263B"/>
    <w:rsid w:val="00352E61"/>
    <w:rsid w:val="0035306B"/>
    <w:rsid w:val="0035323B"/>
    <w:rsid w:val="0035361A"/>
    <w:rsid w:val="0035409B"/>
    <w:rsid w:val="00354918"/>
    <w:rsid w:val="003561DF"/>
    <w:rsid w:val="00356BC5"/>
    <w:rsid w:val="00356CD9"/>
    <w:rsid w:val="00357DD9"/>
    <w:rsid w:val="003609D2"/>
    <w:rsid w:val="00360D09"/>
    <w:rsid w:val="003617E4"/>
    <w:rsid w:val="0036197B"/>
    <w:rsid w:val="00361F16"/>
    <w:rsid w:val="00361FDC"/>
    <w:rsid w:val="00362676"/>
    <w:rsid w:val="00363F22"/>
    <w:rsid w:val="00364D18"/>
    <w:rsid w:val="00365359"/>
    <w:rsid w:val="003659E4"/>
    <w:rsid w:val="00365CA0"/>
    <w:rsid w:val="00367601"/>
    <w:rsid w:val="003678BB"/>
    <w:rsid w:val="003678D0"/>
    <w:rsid w:val="00370170"/>
    <w:rsid w:val="003706A8"/>
    <w:rsid w:val="00370D51"/>
    <w:rsid w:val="00372BB8"/>
    <w:rsid w:val="0037474F"/>
    <w:rsid w:val="003748D9"/>
    <w:rsid w:val="00375564"/>
    <w:rsid w:val="003755A5"/>
    <w:rsid w:val="003756A8"/>
    <w:rsid w:val="00375B26"/>
    <w:rsid w:val="003762F9"/>
    <w:rsid w:val="003764BF"/>
    <w:rsid w:val="0037702A"/>
    <w:rsid w:val="003771CD"/>
    <w:rsid w:val="00377A48"/>
    <w:rsid w:val="00380C38"/>
    <w:rsid w:val="00381E4F"/>
    <w:rsid w:val="00383191"/>
    <w:rsid w:val="00384EF0"/>
    <w:rsid w:val="00385355"/>
    <w:rsid w:val="00385A40"/>
    <w:rsid w:val="003860AC"/>
    <w:rsid w:val="00386AAB"/>
    <w:rsid w:val="00386DED"/>
    <w:rsid w:val="00386F46"/>
    <w:rsid w:val="003904A3"/>
    <w:rsid w:val="003909D4"/>
    <w:rsid w:val="003912E7"/>
    <w:rsid w:val="003915B2"/>
    <w:rsid w:val="0039196B"/>
    <w:rsid w:val="00391FB4"/>
    <w:rsid w:val="003932DC"/>
    <w:rsid w:val="00393947"/>
    <w:rsid w:val="00394AE7"/>
    <w:rsid w:val="0039554A"/>
    <w:rsid w:val="00395A36"/>
    <w:rsid w:val="00396471"/>
    <w:rsid w:val="00396DA7"/>
    <w:rsid w:val="0039712F"/>
    <w:rsid w:val="00397BB6"/>
    <w:rsid w:val="00397C0B"/>
    <w:rsid w:val="00397D9E"/>
    <w:rsid w:val="00397DDB"/>
    <w:rsid w:val="003A0114"/>
    <w:rsid w:val="003A072C"/>
    <w:rsid w:val="003A11E2"/>
    <w:rsid w:val="003A2275"/>
    <w:rsid w:val="003A3454"/>
    <w:rsid w:val="003A3A27"/>
    <w:rsid w:val="003A5A4E"/>
    <w:rsid w:val="003A6377"/>
    <w:rsid w:val="003A6A4F"/>
    <w:rsid w:val="003A6AE5"/>
    <w:rsid w:val="003A7088"/>
    <w:rsid w:val="003B00DF"/>
    <w:rsid w:val="003B0979"/>
    <w:rsid w:val="003B1275"/>
    <w:rsid w:val="003B1778"/>
    <w:rsid w:val="003B253D"/>
    <w:rsid w:val="003B37A7"/>
    <w:rsid w:val="003B420C"/>
    <w:rsid w:val="003B539C"/>
    <w:rsid w:val="003B5CCB"/>
    <w:rsid w:val="003B6A48"/>
    <w:rsid w:val="003B7A0F"/>
    <w:rsid w:val="003C0AC9"/>
    <w:rsid w:val="003C11CB"/>
    <w:rsid w:val="003C218D"/>
    <w:rsid w:val="003C2B18"/>
    <w:rsid w:val="003C2F17"/>
    <w:rsid w:val="003C2F51"/>
    <w:rsid w:val="003C3373"/>
    <w:rsid w:val="003C33C8"/>
    <w:rsid w:val="003C4095"/>
    <w:rsid w:val="003C40EA"/>
    <w:rsid w:val="003C4C00"/>
    <w:rsid w:val="003C52B4"/>
    <w:rsid w:val="003C5857"/>
    <w:rsid w:val="003C7021"/>
    <w:rsid w:val="003C7307"/>
    <w:rsid w:val="003C75F3"/>
    <w:rsid w:val="003C78A3"/>
    <w:rsid w:val="003D0D61"/>
    <w:rsid w:val="003D148A"/>
    <w:rsid w:val="003D2BDE"/>
    <w:rsid w:val="003D2CA2"/>
    <w:rsid w:val="003D2E37"/>
    <w:rsid w:val="003D3C9C"/>
    <w:rsid w:val="003D409D"/>
    <w:rsid w:val="003D517D"/>
    <w:rsid w:val="003D5743"/>
    <w:rsid w:val="003E0DA8"/>
    <w:rsid w:val="003E1867"/>
    <w:rsid w:val="003E2012"/>
    <w:rsid w:val="003E2561"/>
    <w:rsid w:val="003E322A"/>
    <w:rsid w:val="003E47EA"/>
    <w:rsid w:val="003E4AA5"/>
    <w:rsid w:val="003E50C3"/>
    <w:rsid w:val="003E5729"/>
    <w:rsid w:val="003E7313"/>
    <w:rsid w:val="003F2A9A"/>
    <w:rsid w:val="003F4905"/>
    <w:rsid w:val="003F4EE0"/>
    <w:rsid w:val="003F680F"/>
    <w:rsid w:val="003F7833"/>
    <w:rsid w:val="00400496"/>
    <w:rsid w:val="00400A1B"/>
    <w:rsid w:val="00400C3F"/>
    <w:rsid w:val="00400F95"/>
    <w:rsid w:val="0040113C"/>
    <w:rsid w:val="00401913"/>
    <w:rsid w:val="00402153"/>
    <w:rsid w:val="00402455"/>
    <w:rsid w:val="0040264B"/>
    <w:rsid w:val="00402FC1"/>
    <w:rsid w:val="00403484"/>
    <w:rsid w:val="00406047"/>
    <w:rsid w:val="00406509"/>
    <w:rsid w:val="00414282"/>
    <w:rsid w:val="004147A9"/>
    <w:rsid w:val="00415FA5"/>
    <w:rsid w:val="00416450"/>
    <w:rsid w:val="004210B9"/>
    <w:rsid w:val="004216A4"/>
    <w:rsid w:val="00421AD8"/>
    <w:rsid w:val="00421BF8"/>
    <w:rsid w:val="00421DD7"/>
    <w:rsid w:val="00423454"/>
    <w:rsid w:val="0042475B"/>
    <w:rsid w:val="00424F1B"/>
    <w:rsid w:val="00425082"/>
    <w:rsid w:val="0042652E"/>
    <w:rsid w:val="00426586"/>
    <w:rsid w:val="0042723B"/>
    <w:rsid w:val="00427272"/>
    <w:rsid w:val="004305FA"/>
    <w:rsid w:val="00430DFD"/>
    <w:rsid w:val="00430ECB"/>
    <w:rsid w:val="00431DEB"/>
    <w:rsid w:val="00433354"/>
    <w:rsid w:val="00433434"/>
    <w:rsid w:val="004337E0"/>
    <w:rsid w:val="00434052"/>
    <w:rsid w:val="00434130"/>
    <w:rsid w:val="0043483C"/>
    <w:rsid w:val="00435E00"/>
    <w:rsid w:val="00436238"/>
    <w:rsid w:val="0043643D"/>
    <w:rsid w:val="004371D9"/>
    <w:rsid w:val="00437239"/>
    <w:rsid w:val="004377F3"/>
    <w:rsid w:val="00442823"/>
    <w:rsid w:val="00442A21"/>
    <w:rsid w:val="004432A6"/>
    <w:rsid w:val="0044370D"/>
    <w:rsid w:val="004445CF"/>
    <w:rsid w:val="00444B42"/>
    <w:rsid w:val="00444D17"/>
    <w:rsid w:val="00445B7D"/>
    <w:rsid w:val="004461CB"/>
    <w:rsid w:val="00446B1D"/>
    <w:rsid w:val="00446B29"/>
    <w:rsid w:val="00446D41"/>
    <w:rsid w:val="00447D0B"/>
    <w:rsid w:val="00447D61"/>
    <w:rsid w:val="00450546"/>
    <w:rsid w:val="00450FB4"/>
    <w:rsid w:val="00452341"/>
    <w:rsid w:val="00452E95"/>
    <w:rsid w:val="004538C9"/>
    <w:rsid w:val="00453ADA"/>
    <w:rsid w:val="00453F9A"/>
    <w:rsid w:val="0045579D"/>
    <w:rsid w:val="00455F34"/>
    <w:rsid w:val="00457B84"/>
    <w:rsid w:val="00460291"/>
    <w:rsid w:val="00463C0B"/>
    <w:rsid w:val="00463E21"/>
    <w:rsid w:val="00464124"/>
    <w:rsid w:val="0046423E"/>
    <w:rsid w:val="004642AA"/>
    <w:rsid w:val="004649E4"/>
    <w:rsid w:val="004649FF"/>
    <w:rsid w:val="00464A4D"/>
    <w:rsid w:val="00467059"/>
    <w:rsid w:val="004674AA"/>
    <w:rsid w:val="00467607"/>
    <w:rsid w:val="0046790A"/>
    <w:rsid w:val="004701FA"/>
    <w:rsid w:val="00470AAE"/>
    <w:rsid w:val="00470CB0"/>
    <w:rsid w:val="00471E91"/>
    <w:rsid w:val="00471F0C"/>
    <w:rsid w:val="00472341"/>
    <w:rsid w:val="0047243E"/>
    <w:rsid w:val="00472B93"/>
    <w:rsid w:val="00473D1D"/>
    <w:rsid w:val="00474675"/>
    <w:rsid w:val="0047470C"/>
    <w:rsid w:val="00474760"/>
    <w:rsid w:val="0047516E"/>
    <w:rsid w:val="0047556A"/>
    <w:rsid w:val="004761BA"/>
    <w:rsid w:val="00476587"/>
    <w:rsid w:val="00476BA9"/>
    <w:rsid w:val="00477473"/>
    <w:rsid w:val="004778A8"/>
    <w:rsid w:val="0048003B"/>
    <w:rsid w:val="0048032B"/>
    <w:rsid w:val="004803B1"/>
    <w:rsid w:val="00481667"/>
    <w:rsid w:val="00481B87"/>
    <w:rsid w:val="00481DB1"/>
    <w:rsid w:val="00482051"/>
    <w:rsid w:val="00482276"/>
    <w:rsid w:val="00483895"/>
    <w:rsid w:val="00485CDE"/>
    <w:rsid w:val="0048682F"/>
    <w:rsid w:val="00486C8B"/>
    <w:rsid w:val="00487278"/>
    <w:rsid w:val="00490F08"/>
    <w:rsid w:val="00493E3C"/>
    <w:rsid w:val="00494352"/>
    <w:rsid w:val="00494F3E"/>
    <w:rsid w:val="004964B7"/>
    <w:rsid w:val="00497280"/>
    <w:rsid w:val="004974C1"/>
    <w:rsid w:val="004978BC"/>
    <w:rsid w:val="00497FA5"/>
    <w:rsid w:val="004A017C"/>
    <w:rsid w:val="004A1D05"/>
    <w:rsid w:val="004A35F9"/>
    <w:rsid w:val="004A39CF"/>
    <w:rsid w:val="004A3B49"/>
    <w:rsid w:val="004A461E"/>
    <w:rsid w:val="004A6007"/>
    <w:rsid w:val="004A70CE"/>
    <w:rsid w:val="004B01D9"/>
    <w:rsid w:val="004B1684"/>
    <w:rsid w:val="004B24C1"/>
    <w:rsid w:val="004B2861"/>
    <w:rsid w:val="004B2CBE"/>
    <w:rsid w:val="004B2FD9"/>
    <w:rsid w:val="004B3202"/>
    <w:rsid w:val="004B363C"/>
    <w:rsid w:val="004B46E7"/>
    <w:rsid w:val="004B528B"/>
    <w:rsid w:val="004B5468"/>
    <w:rsid w:val="004B5B40"/>
    <w:rsid w:val="004B64E1"/>
    <w:rsid w:val="004B698C"/>
    <w:rsid w:val="004C1655"/>
    <w:rsid w:val="004C292F"/>
    <w:rsid w:val="004C2DE5"/>
    <w:rsid w:val="004C388B"/>
    <w:rsid w:val="004C3BE6"/>
    <w:rsid w:val="004C478B"/>
    <w:rsid w:val="004C5263"/>
    <w:rsid w:val="004C6489"/>
    <w:rsid w:val="004C6E26"/>
    <w:rsid w:val="004D15DB"/>
    <w:rsid w:val="004D22ED"/>
    <w:rsid w:val="004D299F"/>
    <w:rsid w:val="004D3095"/>
    <w:rsid w:val="004D3437"/>
    <w:rsid w:val="004D4067"/>
    <w:rsid w:val="004D44E7"/>
    <w:rsid w:val="004D74BD"/>
    <w:rsid w:val="004D7E78"/>
    <w:rsid w:val="004E25D2"/>
    <w:rsid w:val="004E31CB"/>
    <w:rsid w:val="004E39E4"/>
    <w:rsid w:val="004E406A"/>
    <w:rsid w:val="004E522E"/>
    <w:rsid w:val="004E674E"/>
    <w:rsid w:val="004F1607"/>
    <w:rsid w:val="004F171B"/>
    <w:rsid w:val="004F265B"/>
    <w:rsid w:val="004F5724"/>
    <w:rsid w:val="004F60D9"/>
    <w:rsid w:val="004F6644"/>
    <w:rsid w:val="004F7165"/>
    <w:rsid w:val="00501228"/>
    <w:rsid w:val="00501C92"/>
    <w:rsid w:val="0050275A"/>
    <w:rsid w:val="0050388D"/>
    <w:rsid w:val="00504C6F"/>
    <w:rsid w:val="00504D50"/>
    <w:rsid w:val="00505615"/>
    <w:rsid w:val="005058C1"/>
    <w:rsid w:val="00506D4D"/>
    <w:rsid w:val="00506E1C"/>
    <w:rsid w:val="005071E8"/>
    <w:rsid w:val="00507F71"/>
    <w:rsid w:val="00510280"/>
    <w:rsid w:val="005109CE"/>
    <w:rsid w:val="005134CC"/>
    <w:rsid w:val="00513D07"/>
    <w:rsid w:val="00513D73"/>
    <w:rsid w:val="00514000"/>
    <w:rsid w:val="00514A43"/>
    <w:rsid w:val="00514AFB"/>
    <w:rsid w:val="0051507C"/>
    <w:rsid w:val="00516248"/>
    <w:rsid w:val="005167ED"/>
    <w:rsid w:val="00516E0B"/>
    <w:rsid w:val="005174E5"/>
    <w:rsid w:val="005179EA"/>
    <w:rsid w:val="00517AA5"/>
    <w:rsid w:val="00521F35"/>
    <w:rsid w:val="00522393"/>
    <w:rsid w:val="00522620"/>
    <w:rsid w:val="005233A3"/>
    <w:rsid w:val="00525656"/>
    <w:rsid w:val="00527A89"/>
    <w:rsid w:val="005315A8"/>
    <w:rsid w:val="00532DF6"/>
    <w:rsid w:val="00534C02"/>
    <w:rsid w:val="0053591B"/>
    <w:rsid w:val="005362A2"/>
    <w:rsid w:val="005370E1"/>
    <w:rsid w:val="00540634"/>
    <w:rsid w:val="0054264B"/>
    <w:rsid w:val="00542807"/>
    <w:rsid w:val="00542F46"/>
    <w:rsid w:val="00543786"/>
    <w:rsid w:val="00543A29"/>
    <w:rsid w:val="00544703"/>
    <w:rsid w:val="005448AB"/>
    <w:rsid w:val="00544EA2"/>
    <w:rsid w:val="0054625E"/>
    <w:rsid w:val="00546B7A"/>
    <w:rsid w:val="00547259"/>
    <w:rsid w:val="005507C4"/>
    <w:rsid w:val="005512E5"/>
    <w:rsid w:val="00551626"/>
    <w:rsid w:val="00552BDB"/>
    <w:rsid w:val="005533D7"/>
    <w:rsid w:val="00553A12"/>
    <w:rsid w:val="005542A1"/>
    <w:rsid w:val="00555451"/>
    <w:rsid w:val="00555B46"/>
    <w:rsid w:val="0055648B"/>
    <w:rsid w:val="00556777"/>
    <w:rsid w:val="0056042F"/>
    <w:rsid w:val="00560FE1"/>
    <w:rsid w:val="00562112"/>
    <w:rsid w:val="00562A38"/>
    <w:rsid w:val="00562F24"/>
    <w:rsid w:val="005660C8"/>
    <w:rsid w:val="005674A3"/>
    <w:rsid w:val="00567748"/>
    <w:rsid w:val="005703DE"/>
    <w:rsid w:val="005707D9"/>
    <w:rsid w:val="00570A75"/>
    <w:rsid w:val="005726A2"/>
    <w:rsid w:val="00573E57"/>
    <w:rsid w:val="005758D1"/>
    <w:rsid w:val="00575F81"/>
    <w:rsid w:val="005764F6"/>
    <w:rsid w:val="0057785F"/>
    <w:rsid w:val="005779BC"/>
    <w:rsid w:val="00580CC0"/>
    <w:rsid w:val="005812C4"/>
    <w:rsid w:val="00581976"/>
    <w:rsid w:val="00582776"/>
    <w:rsid w:val="00584216"/>
    <w:rsid w:val="0058464E"/>
    <w:rsid w:val="005848C2"/>
    <w:rsid w:val="00584905"/>
    <w:rsid w:val="005849D1"/>
    <w:rsid w:val="0058708A"/>
    <w:rsid w:val="00587354"/>
    <w:rsid w:val="00590FBC"/>
    <w:rsid w:val="00592BEB"/>
    <w:rsid w:val="00593B48"/>
    <w:rsid w:val="00595925"/>
    <w:rsid w:val="00595DDD"/>
    <w:rsid w:val="005965DD"/>
    <w:rsid w:val="005A01CB"/>
    <w:rsid w:val="005A06D2"/>
    <w:rsid w:val="005A0A20"/>
    <w:rsid w:val="005A2326"/>
    <w:rsid w:val="005A255A"/>
    <w:rsid w:val="005A3965"/>
    <w:rsid w:val="005A58FF"/>
    <w:rsid w:val="005A5EAF"/>
    <w:rsid w:val="005A64C0"/>
    <w:rsid w:val="005A65D0"/>
    <w:rsid w:val="005A68C7"/>
    <w:rsid w:val="005B03DD"/>
    <w:rsid w:val="005B09F4"/>
    <w:rsid w:val="005B128F"/>
    <w:rsid w:val="005B31C7"/>
    <w:rsid w:val="005B3C11"/>
    <w:rsid w:val="005B45BB"/>
    <w:rsid w:val="005B47BD"/>
    <w:rsid w:val="005B58A2"/>
    <w:rsid w:val="005B6CED"/>
    <w:rsid w:val="005B74D8"/>
    <w:rsid w:val="005B7E02"/>
    <w:rsid w:val="005C0714"/>
    <w:rsid w:val="005C07FA"/>
    <w:rsid w:val="005C1412"/>
    <w:rsid w:val="005C1C28"/>
    <w:rsid w:val="005C2996"/>
    <w:rsid w:val="005C3FA9"/>
    <w:rsid w:val="005C4E26"/>
    <w:rsid w:val="005C6DB5"/>
    <w:rsid w:val="005C7ABD"/>
    <w:rsid w:val="005D01FA"/>
    <w:rsid w:val="005D133C"/>
    <w:rsid w:val="005D2425"/>
    <w:rsid w:val="005D25B4"/>
    <w:rsid w:val="005D2F38"/>
    <w:rsid w:val="005D38A6"/>
    <w:rsid w:val="005D3F92"/>
    <w:rsid w:val="005D43D3"/>
    <w:rsid w:val="005D5260"/>
    <w:rsid w:val="005D554A"/>
    <w:rsid w:val="005D63A9"/>
    <w:rsid w:val="005D6719"/>
    <w:rsid w:val="005E1219"/>
    <w:rsid w:val="005E19E7"/>
    <w:rsid w:val="005E348A"/>
    <w:rsid w:val="005E3FC0"/>
    <w:rsid w:val="005E568A"/>
    <w:rsid w:val="005E644B"/>
    <w:rsid w:val="005E7570"/>
    <w:rsid w:val="005F0D35"/>
    <w:rsid w:val="005F221F"/>
    <w:rsid w:val="005F28A3"/>
    <w:rsid w:val="005F2E17"/>
    <w:rsid w:val="005F478C"/>
    <w:rsid w:val="005F5044"/>
    <w:rsid w:val="005F57C8"/>
    <w:rsid w:val="005F58E4"/>
    <w:rsid w:val="005F6056"/>
    <w:rsid w:val="005F6E9E"/>
    <w:rsid w:val="005F7B20"/>
    <w:rsid w:val="0060008C"/>
    <w:rsid w:val="006004E4"/>
    <w:rsid w:val="006007B4"/>
    <w:rsid w:val="00601E0F"/>
    <w:rsid w:val="00602B02"/>
    <w:rsid w:val="00604080"/>
    <w:rsid w:val="00604293"/>
    <w:rsid w:val="006042B9"/>
    <w:rsid w:val="00605529"/>
    <w:rsid w:val="006068B4"/>
    <w:rsid w:val="006069E5"/>
    <w:rsid w:val="00606A70"/>
    <w:rsid w:val="00607D37"/>
    <w:rsid w:val="00610194"/>
    <w:rsid w:val="0061042F"/>
    <w:rsid w:val="00610F59"/>
    <w:rsid w:val="006117C0"/>
    <w:rsid w:val="006118D4"/>
    <w:rsid w:val="006131F3"/>
    <w:rsid w:val="00613E3C"/>
    <w:rsid w:val="006141AD"/>
    <w:rsid w:val="00614635"/>
    <w:rsid w:val="006167ED"/>
    <w:rsid w:val="0061716C"/>
    <w:rsid w:val="006176A0"/>
    <w:rsid w:val="00621BFE"/>
    <w:rsid w:val="00621E66"/>
    <w:rsid w:val="00622CB1"/>
    <w:rsid w:val="006230A5"/>
    <w:rsid w:val="006242BE"/>
    <w:rsid w:val="006243A1"/>
    <w:rsid w:val="00624A30"/>
    <w:rsid w:val="0062597F"/>
    <w:rsid w:val="00630983"/>
    <w:rsid w:val="00630BFF"/>
    <w:rsid w:val="00631235"/>
    <w:rsid w:val="00632E56"/>
    <w:rsid w:val="00632ECC"/>
    <w:rsid w:val="00633899"/>
    <w:rsid w:val="00633E94"/>
    <w:rsid w:val="006348C3"/>
    <w:rsid w:val="00635CBA"/>
    <w:rsid w:val="00635D0C"/>
    <w:rsid w:val="00636426"/>
    <w:rsid w:val="0063645C"/>
    <w:rsid w:val="00636630"/>
    <w:rsid w:val="00636C58"/>
    <w:rsid w:val="00637229"/>
    <w:rsid w:val="00641295"/>
    <w:rsid w:val="00641EB2"/>
    <w:rsid w:val="0064338B"/>
    <w:rsid w:val="00644B1C"/>
    <w:rsid w:val="00644FAD"/>
    <w:rsid w:val="0064583A"/>
    <w:rsid w:val="00646542"/>
    <w:rsid w:val="006469F4"/>
    <w:rsid w:val="00646ABD"/>
    <w:rsid w:val="006472BD"/>
    <w:rsid w:val="00647734"/>
    <w:rsid w:val="00647B72"/>
    <w:rsid w:val="00650299"/>
    <w:rsid w:val="006504F4"/>
    <w:rsid w:val="006517A8"/>
    <w:rsid w:val="00651C73"/>
    <w:rsid w:val="00653B5D"/>
    <w:rsid w:val="006542A1"/>
    <w:rsid w:val="0065461B"/>
    <w:rsid w:val="00654BC9"/>
    <w:rsid w:val="006552FD"/>
    <w:rsid w:val="00657773"/>
    <w:rsid w:val="00660019"/>
    <w:rsid w:val="00660514"/>
    <w:rsid w:val="00662182"/>
    <w:rsid w:val="00662C17"/>
    <w:rsid w:val="00662D6F"/>
    <w:rsid w:val="00663AF3"/>
    <w:rsid w:val="00664195"/>
    <w:rsid w:val="00665244"/>
    <w:rsid w:val="00665857"/>
    <w:rsid w:val="00665AFC"/>
    <w:rsid w:val="00665B1B"/>
    <w:rsid w:val="00666B6C"/>
    <w:rsid w:val="00667A58"/>
    <w:rsid w:val="00667B59"/>
    <w:rsid w:val="00672A97"/>
    <w:rsid w:val="006741F0"/>
    <w:rsid w:val="0067455A"/>
    <w:rsid w:val="006766D1"/>
    <w:rsid w:val="00677371"/>
    <w:rsid w:val="00680340"/>
    <w:rsid w:val="00682327"/>
    <w:rsid w:val="0068240C"/>
    <w:rsid w:val="00682682"/>
    <w:rsid w:val="00682702"/>
    <w:rsid w:val="00682CAE"/>
    <w:rsid w:val="00682EAC"/>
    <w:rsid w:val="00683AF8"/>
    <w:rsid w:val="00683D61"/>
    <w:rsid w:val="006843E8"/>
    <w:rsid w:val="006851A0"/>
    <w:rsid w:val="00685390"/>
    <w:rsid w:val="006859F9"/>
    <w:rsid w:val="00685A17"/>
    <w:rsid w:val="0068761D"/>
    <w:rsid w:val="00692368"/>
    <w:rsid w:val="00692C98"/>
    <w:rsid w:val="00693849"/>
    <w:rsid w:val="006961F9"/>
    <w:rsid w:val="0069690B"/>
    <w:rsid w:val="00696D5B"/>
    <w:rsid w:val="006A0433"/>
    <w:rsid w:val="006A0DC4"/>
    <w:rsid w:val="006A23CE"/>
    <w:rsid w:val="006A2CE0"/>
    <w:rsid w:val="006A2EBC"/>
    <w:rsid w:val="006A3711"/>
    <w:rsid w:val="006A4735"/>
    <w:rsid w:val="006A4CD1"/>
    <w:rsid w:val="006A5EA0"/>
    <w:rsid w:val="006A783B"/>
    <w:rsid w:val="006A7B33"/>
    <w:rsid w:val="006A7F74"/>
    <w:rsid w:val="006B03A7"/>
    <w:rsid w:val="006B0408"/>
    <w:rsid w:val="006B06F9"/>
    <w:rsid w:val="006B0D38"/>
    <w:rsid w:val="006B0FDF"/>
    <w:rsid w:val="006B23C5"/>
    <w:rsid w:val="006B310E"/>
    <w:rsid w:val="006B4607"/>
    <w:rsid w:val="006B4CA1"/>
    <w:rsid w:val="006B4E13"/>
    <w:rsid w:val="006B5ABE"/>
    <w:rsid w:val="006B5C1E"/>
    <w:rsid w:val="006B6199"/>
    <w:rsid w:val="006B650A"/>
    <w:rsid w:val="006B6BDD"/>
    <w:rsid w:val="006B75DD"/>
    <w:rsid w:val="006C0127"/>
    <w:rsid w:val="006C01FF"/>
    <w:rsid w:val="006C1158"/>
    <w:rsid w:val="006C244F"/>
    <w:rsid w:val="006C2BEE"/>
    <w:rsid w:val="006C2CC8"/>
    <w:rsid w:val="006C3FA9"/>
    <w:rsid w:val="006C60C9"/>
    <w:rsid w:val="006C6642"/>
    <w:rsid w:val="006C67E0"/>
    <w:rsid w:val="006C72D3"/>
    <w:rsid w:val="006C7ABA"/>
    <w:rsid w:val="006D0D54"/>
    <w:rsid w:val="006D0D60"/>
    <w:rsid w:val="006D1122"/>
    <w:rsid w:val="006D1417"/>
    <w:rsid w:val="006D3C00"/>
    <w:rsid w:val="006D4098"/>
    <w:rsid w:val="006D4912"/>
    <w:rsid w:val="006D5948"/>
    <w:rsid w:val="006D6CF4"/>
    <w:rsid w:val="006D71B5"/>
    <w:rsid w:val="006D7222"/>
    <w:rsid w:val="006D7B61"/>
    <w:rsid w:val="006D7BE5"/>
    <w:rsid w:val="006D7C96"/>
    <w:rsid w:val="006D7F07"/>
    <w:rsid w:val="006E0585"/>
    <w:rsid w:val="006E1BD2"/>
    <w:rsid w:val="006E1ECA"/>
    <w:rsid w:val="006E25BD"/>
    <w:rsid w:val="006E28A4"/>
    <w:rsid w:val="006E338C"/>
    <w:rsid w:val="006E3675"/>
    <w:rsid w:val="006E4A7F"/>
    <w:rsid w:val="006E4D49"/>
    <w:rsid w:val="006E5268"/>
    <w:rsid w:val="006E5D66"/>
    <w:rsid w:val="006E76DC"/>
    <w:rsid w:val="006E78A6"/>
    <w:rsid w:val="006E7C4A"/>
    <w:rsid w:val="006F04C8"/>
    <w:rsid w:val="006F0CF5"/>
    <w:rsid w:val="006F2F78"/>
    <w:rsid w:val="006F378E"/>
    <w:rsid w:val="006F381A"/>
    <w:rsid w:val="006F4B75"/>
    <w:rsid w:val="006F533E"/>
    <w:rsid w:val="006F5D44"/>
    <w:rsid w:val="00701035"/>
    <w:rsid w:val="00701229"/>
    <w:rsid w:val="00701700"/>
    <w:rsid w:val="00701C38"/>
    <w:rsid w:val="0070290D"/>
    <w:rsid w:val="00702964"/>
    <w:rsid w:val="00703B7D"/>
    <w:rsid w:val="00703DD8"/>
    <w:rsid w:val="00704DF6"/>
    <w:rsid w:val="00704FB2"/>
    <w:rsid w:val="00705394"/>
    <w:rsid w:val="007053F5"/>
    <w:rsid w:val="0070651C"/>
    <w:rsid w:val="007077EE"/>
    <w:rsid w:val="00707D46"/>
    <w:rsid w:val="0071096F"/>
    <w:rsid w:val="00710BF0"/>
    <w:rsid w:val="00710FEC"/>
    <w:rsid w:val="0071290E"/>
    <w:rsid w:val="007129D0"/>
    <w:rsid w:val="00712E54"/>
    <w:rsid w:val="00712EC2"/>
    <w:rsid w:val="007132A3"/>
    <w:rsid w:val="00715343"/>
    <w:rsid w:val="0071538B"/>
    <w:rsid w:val="007155F6"/>
    <w:rsid w:val="00715E73"/>
    <w:rsid w:val="00716158"/>
    <w:rsid w:val="00716421"/>
    <w:rsid w:val="00720CD4"/>
    <w:rsid w:val="00721099"/>
    <w:rsid w:val="00721644"/>
    <w:rsid w:val="00722C48"/>
    <w:rsid w:val="0072430C"/>
    <w:rsid w:val="00724AA2"/>
    <w:rsid w:val="00724EFB"/>
    <w:rsid w:val="007259EB"/>
    <w:rsid w:val="007262FB"/>
    <w:rsid w:val="0072653D"/>
    <w:rsid w:val="00726648"/>
    <w:rsid w:val="0073023C"/>
    <w:rsid w:val="00730316"/>
    <w:rsid w:val="00730467"/>
    <w:rsid w:val="007315FC"/>
    <w:rsid w:val="00731E1D"/>
    <w:rsid w:val="0073346F"/>
    <w:rsid w:val="00733CB1"/>
    <w:rsid w:val="00734E65"/>
    <w:rsid w:val="00735549"/>
    <w:rsid w:val="00736186"/>
    <w:rsid w:val="0073736A"/>
    <w:rsid w:val="00741949"/>
    <w:rsid w:val="007419C3"/>
    <w:rsid w:val="00742E81"/>
    <w:rsid w:val="007436AE"/>
    <w:rsid w:val="00744889"/>
    <w:rsid w:val="00744F22"/>
    <w:rsid w:val="00745ED6"/>
    <w:rsid w:val="007467A7"/>
    <w:rsid w:val="007469DD"/>
    <w:rsid w:val="00746FAF"/>
    <w:rsid w:val="00747417"/>
    <w:rsid w:val="0074741B"/>
    <w:rsid w:val="0074759E"/>
    <w:rsid w:val="007478EA"/>
    <w:rsid w:val="007500E0"/>
    <w:rsid w:val="00750111"/>
    <w:rsid w:val="00750233"/>
    <w:rsid w:val="00750664"/>
    <w:rsid w:val="00750B17"/>
    <w:rsid w:val="00751478"/>
    <w:rsid w:val="007532C0"/>
    <w:rsid w:val="00753594"/>
    <w:rsid w:val="0075383D"/>
    <w:rsid w:val="00753A26"/>
    <w:rsid w:val="00753A41"/>
    <w:rsid w:val="00753E06"/>
    <w:rsid w:val="0075415C"/>
    <w:rsid w:val="0075491F"/>
    <w:rsid w:val="0075587E"/>
    <w:rsid w:val="0075724F"/>
    <w:rsid w:val="00760293"/>
    <w:rsid w:val="00760D26"/>
    <w:rsid w:val="00760FD8"/>
    <w:rsid w:val="00761AD8"/>
    <w:rsid w:val="00763502"/>
    <w:rsid w:val="0076686D"/>
    <w:rsid w:val="00766E7B"/>
    <w:rsid w:val="00771198"/>
    <w:rsid w:val="007729C6"/>
    <w:rsid w:val="00773C02"/>
    <w:rsid w:val="00774690"/>
    <w:rsid w:val="0077477C"/>
    <w:rsid w:val="00775250"/>
    <w:rsid w:val="00775705"/>
    <w:rsid w:val="00777428"/>
    <w:rsid w:val="00777498"/>
    <w:rsid w:val="00780168"/>
    <w:rsid w:val="007807C6"/>
    <w:rsid w:val="00780FAC"/>
    <w:rsid w:val="007812E4"/>
    <w:rsid w:val="00782D2C"/>
    <w:rsid w:val="00782FDC"/>
    <w:rsid w:val="00784629"/>
    <w:rsid w:val="00785822"/>
    <w:rsid w:val="007908DF"/>
    <w:rsid w:val="007913AB"/>
    <w:rsid w:val="007914F7"/>
    <w:rsid w:val="007914FD"/>
    <w:rsid w:val="007918EF"/>
    <w:rsid w:val="00792765"/>
    <w:rsid w:val="0079427C"/>
    <w:rsid w:val="00794CE4"/>
    <w:rsid w:val="007951A3"/>
    <w:rsid w:val="00795A73"/>
    <w:rsid w:val="00797CA0"/>
    <w:rsid w:val="007A080A"/>
    <w:rsid w:val="007A1C0C"/>
    <w:rsid w:val="007A211A"/>
    <w:rsid w:val="007A2A2E"/>
    <w:rsid w:val="007A2ADB"/>
    <w:rsid w:val="007A3273"/>
    <w:rsid w:val="007A3C30"/>
    <w:rsid w:val="007A3E89"/>
    <w:rsid w:val="007A438B"/>
    <w:rsid w:val="007A5119"/>
    <w:rsid w:val="007A6F0A"/>
    <w:rsid w:val="007A7F50"/>
    <w:rsid w:val="007A7FA2"/>
    <w:rsid w:val="007B1297"/>
    <w:rsid w:val="007B1384"/>
    <w:rsid w:val="007B1625"/>
    <w:rsid w:val="007B270B"/>
    <w:rsid w:val="007B3887"/>
    <w:rsid w:val="007B477E"/>
    <w:rsid w:val="007B56B4"/>
    <w:rsid w:val="007B63FF"/>
    <w:rsid w:val="007B66E7"/>
    <w:rsid w:val="007B706E"/>
    <w:rsid w:val="007B71EB"/>
    <w:rsid w:val="007C02FC"/>
    <w:rsid w:val="007C151C"/>
    <w:rsid w:val="007C26C1"/>
    <w:rsid w:val="007C3C26"/>
    <w:rsid w:val="007C5360"/>
    <w:rsid w:val="007C5819"/>
    <w:rsid w:val="007C6205"/>
    <w:rsid w:val="007C686A"/>
    <w:rsid w:val="007C7013"/>
    <w:rsid w:val="007C728E"/>
    <w:rsid w:val="007C7F22"/>
    <w:rsid w:val="007D06C5"/>
    <w:rsid w:val="007D0CC7"/>
    <w:rsid w:val="007D0E45"/>
    <w:rsid w:val="007D0F74"/>
    <w:rsid w:val="007D11ED"/>
    <w:rsid w:val="007D1475"/>
    <w:rsid w:val="007D1B8C"/>
    <w:rsid w:val="007D2C53"/>
    <w:rsid w:val="007D3D60"/>
    <w:rsid w:val="007D41FB"/>
    <w:rsid w:val="007D5224"/>
    <w:rsid w:val="007D5B73"/>
    <w:rsid w:val="007D765B"/>
    <w:rsid w:val="007D77B9"/>
    <w:rsid w:val="007D7B4D"/>
    <w:rsid w:val="007E0202"/>
    <w:rsid w:val="007E0D77"/>
    <w:rsid w:val="007E1980"/>
    <w:rsid w:val="007E1A97"/>
    <w:rsid w:val="007E2F9E"/>
    <w:rsid w:val="007E3460"/>
    <w:rsid w:val="007E40E3"/>
    <w:rsid w:val="007E4A83"/>
    <w:rsid w:val="007E4B76"/>
    <w:rsid w:val="007E5949"/>
    <w:rsid w:val="007E5EA8"/>
    <w:rsid w:val="007E6741"/>
    <w:rsid w:val="007E6CC6"/>
    <w:rsid w:val="007E7BC1"/>
    <w:rsid w:val="007F0CF1"/>
    <w:rsid w:val="007F106F"/>
    <w:rsid w:val="007F11A8"/>
    <w:rsid w:val="007F12A5"/>
    <w:rsid w:val="007F1DD9"/>
    <w:rsid w:val="007F233B"/>
    <w:rsid w:val="007F2706"/>
    <w:rsid w:val="007F281B"/>
    <w:rsid w:val="007F2933"/>
    <w:rsid w:val="007F39C3"/>
    <w:rsid w:val="007F44CE"/>
    <w:rsid w:val="007F4CF1"/>
    <w:rsid w:val="007F4F5F"/>
    <w:rsid w:val="007F5CFE"/>
    <w:rsid w:val="007F5EE4"/>
    <w:rsid w:val="007F6251"/>
    <w:rsid w:val="007F666B"/>
    <w:rsid w:val="007F758D"/>
    <w:rsid w:val="007F7D52"/>
    <w:rsid w:val="008000B4"/>
    <w:rsid w:val="008003E3"/>
    <w:rsid w:val="00802A20"/>
    <w:rsid w:val="00804808"/>
    <w:rsid w:val="0080608F"/>
    <w:rsid w:val="0080654C"/>
    <w:rsid w:val="00806B2F"/>
    <w:rsid w:val="008071C6"/>
    <w:rsid w:val="0080750E"/>
    <w:rsid w:val="00810B6B"/>
    <w:rsid w:val="008132A4"/>
    <w:rsid w:val="00815138"/>
    <w:rsid w:val="00817A00"/>
    <w:rsid w:val="00817ED7"/>
    <w:rsid w:val="00820456"/>
    <w:rsid w:val="00820DDE"/>
    <w:rsid w:val="0082160B"/>
    <w:rsid w:val="008221F7"/>
    <w:rsid w:val="00823188"/>
    <w:rsid w:val="00823E1F"/>
    <w:rsid w:val="00823E67"/>
    <w:rsid w:val="0082533A"/>
    <w:rsid w:val="00827321"/>
    <w:rsid w:val="008277B1"/>
    <w:rsid w:val="00831BDC"/>
    <w:rsid w:val="0083354C"/>
    <w:rsid w:val="00833804"/>
    <w:rsid w:val="00833FE2"/>
    <w:rsid w:val="00834E41"/>
    <w:rsid w:val="00835DB3"/>
    <w:rsid w:val="00835F50"/>
    <w:rsid w:val="0083617B"/>
    <w:rsid w:val="00837043"/>
    <w:rsid w:val="008371BD"/>
    <w:rsid w:val="00840584"/>
    <w:rsid w:val="00841015"/>
    <w:rsid w:val="00841D7E"/>
    <w:rsid w:val="00842276"/>
    <w:rsid w:val="008433AA"/>
    <w:rsid w:val="00844C62"/>
    <w:rsid w:val="00844FE4"/>
    <w:rsid w:val="008456B7"/>
    <w:rsid w:val="00845A8E"/>
    <w:rsid w:val="00846409"/>
    <w:rsid w:val="008474C9"/>
    <w:rsid w:val="008475B5"/>
    <w:rsid w:val="0084775D"/>
    <w:rsid w:val="008504A8"/>
    <w:rsid w:val="008508B4"/>
    <w:rsid w:val="00851258"/>
    <w:rsid w:val="00851965"/>
    <w:rsid w:val="00851B19"/>
    <w:rsid w:val="0085282E"/>
    <w:rsid w:val="00854890"/>
    <w:rsid w:val="008550E4"/>
    <w:rsid w:val="00855BD3"/>
    <w:rsid w:val="008563D6"/>
    <w:rsid w:val="00861DF0"/>
    <w:rsid w:val="00863890"/>
    <w:rsid w:val="008641A2"/>
    <w:rsid w:val="00865247"/>
    <w:rsid w:val="008652D4"/>
    <w:rsid w:val="00865754"/>
    <w:rsid w:val="00865DFA"/>
    <w:rsid w:val="00865F6A"/>
    <w:rsid w:val="00865F8E"/>
    <w:rsid w:val="0087198C"/>
    <w:rsid w:val="0087265C"/>
    <w:rsid w:val="00872C1F"/>
    <w:rsid w:val="00872D73"/>
    <w:rsid w:val="00873944"/>
    <w:rsid w:val="00873B42"/>
    <w:rsid w:val="00875084"/>
    <w:rsid w:val="00877029"/>
    <w:rsid w:val="008770B2"/>
    <w:rsid w:val="008809E2"/>
    <w:rsid w:val="00880CFD"/>
    <w:rsid w:val="008813AF"/>
    <w:rsid w:val="00881484"/>
    <w:rsid w:val="00883690"/>
    <w:rsid w:val="00883B4E"/>
    <w:rsid w:val="00885040"/>
    <w:rsid w:val="008856D8"/>
    <w:rsid w:val="00886503"/>
    <w:rsid w:val="00887107"/>
    <w:rsid w:val="00887DEC"/>
    <w:rsid w:val="0089109E"/>
    <w:rsid w:val="008913BD"/>
    <w:rsid w:val="0089196E"/>
    <w:rsid w:val="00891D9D"/>
    <w:rsid w:val="00892BA8"/>
    <w:rsid w:val="00892E82"/>
    <w:rsid w:val="008935C3"/>
    <w:rsid w:val="00893AFA"/>
    <w:rsid w:val="008940C0"/>
    <w:rsid w:val="00894F15"/>
    <w:rsid w:val="00895013"/>
    <w:rsid w:val="00896EF6"/>
    <w:rsid w:val="008A0DD2"/>
    <w:rsid w:val="008A12BA"/>
    <w:rsid w:val="008A17A0"/>
    <w:rsid w:val="008A2405"/>
    <w:rsid w:val="008A2772"/>
    <w:rsid w:val="008A3A6E"/>
    <w:rsid w:val="008A4E7E"/>
    <w:rsid w:val="008A580B"/>
    <w:rsid w:val="008A5CBA"/>
    <w:rsid w:val="008A7B28"/>
    <w:rsid w:val="008B0BE6"/>
    <w:rsid w:val="008B3837"/>
    <w:rsid w:val="008B7AF6"/>
    <w:rsid w:val="008C05BB"/>
    <w:rsid w:val="008C147D"/>
    <w:rsid w:val="008C1969"/>
    <w:rsid w:val="008C1B58"/>
    <w:rsid w:val="008C222E"/>
    <w:rsid w:val="008C275B"/>
    <w:rsid w:val="008C2EA6"/>
    <w:rsid w:val="008C320D"/>
    <w:rsid w:val="008C36DC"/>
    <w:rsid w:val="008C39AE"/>
    <w:rsid w:val="008C3F63"/>
    <w:rsid w:val="008C590D"/>
    <w:rsid w:val="008C787C"/>
    <w:rsid w:val="008C7CAF"/>
    <w:rsid w:val="008D09A5"/>
    <w:rsid w:val="008D1904"/>
    <w:rsid w:val="008D243D"/>
    <w:rsid w:val="008D2C1A"/>
    <w:rsid w:val="008D32F2"/>
    <w:rsid w:val="008D37F6"/>
    <w:rsid w:val="008D48D0"/>
    <w:rsid w:val="008D4ACD"/>
    <w:rsid w:val="008D567E"/>
    <w:rsid w:val="008E031B"/>
    <w:rsid w:val="008E1621"/>
    <w:rsid w:val="008E1626"/>
    <w:rsid w:val="008E18BB"/>
    <w:rsid w:val="008E2159"/>
    <w:rsid w:val="008E2B13"/>
    <w:rsid w:val="008E30CD"/>
    <w:rsid w:val="008E3588"/>
    <w:rsid w:val="008E4009"/>
    <w:rsid w:val="008E4188"/>
    <w:rsid w:val="008E4F26"/>
    <w:rsid w:val="008E67EB"/>
    <w:rsid w:val="008E6FDC"/>
    <w:rsid w:val="008E7029"/>
    <w:rsid w:val="008E7EF6"/>
    <w:rsid w:val="008F0BA7"/>
    <w:rsid w:val="008F0DDE"/>
    <w:rsid w:val="008F114C"/>
    <w:rsid w:val="008F11E6"/>
    <w:rsid w:val="008F1F98"/>
    <w:rsid w:val="008F206F"/>
    <w:rsid w:val="008F21BE"/>
    <w:rsid w:val="008F27FC"/>
    <w:rsid w:val="008F2F30"/>
    <w:rsid w:val="008F3A3B"/>
    <w:rsid w:val="008F3C9D"/>
    <w:rsid w:val="008F4332"/>
    <w:rsid w:val="008F57D6"/>
    <w:rsid w:val="008F59CE"/>
    <w:rsid w:val="008F6758"/>
    <w:rsid w:val="008F6D92"/>
    <w:rsid w:val="008F6DE2"/>
    <w:rsid w:val="00900264"/>
    <w:rsid w:val="00900A83"/>
    <w:rsid w:val="009010E7"/>
    <w:rsid w:val="00901AE1"/>
    <w:rsid w:val="00901C80"/>
    <w:rsid w:val="00902008"/>
    <w:rsid w:val="009022DB"/>
    <w:rsid w:val="00902936"/>
    <w:rsid w:val="00903499"/>
    <w:rsid w:val="009040DD"/>
    <w:rsid w:val="00904C8D"/>
    <w:rsid w:val="009059BE"/>
    <w:rsid w:val="00905B47"/>
    <w:rsid w:val="00905D02"/>
    <w:rsid w:val="009069DF"/>
    <w:rsid w:val="0091306D"/>
    <w:rsid w:val="0091331C"/>
    <w:rsid w:val="00913597"/>
    <w:rsid w:val="00913E11"/>
    <w:rsid w:val="00915DC1"/>
    <w:rsid w:val="00915DF5"/>
    <w:rsid w:val="0091701F"/>
    <w:rsid w:val="0092014F"/>
    <w:rsid w:val="0092018D"/>
    <w:rsid w:val="0092118A"/>
    <w:rsid w:val="00922BD5"/>
    <w:rsid w:val="00922BE7"/>
    <w:rsid w:val="00923E56"/>
    <w:rsid w:val="009245A2"/>
    <w:rsid w:val="00926127"/>
    <w:rsid w:val="00926698"/>
    <w:rsid w:val="0092716F"/>
    <w:rsid w:val="009273A8"/>
    <w:rsid w:val="009279DE"/>
    <w:rsid w:val="00930116"/>
    <w:rsid w:val="0093162B"/>
    <w:rsid w:val="00931BAB"/>
    <w:rsid w:val="00931DA1"/>
    <w:rsid w:val="00932F8F"/>
    <w:rsid w:val="009347D4"/>
    <w:rsid w:val="0093521F"/>
    <w:rsid w:val="0093786D"/>
    <w:rsid w:val="00941C8F"/>
    <w:rsid w:val="00941D0F"/>
    <w:rsid w:val="0094212C"/>
    <w:rsid w:val="00942297"/>
    <w:rsid w:val="00942DCB"/>
    <w:rsid w:val="009444D5"/>
    <w:rsid w:val="00944A45"/>
    <w:rsid w:val="00944AA2"/>
    <w:rsid w:val="009454F8"/>
    <w:rsid w:val="00946684"/>
    <w:rsid w:val="00950A08"/>
    <w:rsid w:val="0095181E"/>
    <w:rsid w:val="0095233A"/>
    <w:rsid w:val="009523A8"/>
    <w:rsid w:val="009527F0"/>
    <w:rsid w:val="00952CA4"/>
    <w:rsid w:val="00952D16"/>
    <w:rsid w:val="00952E1A"/>
    <w:rsid w:val="00953431"/>
    <w:rsid w:val="00954689"/>
    <w:rsid w:val="00955FB7"/>
    <w:rsid w:val="009602B3"/>
    <w:rsid w:val="009610BC"/>
    <w:rsid w:val="0096154B"/>
    <w:rsid w:val="009617C9"/>
    <w:rsid w:val="00961B3E"/>
    <w:rsid w:val="00961C93"/>
    <w:rsid w:val="00962861"/>
    <w:rsid w:val="00962D50"/>
    <w:rsid w:val="009644BA"/>
    <w:rsid w:val="00965324"/>
    <w:rsid w:val="00965EFA"/>
    <w:rsid w:val="0096634E"/>
    <w:rsid w:val="0096691C"/>
    <w:rsid w:val="00966C8F"/>
    <w:rsid w:val="0096705A"/>
    <w:rsid w:val="009670E2"/>
    <w:rsid w:val="009672C4"/>
    <w:rsid w:val="00967868"/>
    <w:rsid w:val="0097091E"/>
    <w:rsid w:val="00970FF6"/>
    <w:rsid w:val="00971CAE"/>
    <w:rsid w:val="00972FD7"/>
    <w:rsid w:val="009731D1"/>
    <w:rsid w:val="0097326E"/>
    <w:rsid w:val="0097486B"/>
    <w:rsid w:val="00974B71"/>
    <w:rsid w:val="00975E12"/>
    <w:rsid w:val="009760C7"/>
    <w:rsid w:val="009760D3"/>
    <w:rsid w:val="00977132"/>
    <w:rsid w:val="009814F4"/>
    <w:rsid w:val="00981A4B"/>
    <w:rsid w:val="00982501"/>
    <w:rsid w:val="00982818"/>
    <w:rsid w:val="00983791"/>
    <w:rsid w:val="00983E9D"/>
    <w:rsid w:val="00984115"/>
    <w:rsid w:val="00984FA2"/>
    <w:rsid w:val="00986515"/>
    <w:rsid w:val="009869A3"/>
    <w:rsid w:val="009877D3"/>
    <w:rsid w:val="00987CBD"/>
    <w:rsid w:val="009910CD"/>
    <w:rsid w:val="0099137C"/>
    <w:rsid w:val="00991E21"/>
    <w:rsid w:val="009923C3"/>
    <w:rsid w:val="009939FD"/>
    <w:rsid w:val="00993FB3"/>
    <w:rsid w:val="00994E8F"/>
    <w:rsid w:val="009951DC"/>
    <w:rsid w:val="00995327"/>
    <w:rsid w:val="009959BB"/>
    <w:rsid w:val="00997158"/>
    <w:rsid w:val="009A04F4"/>
    <w:rsid w:val="009A065F"/>
    <w:rsid w:val="009A1E33"/>
    <w:rsid w:val="009A1EC7"/>
    <w:rsid w:val="009A2ACC"/>
    <w:rsid w:val="009A2CE1"/>
    <w:rsid w:val="009A3A11"/>
    <w:rsid w:val="009A3A7C"/>
    <w:rsid w:val="009A408E"/>
    <w:rsid w:val="009A45D6"/>
    <w:rsid w:val="009A4804"/>
    <w:rsid w:val="009A5869"/>
    <w:rsid w:val="009A65DC"/>
    <w:rsid w:val="009A732D"/>
    <w:rsid w:val="009B009E"/>
    <w:rsid w:val="009B00EC"/>
    <w:rsid w:val="009B07F8"/>
    <w:rsid w:val="009B0C9B"/>
    <w:rsid w:val="009B10C8"/>
    <w:rsid w:val="009B24C4"/>
    <w:rsid w:val="009B2ADB"/>
    <w:rsid w:val="009B2ADD"/>
    <w:rsid w:val="009B43BF"/>
    <w:rsid w:val="009B5C07"/>
    <w:rsid w:val="009B603A"/>
    <w:rsid w:val="009B6661"/>
    <w:rsid w:val="009C0AC4"/>
    <w:rsid w:val="009C1099"/>
    <w:rsid w:val="009C13AB"/>
    <w:rsid w:val="009C2B29"/>
    <w:rsid w:val="009C2D0E"/>
    <w:rsid w:val="009C3DAC"/>
    <w:rsid w:val="009C42E0"/>
    <w:rsid w:val="009C488B"/>
    <w:rsid w:val="009C5371"/>
    <w:rsid w:val="009C56DA"/>
    <w:rsid w:val="009C5C27"/>
    <w:rsid w:val="009C72C0"/>
    <w:rsid w:val="009D15EF"/>
    <w:rsid w:val="009D2254"/>
    <w:rsid w:val="009D26A7"/>
    <w:rsid w:val="009D3954"/>
    <w:rsid w:val="009D4BA2"/>
    <w:rsid w:val="009D4BE9"/>
    <w:rsid w:val="009D5362"/>
    <w:rsid w:val="009D5471"/>
    <w:rsid w:val="009D5507"/>
    <w:rsid w:val="009D627E"/>
    <w:rsid w:val="009D6490"/>
    <w:rsid w:val="009D67C2"/>
    <w:rsid w:val="009D7334"/>
    <w:rsid w:val="009D7B80"/>
    <w:rsid w:val="009E1415"/>
    <w:rsid w:val="009E3EFE"/>
    <w:rsid w:val="009E5ABF"/>
    <w:rsid w:val="009E6116"/>
    <w:rsid w:val="009E637D"/>
    <w:rsid w:val="009F04D5"/>
    <w:rsid w:val="009F0C33"/>
    <w:rsid w:val="009F168A"/>
    <w:rsid w:val="009F280F"/>
    <w:rsid w:val="009F2949"/>
    <w:rsid w:val="009F38F2"/>
    <w:rsid w:val="009F4A0C"/>
    <w:rsid w:val="00A01871"/>
    <w:rsid w:val="00A01C72"/>
    <w:rsid w:val="00A01D9E"/>
    <w:rsid w:val="00A0200E"/>
    <w:rsid w:val="00A02790"/>
    <w:rsid w:val="00A02E43"/>
    <w:rsid w:val="00A041A0"/>
    <w:rsid w:val="00A0432D"/>
    <w:rsid w:val="00A04724"/>
    <w:rsid w:val="00A065F9"/>
    <w:rsid w:val="00A07B95"/>
    <w:rsid w:val="00A07F34"/>
    <w:rsid w:val="00A123C7"/>
    <w:rsid w:val="00A129DA"/>
    <w:rsid w:val="00A12C14"/>
    <w:rsid w:val="00A13278"/>
    <w:rsid w:val="00A13657"/>
    <w:rsid w:val="00A14268"/>
    <w:rsid w:val="00A1493C"/>
    <w:rsid w:val="00A149F7"/>
    <w:rsid w:val="00A14E38"/>
    <w:rsid w:val="00A14FDA"/>
    <w:rsid w:val="00A150F0"/>
    <w:rsid w:val="00A153F1"/>
    <w:rsid w:val="00A15706"/>
    <w:rsid w:val="00A1602C"/>
    <w:rsid w:val="00A17608"/>
    <w:rsid w:val="00A20013"/>
    <w:rsid w:val="00A20402"/>
    <w:rsid w:val="00A207E1"/>
    <w:rsid w:val="00A20E82"/>
    <w:rsid w:val="00A2204D"/>
    <w:rsid w:val="00A22154"/>
    <w:rsid w:val="00A221C4"/>
    <w:rsid w:val="00A23539"/>
    <w:rsid w:val="00A23883"/>
    <w:rsid w:val="00A24E7E"/>
    <w:rsid w:val="00A25118"/>
    <w:rsid w:val="00A25C38"/>
    <w:rsid w:val="00A26A29"/>
    <w:rsid w:val="00A2749A"/>
    <w:rsid w:val="00A27EFB"/>
    <w:rsid w:val="00A30CDF"/>
    <w:rsid w:val="00A310FE"/>
    <w:rsid w:val="00A3173A"/>
    <w:rsid w:val="00A3294F"/>
    <w:rsid w:val="00A33712"/>
    <w:rsid w:val="00A33A27"/>
    <w:rsid w:val="00A33E68"/>
    <w:rsid w:val="00A35343"/>
    <w:rsid w:val="00A3543B"/>
    <w:rsid w:val="00A364D6"/>
    <w:rsid w:val="00A36BBE"/>
    <w:rsid w:val="00A36E91"/>
    <w:rsid w:val="00A4048F"/>
    <w:rsid w:val="00A404FB"/>
    <w:rsid w:val="00A40BCF"/>
    <w:rsid w:val="00A40CAF"/>
    <w:rsid w:val="00A4197A"/>
    <w:rsid w:val="00A42916"/>
    <w:rsid w:val="00A42AA0"/>
    <w:rsid w:val="00A4307A"/>
    <w:rsid w:val="00A43FDB"/>
    <w:rsid w:val="00A44966"/>
    <w:rsid w:val="00A45AF8"/>
    <w:rsid w:val="00A46A6E"/>
    <w:rsid w:val="00A47EBB"/>
    <w:rsid w:val="00A50111"/>
    <w:rsid w:val="00A510F3"/>
    <w:rsid w:val="00A51CDD"/>
    <w:rsid w:val="00A53250"/>
    <w:rsid w:val="00A54E23"/>
    <w:rsid w:val="00A55395"/>
    <w:rsid w:val="00A56E3C"/>
    <w:rsid w:val="00A5753F"/>
    <w:rsid w:val="00A6008C"/>
    <w:rsid w:val="00A607F7"/>
    <w:rsid w:val="00A62826"/>
    <w:rsid w:val="00A629B8"/>
    <w:rsid w:val="00A6345A"/>
    <w:rsid w:val="00A645EE"/>
    <w:rsid w:val="00A64A2D"/>
    <w:rsid w:val="00A64EA4"/>
    <w:rsid w:val="00A6582B"/>
    <w:rsid w:val="00A66F37"/>
    <w:rsid w:val="00A6730D"/>
    <w:rsid w:val="00A70A55"/>
    <w:rsid w:val="00A71625"/>
    <w:rsid w:val="00A71B9B"/>
    <w:rsid w:val="00A71D3E"/>
    <w:rsid w:val="00A722F2"/>
    <w:rsid w:val="00A72A67"/>
    <w:rsid w:val="00A73C5B"/>
    <w:rsid w:val="00A7411D"/>
    <w:rsid w:val="00A751C7"/>
    <w:rsid w:val="00A75C78"/>
    <w:rsid w:val="00A77A5A"/>
    <w:rsid w:val="00A77DD3"/>
    <w:rsid w:val="00A818F1"/>
    <w:rsid w:val="00A827D0"/>
    <w:rsid w:val="00A834BD"/>
    <w:rsid w:val="00A85736"/>
    <w:rsid w:val="00A85AB0"/>
    <w:rsid w:val="00A8677E"/>
    <w:rsid w:val="00A87844"/>
    <w:rsid w:val="00A87E9F"/>
    <w:rsid w:val="00A91F64"/>
    <w:rsid w:val="00A927DA"/>
    <w:rsid w:val="00A93B35"/>
    <w:rsid w:val="00A9476E"/>
    <w:rsid w:val="00A949C7"/>
    <w:rsid w:val="00A94BEA"/>
    <w:rsid w:val="00A960DE"/>
    <w:rsid w:val="00A969DC"/>
    <w:rsid w:val="00AA038C"/>
    <w:rsid w:val="00AA0452"/>
    <w:rsid w:val="00AA0F8E"/>
    <w:rsid w:val="00AA1105"/>
    <w:rsid w:val="00AA11E7"/>
    <w:rsid w:val="00AA11EF"/>
    <w:rsid w:val="00AA17A1"/>
    <w:rsid w:val="00AA250B"/>
    <w:rsid w:val="00AA2915"/>
    <w:rsid w:val="00AA2E0B"/>
    <w:rsid w:val="00AA49C6"/>
    <w:rsid w:val="00AA666C"/>
    <w:rsid w:val="00AA67D4"/>
    <w:rsid w:val="00AA7A09"/>
    <w:rsid w:val="00AB0748"/>
    <w:rsid w:val="00AB10C2"/>
    <w:rsid w:val="00AB1770"/>
    <w:rsid w:val="00AB3286"/>
    <w:rsid w:val="00AB34C5"/>
    <w:rsid w:val="00AB37CD"/>
    <w:rsid w:val="00AB3B50"/>
    <w:rsid w:val="00AB4B22"/>
    <w:rsid w:val="00AB4E8C"/>
    <w:rsid w:val="00AB6769"/>
    <w:rsid w:val="00AB7654"/>
    <w:rsid w:val="00AC05B1"/>
    <w:rsid w:val="00AC0AC2"/>
    <w:rsid w:val="00AC1D28"/>
    <w:rsid w:val="00AC27AF"/>
    <w:rsid w:val="00AC28EB"/>
    <w:rsid w:val="00AC2A3E"/>
    <w:rsid w:val="00AC3FBE"/>
    <w:rsid w:val="00AC46DB"/>
    <w:rsid w:val="00AC47BA"/>
    <w:rsid w:val="00AC47C9"/>
    <w:rsid w:val="00AC5C9C"/>
    <w:rsid w:val="00AC5DD1"/>
    <w:rsid w:val="00AC7CFC"/>
    <w:rsid w:val="00AD06AF"/>
    <w:rsid w:val="00AD0FAE"/>
    <w:rsid w:val="00AD119C"/>
    <w:rsid w:val="00AD21C0"/>
    <w:rsid w:val="00AD356C"/>
    <w:rsid w:val="00AD37B0"/>
    <w:rsid w:val="00AD477F"/>
    <w:rsid w:val="00AD60A4"/>
    <w:rsid w:val="00AD64DA"/>
    <w:rsid w:val="00AD6707"/>
    <w:rsid w:val="00AD673C"/>
    <w:rsid w:val="00AD6DAE"/>
    <w:rsid w:val="00AD740D"/>
    <w:rsid w:val="00AE0F00"/>
    <w:rsid w:val="00AE2914"/>
    <w:rsid w:val="00AE362B"/>
    <w:rsid w:val="00AE6D15"/>
    <w:rsid w:val="00AF08F6"/>
    <w:rsid w:val="00AF2469"/>
    <w:rsid w:val="00AF3918"/>
    <w:rsid w:val="00AF3BE6"/>
    <w:rsid w:val="00AF3D06"/>
    <w:rsid w:val="00AF4DEC"/>
    <w:rsid w:val="00AF4F5A"/>
    <w:rsid w:val="00B007DF"/>
    <w:rsid w:val="00B01259"/>
    <w:rsid w:val="00B01E67"/>
    <w:rsid w:val="00B023CE"/>
    <w:rsid w:val="00B02673"/>
    <w:rsid w:val="00B02EA4"/>
    <w:rsid w:val="00B034AE"/>
    <w:rsid w:val="00B04182"/>
    <w:rsid w:val="00B04896"/>
    <w:rsid w:val="00B0495F"/>
    <w:rsid w:val="00B04ED0"/>
    <w:rsid w:val="00B04F8D"/>
    <w:rsid w:val="00B0524B"/>
    <w:rsid w:val="00B0537E"/>
    <w:rsid w:val="00B05A4B"/>
    <w:rsid w:val="00B05F97"/>
    <w:rsid w:val="00B06985"/>
    <w:rsid w:val="00B07135"/>
    <w:rsid w:val="00B071FB"/>
    <w:rsid w:val="00B07A48"/>
    <w:rsid w:val="00B07AE3"/>
    <w:rsid w:val="00B10C20"/>
    <w:rsid w:val="00B11430"/>
    <w:rsid w:val="00B1157D"/>
    <w:rsid w:val="00B12087"/>
    <w:rsid w:val="00B126CC"/>
    <w:rsid w:val="00B12F32"/>
    <w:rsid w:val="00B146F2"/>
    <w:rsid w:val="00B14D89"/>
    <w:rsid w:val="00B15F24"/>
    <w:rsid w:val="00B16ECB"/>
    <w:rsid w:val="00B17BFC"/>
    <w:rsid w:val="00B17FB2"/>
    <w:rsid w:val="00B2021E"/>
    <w:rsid w:val="00B215C6"/>
    <w:rsid w:val="00B21E62"/>
    <w:rsid w:val="00B21F81"/>
    <w:rsid w:val="00B2258F"/>
    <w:rsid w:val="00B225D2"/>
    <w:rsid w:val="00B22907"/>
    <w:rsid w:val="00B23859"/>
    <w:rsid w:val="00B23884"/>
    <w:rsid w:val="00B23DE0"/>
    <w:rsid w:val="00B23FF7"/>
    <w:rsid w:val="00B252DC"/>
    <w:rsid w:val="00B257D2"/>
    <w:rsid w:val="00B25AD0"/>
    <w:rsid w:val="00B25DC4"/>
    <w:rsid w:val="00B2689F"/>
    <w:rsid w:val="00B2768D"/>
    <w:rsid w:val="00B276DA"/>
    <w:rsid w:val="00B27AFB"/>
    <w:rsid w:val="00B30E66"/>
    <w:rsid w:val="00B31865"/>
    <w:rsid w:val="00B322F5"/>
    <w:rsid w:val="00B32455"/>
    <w:rsid w:val="00B327F6"/>
    <w:rsid w:val="00B32BBC"/>
    <w:rsid w:val="00B345CE"/>
    <w:rsid w:val="00B353EB"/>
    <w:rsid w:val="00B3593F"/>
    <w:rsid w:val="00B37A28"/>
    <w:rsid w:val="00B404E4"/>
    <w:rsid w:val="00B40CB0"/>
    <w:rsid w:val="00B4217C"/>
    <w:rsid w:val="00B421E7"/>
    <w:rsid w:val="00B42DCB"/>
    <w:rsid w:val="00B436CB"/>
    <w:rsid w:val="00B439C4"/>
    <w:rsid w:val="00B4479B"/>
    <w:rsid w:val="00B448AC"/>
    <w:rsid w:val="00B45301"/>
    <w:rsid w:val="00B4535E"/>
    <w:rsid w:val="00B45417"/>
    <w:rsid w:val="00B45677"/>
    <w:rsid w:val="00B460B2"/>
    <w:rsid w:val="00B47F55"/>
    <w:rsid w:val="00B504B2"/>
    <w:rsid w:val="00B507F7"/>
    <w:rsid w:val="00B52A8C"/>
    <w:rsid w:val="00B534C4"/>
    <w:rsid w:val="00B547C3"/>
    <w:rsid w:val="00B56227"/>
    <w:rsid w:val="00B564FB"/>
    <w:rsid w:val="00B570D2"/>
    <w:rsid w:val="00B60E1F"/>
    <w:rsid w:val="00B63557"/>
    <w:rsid w:val="00B636A8"/>
    <w:rsid w:val="00B6390D"/>
    <w:rsid w:val="00B648D5"/>
    <w:rsid w:val="00B665C6"/>
    <w:rsid w:val="00B66C74"/>
    <w:rsid w:val="00B66F2E"/>
    <w:rsid w:val="00B67C0C"/>
    <w:rsid w:val="00B700E8"/>
    <w:rsid w:val="00B7042D"/>
    <w:rsid w:val="00B71160"/>
    <w:rsid w:val="00B717F1"/>
    <w:rsid w:val="00B73208"/>
    <w:rsid w:val="00B743E7"/>
    <w:rsid w:val="00B74866"/>
    <w:rsid w:val="00B750F7"/>
    <w:rsid w:val="00B751D0"/>
    <w:rsid w:val="00B7529C"/>
    <w:rsid w:val="00B752FE"/>
    <w:rsid w:val="00B762D5"/>
    <w:rsid w:val="00B769A8"/>
    <w:rsid w:val="00B77051"/>
    <w:rsid w:val="00B77BA2"/>
    <w:rsid w:val="00B804DA"/>
    <w:rsid w:val="00B805AF"/>
    <w:rsid w:val="00B81183"/>
    <w:rsid w:val="00B813E5"/>
    <w:rsid w:val="00B82B96"/>
    <w:rsid w:val="00B82D3E"/>
    <w:rsid w:val="00B83136"/>
    <w:rsid w:val="00B841CE"/>
    <w:rsid w:val="00B85DB5"/>
    <w:rsid w:val="00B862A0"/>
    <w:rsid w:val="00B869EC"/>
    <w:rsid w:val="00B87070"/>
    <w:rsid w:val="00B87239"/>
    <w:rsid w:val="00B917EE"/>
    <w:rsid w:val="00B92483"/>
    <w:rsid w:val="00B92BAB"/>
    <w:rsid w:val="00B92C56"/>
    <w:rsid w:val="00B930EE"/>
    <w:rsid w:val="00B9397A"/>
    <w:rsid w:val="00B945B9"/>
    <w:rsid w:val="00B9633D"/>
    <w:rsid w:val="00B96421"/>
    <w:rsid w:val="00B96676"/>
    <w:rsid w:val="00B97D96"/>
    <w:rsid w:val="00B97FDB"/>
    <w:rsid w:val="00BA0B75"/>
    <w:rsid w:val="00BA0C2C"/>
    <w:rsid w:val="00BA0CCD"/>
    <w:rsid w:val="00BA100C"/>
    <w:rsid w:val="00BA1341"/>
    <w:rsid w:val="00BA165C"/>
    <w:rsid w:val="00BA1803"/>
    <w:rsid w:val="00BA2829"/>
    <w:rsid w:val="00BA2EBE"/>
    <w:rsid w:val="00BA2FE4"/>
    <w:rsid w:val="00BA3096"/>
    <w:rsid w:val="00BA3777"/>
    <w:rsid w:val="00BA39B2"/>
    <w:rsid w:val="00BA39C1"/>
    <w:rsid w:val="00BA4AE9"/>
    <w:rsid w:val="00BA4B0B"/>
    <w:rsid w:val="00BA655B"/>
    <w:rsid w:val="00BA6CC8"/>
    <w:rsid w:val="00BA701C"/>
    <w:rsid w:val="00BB01F3"/>
    <w:rsid w:val="00BB090A"/>
    <w:rsid w:val="00BB0AC3"/>
    <w:rsid w:val="00BB0F28"/>
    <w:rsid w:val="00BB24D1"/>
    <w:rsid w:val="00BB262D"/>
    <w:rsid w:val="00BB283B"/>
    <w:rsid w:val="00BB417A"/>
    <w:rsid w:val="00BB4336"/>
    <w:rsid w:val="00BB458A"/>
    <w:rsid w:val="00BB50A2"/>
    <w:rsid w:val="00BB600B"/>
    <w:rsid w:val="00BC1717"/>
    <w:rsid w:val="00BC186D"/>
    <w:rsid w:val="00BC1D88"/>
    <w:rsid w:val="00BC29B1"/>
    <w:rsid w:val="00BC2DB7"/>
    <w:rsid w:val="00BC2FD3"/>
    <w:rsid w:val="00BC341E"/>
    <w:rsid w:val="00BC343A"/>
    <w:rsid w:val="00BC4C86"/>
    <w:rsid w:val="00BC5712"/>
    <w:rsid w:val="00BC6998"/>
    <w:rsid w:val="00BD00D3"/>
    <w:rsid w:val="00BD0DE6"/>
    <w:rsid w:val="00BD1659"/>
    <w:rsid w:val="00BD20A2"/>
    <w:rsid w:val="00BD281E"/>
    <w:rsid w:val="00BD2A5E"/>
    <w:rsid w:val="00BD3AA9"/>
    <w:rsid w:val="00BD3D49"/>
    <w:rsid w:val="00BD46D6"/>
    <w:rsid w:val="00BD4A18"/>
    <w:rsid w:val="00BD6170"/>
    <w:rsid w:val="00BD630E"/>
    <w:rsid w:val="00BD674D"/>
    <w:rsid w:val="00BD6C7E"/>
    <w:rsid w:val="00BD6DB2"/>
    <w:rsid w:val="00BE0145"/>
    <w:rsid w:val="00BE11CF"/>
    <w:rsid w:val="00BE1556"/>
    <w:rsid w:val="00BE16E1"/>
    <w:rsid w:val="00BE1B99"/>
    <w:rsid w:val="00BE21AB"/>
    <w:rsid w:val="00BE38A1"/>
    <w:rsid w:val="00BE3969"/>
    <w:rsid w:val="00BE3B71"/>
    <w:rsid w:val="00BE3F7A"/>
    <w:rsid w:val="00BE527F"/>
    <w:rsid w:val="00BE55CB"/>
    <w:rsid w:val="00BE5C0E"/>
    <w:rsid w:val="00BE6DB8"/>
    <w:rsid w:val="00BF0867"/>
    <w:rsid w:val="00BF1C40"/>
    <w:rsid w:val="00BF38C5"/>
    <w:rsid w:val="00BF3F56"/>
    <w:rsid w:val="00BF617A"/>
    <w:rsid w:val="00BF6632"/>
    <w:rsid w:val="00BF6FCE"/>
    <w:rsid w:val="00C00108"/>
    <w:rsid w:val="00C00930"/>
    <w:rsid w:val="00C00BB7"/>
    <w:rsid w:val="00C00F44"/>
    <w:rsid w:val="00C01C11"/>
    <w:rsid w:val="00C0354F"/>
    <w:rsid w:val="00C0379D"/>
    <w:rsid w:val="00C03931"/>
    <w:rsid w:val="00C05FD6"/>
    <w:rsid w:val="00C05FE3"/>
    <w:rsid w:val="00C1051F"/>
    <w:rsid w:val="00C11482"/>
    <w:rsid w:val="00C11575"/>
    <w:rsid w:val="00C12676"/>
    <w:rsid w:val="00C142B2"/>
    <w:rsid w:val="00C1463E"/>
    <w:rsid w:val="00C149D8"/>
    <w:rsid w:val="00C1599E"/>
    <w:rsid w:val="00C2136D"/>
    <w:rsid w:val="00C214EE"/>
    <w:rsid w:val="00C21DCD"/>
    <w:rsid w:val="00C21EE5"/>
    <w:rsid w:val="00C2291F"/>
    <w:rsid w:val="00C2314B"/>
    <w:rsid w:val="00C23F33"/>
    <w:rsid w:val="00C23F72"/>
    <w:rsid w:val="00C24971"/>
    <w:rsid w:val="00C25805"/>
    <w:rsid w:val="00C25AB3"/>
    <w:rsid w:val="00C25CA4"/>
    <w:rsid w:val="00C26BE5"/>
    <w:rsid w:val="00C26E4D"/>
    <w:rsid w:val="00C27909"/>
    <w:rsid w:val="00C27B03"/>
    <w:rsid w:val="00C302C5"/>
    <w:rsid w:val="00C30655"/>
    <w:rsid w:val="00C314E1"/>
    <w:rsid w:val="00C31944"/>
    <w:rsid w:val="00C32D5A"/>
    <w:rsid w:val="00C34397"/>
    <w:rsid w:val="00C34826"/>
    <w:rsid w:val="00C348A2"/>
    <w:rsid w:val="00C36A80"/>
    <w:rsid w:val="00C3788B"/>
    <w:rsid w:val="00C4095D"/>
    <w:rsid w:val="00C44D25"/>
    <w:rsid w:val="00C452E4"/>
    <w:rsid w:val="00C46224"/>
    <w:rsid w:val="00C46469"/>
    <w:rsid w:val="00C46FE8"/>
    <w:rsid w:val="00C4747D"/>
    <w:rsid w:val="00C4779C"/>
    <w:rsid w:val="00C5270E"/>
    <w:rsid w:val="00C53A61"/>
    <w:rsid w:val="00C53D97"/>
    <w:rsid w:val="00C546D7"/>
    <w:rsid w:val="00C5516E"/>
    <w:rsid w:val="00C571CB"/>
    <w:rsid w:val="00C57B5F"/>
    <w:rsid w:val="00C601D2"/>
    <w:rsid w:val="00C626A6"/>
    <w:rsid w:val="00C628C2"/>
    <w:rsid w:val="00C62E61"/>
    <w:rsid w:val="00C64616"/>
    <w:rsid w:val="00C64EAD"/>
    <w:rsid w:val="00C65BCC"/>
    <w:rsid w:val="00C664AE"/>
    <w:rsid w:val="00C66970"/>
    <w:rsid w:val="00C66AAD"/>
    <w:rsid w:val="00C673C7"/>
    <w:rsid w:val="00C705B2"/>
    <w:rsid w:val="00C7079E"/>
    <w:rsid w:val="00C73382"/>
    <w:rsid w:val="00C73F9B"/>
    <w:rsid w:val="00C74DAD"/>
    <w:rsid w:val="00C750AA"/>
    <w:rsid w:val="00C76703"/>
    <w:rsid w:val="00C76A33"/>
    <w:rsid w:val="00C77EDA"/>
    <w:rsid w:val="00C77F1E"/>
    <w:rsid w:val="00C77FE5"/>
    <w:rsid w:val="00C80283"/>
    <w:rsid w:val="00C80790"/>
    <w:rsid w:val="00C8247A"/>
    <w:rsid w:val="00C83067"/>
    <w:rsid w:val="00C83A23"/>
    <w:rsid w:val="00C8410B"/>
    <w:rsid w:val="00C84E1D"/>
    <w:rsid w:val="00C85325"/>
    <w:rsid w:val="00C85F5A"/>
    <w:rsid w:val="00C8691C"/>
    <w:rsid w:val="00C87246"/>
    <w:rsid w:val="00C93F34"/>
    <w:rsid w:val="00C949E1"/>
    <w:rsid w:val="00C95764"/>
    <w:rsid w:val="00C95A79"/>
    <w:rsid w:val="00C965AD"/>
    <w:rsid w:val="00C978CB"/>
    <w:rsid w:val="00C97F13"/>
    <w:rsid w:val="00CA166C"/>
    <w:rsid w:val="00CA168A"/>
    <w:rsid w:val="00CA1CD6"/>
    <w:rsid w:val="00CA1E9E"/>
    <w:rsid w:val="00CA25A3"/>
    <w:rsid w:val="00CA357E"/>
    <w:rsid w:val="00CA3612"/>
    <w:rsid w:val="00CA44F9"/>
    <w:rsid w:val="00CA4A69"/>
    <w:rsid w:val="00CA4C5B"/>
    <w:rsid w:val="00CB0A2B"/>
    <w:rsid w:val="00CB141B"/>
    <w:rsid w:val="00CB1E42"/>
    <w:rsid w:val="00CB393C"/>
    <w:rsid w:val="00CB3F85"/>
    <w:rsid w:val="00CB60EB"/>
    <w:rsid w:val="00CB6501"/>
    <w:rsid w:val="00CB7629"/>
    <w:rsid w:val="00CC01C7"/>
    <w:rsid w:val="00CC079B"/>
    <w:rsid w:val="00CC12FC"/>
    <w:rsid w:val="00CC1FD2"/>
    <w:rsid w:val="00CC2708"/>
    <w:rsid w:val="00CC3B1C"/>
    <w:rsid w:val="00CC3E0C"/>
    <w:rsid w:val="00CC4319"/>
    <w:rsid w:val="00CC4D89"/>
    <w:rsid w:val="00CC4EA1"/>
    <w:rsid w:val="00CC561E"/>
    <w:rsid w:val="00CC58D3"/>
    <w:rsid w:val="00CC784D"/>
    <w:rsid w:val="00CC7A4E"/>
    <w:rsid w:val="00CC7CD8"/>
    <w:rsid w:val="00CD091A"/>
    <w:rsid w:val="00CD145C"/>
    <w:rsid w:val="00CD1F7C"/>
    <w:rsid w:val="00CD42D0"/>
    <w:rsid w:val="00CD48BB"/>
    <w:rsid w:val="00CD5363"/>
    <w:rsid w:val="00CD5F80"/>
    <w:rsid w:val="00CD6574"/>
    <w:rsid w:val="00CD7E17"/>
    <w:rsid w:val="00CE03A7"/>
    <w:rsid w:val="00CE1611"/>
    <w:rsid w:val="00CE1D21"/>
    <w:rsid w:val="00CE1DC0"/>
    <w:rsid w:val="00CE20FD"/>
    <w:rsid w:val="00CE3C23"/>
    <w:rsid w:val="00CE410D"/>
    <w:rsid w:val="00CE6905"/>
    <w:rsid w:val="00CE6F0F"/>
    <w:rsid w:val="00CE6FA9"/>
    <w:rsid w:val="00CE7B93"/>
    <w:rsid w:val="00CE7DBF"/>
    <w:rsid w:val="00CF059A"/>
    <w:rsid w:val="00CF07DA"/>
    <w:rsid w:val="00CF2BE5"/>
    <w:rsid w:val="00CF2CA8"/>
    <w:rsid w:val="00CF2D87"/>
    <w:rsid w:val="00CF320C"/>
    <w:rsid w:val="00CF3F00"/>
    <w:rsid w:val="00CF447F"/>
    <w:rsid w:val="00CF62A3"/>
    <w:rsid w:val="00CF635E"/>
    <w:rsid w:val="00CF6D87"/>
    <w:rsid w:val="00CF75EC"/>
    <w:rsid w:val="00CF7614"/>
    <w:rsid w:val="00CF76F4"/>
    <w:rsid w:val="00CF7921"/>
    <w:rsid w:val="00CF7B53"/>
    <w:rsid w:val="00CF7DE2"/>
    <w:rsid w:val="00D0027A"/>
    <w:rsid w:val="00D00E36"/>
    <w:rsid w:val="00D0337B"/>
    <w:rsid w:val="00D04DC2"/>
    <w:rsid w:val="00D05CB0"/>
    <w:rsid w:val="00D05FA3"/>
    <w:rsid w:val="00D06ABC"/>
    <w:rsid w:val="00D06CED"/>
    <w:rsid w:val="00D079B2"/>
    <w:rsid w:val="00D114E9"/>
    <w:rsid w:val="00D11728"/>
    <w:rsid w:val="00D13DCF"/>
    <w:rsid w:val="00D13F4E"/>
    <w:rsid w:val="00D140C9"/>
    <w:rsid w:val="00D141B9"/>
    <w:rsid w:val="00D15EF3"/>
    <w:rsid w:val="00D16B72"/>
    <w:rsid w:val="00D16BA3"/>
    <w:rsid w:val="00D20716"/>
    <w:rsid w:val="00D21473"/>
    <w:rsid w:val="00D21A6B"/>
    <w:rsid w:val="00D21ADE"/>
    <w:rsid w:val="00D23E1C"/>
    <w:rsid w:val="00D25120"/>
    <w:rsid w:val="00D2584D"/>
    <w:rsid w:val="00D306A6"/>
    <w:rsid w:val="00D30A87"/>
    <w:rsid w:val="00D31ED0"/>
    <w:rsid w:val="00D33279"/>
    <w:rsid w:val="00D351EA"/>
    <w:rsid w:val="00D36EE8"/>
    <w:rsid w:val="00D37159"/>
    <w:rsid w:val="00D37418"/>
    <w:rsid w:val="00D37479"/>
    <w:rsid w:val="00D378C6"/>
    <w:rsid w:val="00D378E3"/>
    <w:rsid w:val="00D37EAC"/>
    <w:rsid w:val="00D401F6"/>
    <w:rsid w:val="00D408E4"/>
    <w:rsid w:val="00D42354"/>
    <w:rsid w:val="00D423B1"/>
    <w:rsid w:val="00D429C6"/>
    <w:rsid w:val="00D431E2"/>
    <w:rsid w:val="00D43314"/>
    <w:rsid w:val="00D45B3E"/>
    <w:rsid w:val="00D46808"/>
    <w:rsid w:val="00D47748"/>
    <w:rsid w:val="00D47980"/>
    <w:rsid w:val="00D5033E"/>
    <w:rsid w:val="00D51BD9"/>
    <w:rsid w:val="00D528FA"/>
    <w:rsid w:val="00D53B47"/>
    <w:rsid w:val="00D53D1E"/>
    <w:rsid w:val="00D54024"/>
    <w:rsid w:val="00D5464C"/>
    <w:rsid w:val="00D54CC3"/>
    <w:rsid w:val="00D54FC5"/>
    <w:rsid w:val="00D5564F"/>
    <w:rsid w:val="00D55758"/>
    <w:rsid w:val="00D55D80"/>
    <w:rsid w:val="00D56BB8"/>
    <w:rsid w:val="00D56D3B"/>
    <w:rsid w:val="00D57836"/>
    <w:rsid w:val="00D57AAF"/>
    <w:rsid w:val="00D57C0F"/>
    <w:rsid w:val="00D57C2A"/>
    <w:rsid w:val="00D6041A"/>
    <w:rsid w:val="00D61C33"/>
    <w:rsid w:val="00D62079"/>
    <w:rsid w:val="00D62378"/>
    <w:rsid w:val="00D62BD8"/>
    <w:rsid w:val="00D63144"/>
    <w:rsid w:val="00D633EB"/>
    <w:rsid w:val="00D638D8"/>
    <w:rsid w:val="00D66CC6"/>
    <w:rsid w:val="00D67314"/>
    <w:rsid w:val="00D6783A"/>
    <w:rsid w:val="00D70AF8"/>
    <w:rsid w:val="00D718CA"/>
    <w:rsid w:val="00D71911"/>
    <w:rsid w:val="00D724B9"/>
    <w:rsid w:val="00D72C1C"/>
    <w:rsid w:val="00D72E13"/>
    <w:rsid w:val="00D76CDE"/>
    <w:rsid w:val="00D76EC5"/>
    <w:rsid w:val="00D7764E"/>
    <w:rsid w:val="00D804BB"/>
    <w:rsid w:val="00D81CE5"/>
    <w:rsid w:val="00D82FF7"/>
    <w:rsid w:val="00D8430E"/>
    <w:rsid w:val="00D84429"/>
    <w:rsid w:val="00D847FE"/>
    <w:rsid w:val="00D85CDB"/>
    <w:rsid w:val="00D87039"/>
    <w:rsid w:val="00D879BB"/>
    <w:rsid w:val="00D87F9D"/>
    <w:rsid w:val="00D924BC"/>
    <w:rsid w:val="00D9368C"/>
    <w:rsid w:val="00D93A1D"/>
    <w:rsid w:val="00D964EA"/>
    <w:rsid w:val="00D966D0"/>
    <w:rsid w:val="00DA08CE"/>
    <w:rsid w:val="00DA0C59"/>
    <w:rsid w:val="00DA2565"/>
    <w:rsid w:val="00DA262D"/>
    <w:rsid w:val="00DA2DC3"/>
    <w:rsid w:val="00DA3991"/>
    <w:rsid w:val="00DA3A88"/>
    <w:rsid w:val="00DA59AC"/>
    <w:rsid w:val="00DA69EA"/>
    <w:rsid w:val="00DB0990"/>
    <w:rsid w:val="00DB0CEF"/>
    <w:rsid w:val="00DB0FDE"/>
    <w:rsid w:val="00DB2436"/>
    <w:rsid w:val="00DB29E1"/>
    <w:rsid w:val="00DB29EA"/>
    <w:rsid w:val="00DB31E1"/>
    <w:rsid w:val="00DB33EA"/>
    <w:rsid w:val="00DB414A"/>
    <w:rsid w:val="00DB59B7"/>
    <w:rsid w:val="00DB6167"/>
    <w:rsid w:val="00DB65BC"/>
    <w:rsid w:val="00DB691D"/>
    <w:rsid w:val="00DB7150"/>
    <w:rsid w:val="00DB7C9C"/>
    <w:rsid w:val="00DB7E6C"/>
    <w:rsid w:val="00DC118C"/>
    <w:rsid w:val="00DC1698"/>
    <w:rsid w:val="00DC1904"/>
    <w:rsid w:val="00DC1D0A"/>
    <w:rsid w:val="00DC2B3D"/>
    <w:rsid w:val="00DC2C69"/>
    <w:rsid w:val="00DC30E5"/>
    <w:rsid w:val="00DC36DA"/>
    <w:rsid w:val="00DC3AFF"/>
    <w:rsid w:val="00DC4CC9"/>
    <w:rsid w:val="00DC4D14"/>
    <w:rsid w:val="00DC62B3"/>
    <w:rsid w:val="00DD1B2A"/>
    <w:rsid w:val="00DD25B3"/>
    <w:rsid w:val="00DD4697"/>
    <w:rsid w:val="00DD487C"/>
    <w:rsid w:val="00DD5247"/>
    <w:rsid w:val="00DD5A29"/>
    <w:rsid w:val="00DD5C4C"/>
    <w:rsid w:val="00DD5D9D"/>
    <w:rsid w:val="00DD628B"/>
    <w:rsid w:val="00DD6684"/>
    <w:rsid w:val="00DD66E0"/>
    <w:rsid w:val="00DD714D"/>
    <w:rsid w:val="00DE011F"/>
    <w:rsid w:val="00DE35CB"/>
    <w:rsid w:val="00DE367A"/>
    <w:rsid w:val="00DE4DF3"/>
    <w:rsid w:val="00DE554F"/>
    <w:rsid w:val="00DE585F"/>
    <w:rsid w:val="00DE6471"/>
    <w:rsid w:val="00DE7EA9"/>
    <w:rsid w:val="00DF003C"/>
    <w:rsid w:val="00DF0630"/>
    <w:rsid w:val="00DF11CC"/>
    <w:rsid w:val="00DF133F"/>
    <w:rsid w:val="00DF1C48"/>
    <w:rsid w:val="00DF21E9"/>
    <w:rsid w:val="00DF248B"/>
    <w:rsid w:val="00DF2E40"/>
    <w:rsid w:val="00DF441D"/>
    <w:rsid w:val="00DF44A7"/>
    <w:rsid w:val="00DF48AB"/>
    <w:rsid w:val="00DF5217"/>
    <w:rsid w:val="00DF6313"/>
    <w:rsid w:val="00DF6872"/>
    <w:rsid w:val="00DF6EAE"/>
    <w:rsid w:val="00DF720D"/>
    <w:rsid w:val="00DF787E"/>
    <w:rsid w:val="00E00585"/>
    <w:rsid w:val="00E00700"/>
    <w:rsid w:val="00E00F14"/>
    <w:rsid w:val="00E01A5B"/>
    <w:rsid w:val="00E01C74"/>
    <w:rsid w:val="00E026E3"/>
    <w:rsid w:val="00E03266"/>
    <w:rsid w:val="00E036CD"/>
    <w:rsid w:val="00E040CA"/>
    <w:rsid w:val="00E044EE"/>
    <w:rsid w:val="00E05505"/>
    <w:rsid w:val="00E06386"/>
    <w:rsid w:val="00E07F28"/>
    <w:rsid w:val="00E10C8D"/>
    <w:rsid w:val="00E10F23"/>
    <w:rsid w:val="00E11014"/>
    <w:rsid w:val="00E1104B"/>
    <w:rsid w:val="00E116CF"/>
    <w:rsid w:val="00E159E0"/>
    <w:rsid w:val="00E16871"/>
    <w:rsid w:val="00E16921"/>
    <w:rsid w:val="00E16B0C"/>
    <w:rsid w:val="00E174B3"/>
    <w:rsid w:val="00E210A6"/>
    <w:rsid w:val="00E213D0"/>
    <w:rsid w:val="00E21724"/>
    <w:rsid w:val="00E22A97"/>
    <w:rsid w:val="00E236D3"/>
    <w:rsid w:val="00E243F7"/>
    <w:rsid w:val="00E245AD"/>
    <w:rsid w:val="00E24EB4"/>
    <w:rsid w:val="00E2544A"/>
    <w:rsid w:val="00E25450"/>
    <w:rsid w:val="00E262F4"/>
    <w:rsid w:val="00E274EE"/>
    <w:rsid w:val="00E3111D"/>
    <w:rsid w:val="00E320ED"/>
    <w:rsid w:val="00E326C4"/>
    <w:rsid w:val="00E33106"/>
    <w:rsid w:val="00E33821"/>
    <w:rsid w:val="00E33AFB"/>
    <w:rsid w:val="00E33B52"/>
    <w:rsid w:val="00E34218"/>
    <w:rsid w:val="00E359D1"/>
    <w:rsid w:val="00E35EDD"/>
    <w:rsid w:val="00E37B2F"/>
    <w:rsid w:val="00E37D46"/>
    <w:rsid w:val="00E40110"/>
    <w:rsid w:val="00E405D6"/>
    <w:rsid w:val="00E411B0"/>
    <w:rsid w:val="00E42B86"/>
    <w:rsid w:val="00E446BA"/>
    <w:rsid w:val="00E45818"/>
    <w:rsid w:val="00E45A6C"/>
    <w:rsid w:val="00E46282"/>
    <w:rsid w:val="00E47388"/>
    <w:rsid w:val="00E506C2"/>
    <w:rsid w:val="00E507F1"/>
    <w:rsid w:val="00E50D59"/>
    <w:rsid w:val="00E5216E"/>
    <w:rsid w:val="00E52710"/>
    <w:rsid w:val="00E52E00"/>
    <w:rsid w:val="00E55215"/>
    <w:rsid w:val="00E557F9"/>
    <w:rsid w:val="00E55C8E"/>
    <w:rsid w:val="00E5795E"/>
    <w:rsid w:val="00E57C22"/>
    <w:rsid w:val="00E57CD2"/>
    <w:rsid w:val="00E57E25"/>
    <w:rsid w:val="00E6130D"/>
    <w:rsid w:val="00E61B46"/>
    <w:rsid w:val="00E61EFE"/>
    <w:rsid w:val="00E62E81"/>
    <w:rsid w:val="00E62EE4"/>
    <w:rsid w:val="00E63048"/>
    <w:rsid w:val="00E639FD"/>
    <w:rsid w:val="00E64064"/>
    <w:rsid w:val="00E64541"/>
    <w:rsid w:val="00E6780F"/>
    <w:rsid w:val="00E67922"/>
    <w:rsid w:val="00E703AD"/>
    <w:rsid w:val="00E71825"/>
    <w:rsid w:val="00E72D52"/>
    <w:rsid w:val="00E76BD8"/>
    <w:rsid w:val="00E76C58"/>
    <w:rsid w:val="00E76DD2"/>
    <w:rsid w:val="00E82344"/>
    <w:rsid w:val="00E826E0"/>
    <w:rsid w:val="00E82AC2"/>
    <w:rsid w:val="00E82E6A"/>
    <w:rsid w:val="00E834C2"/>
    <w:rsid w:val="00E84106"/>
    <w:rsid w:val="00E84C82"/>
    <w:rsid w:val="00E84D64"/>
    <w:rsid w:val="00E84D89"/>
    <w:rsid w:val="00E870E0"/>
    <w:rsid w:val="00E87408"/>
    <w:rsid w:val="00E876C4"/>
    <w:rsid w:val="00E90EC6"/>
    <w:rsid w:val="00E90ECF"/>
    <w:rsid w:val="00E914C4"/>
    <w:rsid w:val="00E91669"/>
    <w:rsid w:val="00E91A6F"/>
    <w:rsid w:val="00E91F92"/>
    <w:rsid w:val="00E924F4"/>
    <w:rsid w:val="00E92C17"/>
    <w:rsid w:val="00E92F6B"/>
    <w:rsid w:val="00E934F5"/>
    <w:rsid w:val="00E93954"/>
    <w:rsid w:val="00E93A18"/>
    <w:rsid w:val="00E93DA8"/>
    <w:rsid w:val="00E96961"/>
    <w:rsid w:val="00E97108"/>
    <w:rsid w:val="00E97B2C"/>
    <w:rsid w:val="00E97F3E"/>
    <w:rsid w:val="00EA0204"/>
    <w:rsid w:val="00EA088B"/>
    <w:rsid w:val="00EA0A45"/>
    <w:rsid w:val="00EA1963"/>
    <w:rsid w:val="00EA197C"/>
    <w:rsid w:val="00EA426D"/>
    <w:rsid w:val="00EA45C2"/>
    <w:rsid w:val="00EA5DB2"/>
    <w:rsid w:val="00EA6386"/>
    <w:rsid w:val="00EA6447"/>
    <w:rsid w:val="00EA70D6"/>
    <w:rsid w:val="00EA72EC"/>
    <w:rsid w:val="00EB08A6"/>
    <w:rsid w:val="00EB11CB"/>
    <w:rsid w:val="00EB275A"/>
    <w:rsid w:val="00EB3B25"/>
    <w:rsid w:val="00EB3D1C"/>
    <w:rsid w:val="00EB4423"/>
    <w:rsid w:val="00EB4CE0"/>
    <w:rsid w:val="00EB7229"/>
    <w:rsid w:val="00EB786A"/>
    <w:rsid w:val="00EC09D7"/>
    <w:rsid w:val="00EC1578"/>
    <w:rsid w:val="00EC1C72"/>
    <w:rsid w:val="00EC2C94"/>
    <w:rsid w:val="00EC39E0"/>
    <w:rsid w:val="00EC3CC9"/>
    <w:rsid w:val="00EC3D48"/>
    <w:rsid w:val="00EC51BB"/>
    <w:rsid w:val="00EC55CB"/>
    <w:rsid w:val="00EC680A"/>
    <w:rsid w:val="00ED0D1D"/>
    <w:rsid w:val="00ED1C82"/>
    <w:rsid w:val="00ED3A0A"/>
    <w:rsid w:val="00ED3A7A"/>
    <w:rsid w:val="00ED4A25"/>
    <w:rsid w:val="00ED5621"/>
    <w:rsid w:val="00ED5647"/>
    <w:rsid w:val="00ED5787"/>
    <w:rsid w:val="00ED621F"/>
    <w:rsid w:val="00ED6896"/>
    <w:rsid w:val="00ED7658"/>
    <w:rsid w:val="00EE0294"/>
    <w:rsid w:val="00EE047D"/>
    <w:rsid w:val="00EE2B0B"/>
    <w:rsid w:val="00EE2BED"/>
    <w:rsid w:val="00EE2D53"/>
    <w:rsid w:val="00EE3532"/>
    <w:rsid w:val="00EE374B"/>
    <w:rsid w:val="00EE40D6"/>
    <w:rsid w:val="00EE7CBD"/>
    <w:rsid w:val="00EE7EF6"/>
    <w:rsid w:val="00EF0032"/>
    <w:rsid w:val="00EF1B49"/>
    <w:rsid w:val="00EF331C"/>
    <w:rsid w:val="00EF37E5"/>
    <w:rsid w:val="00EF3DC1"/>
    <w:rsid w:val="00EF5DBA"/>
    <w:rsid w:val="00EF630E"/>
    <w:rsid w:val="00F00642"/>
    <w:rsid w:val="00F01972"/>
    <w:rsid w:val="00F02048"/>
    <w:rsid w:val="00F02B6E"/>
    <w:rsid w:val="00F0318A"/>
    <w:rsid w:val="00F04BC4"/>
    <w:rsid w:val="00F059F0"/>
    <w:rsid w:val="00F05E84"/>
    <w:rsid w:val="00F06634"/>
    <w:rsid w:val="00F0692E"/>
    <w:rsid w:val="00F074BC"/>
    <w:rsid w:val="00F11BB5"/>
    <w:rsid w:val="00F122F7"/>
    <w:rsid w:val="00F12CDA"/>
    <w:rsid w:val="00F13705"/>
    <w:rsid w:val="00F13924"/>
    <w:rsid w:val="00F1417B"/>
    <w:rsid w:val="00F15831"/>
    <w:rsid w:val="00F15A41"/>
    <w:rsid w:val="00F15D74"/>
    <w:rsid w:val="00F1643B"/>
    <w:rsid w:val="00F166D5"/>
    <w:rsid w:val="00F16874"/>
    <w:rsid w:val="00F17A74"/>
    <w:rsid w:val="00F203CC"/>
    <w:rsid w:val="00F216BA"/>
    <w:rsid w:val="00F21AE7"/>
    <w:rsid w:val="00F22227"/>
    <w:rsid w:val="00F22395"/>
    <w:rsid w:val="00F228F2"/>
    <w:rsid w:val="00F229F7"/>
    <w:rsid w:val="00F22EE2"/>
    <w:rsid w:val="00F23005"/>
    <w:rsid w:val="00F2498F"/>
    <w:rsid w:val="00F2507B"/>
    <w:rsid w:val="00F26098"/>
    <w:rsid w:val="00F264EE"/>
    <w:rsid w:val="00F26CED"/>
    <w:rsid w:val="00F2789D"/>
    <w:rsid w:val="00F316FA"/>
    <w:rsid w:val="00F332FE"/>
    <w:rsid w:val="00F341C7"/>
    <w:rsid w:val="00F3472C"/>
    <w:rsid w:val="00F34AB4"/>
    <w:rsid w:val="00F34B99"/>
    <w:rsid w:val="00F34DFD"/>
    <w:rsid w:val="00F35A1E"/>
    <w:rsid w:val="00F36B5A"/>
    <w:rsid w:val="00F41393"/>
    <w:rsid w:val="00F415FC"/>
    <w:rsid w:val="00F4219C"/>
    <w:rsid w:val="00F42DD7"/>
    <w:rsid w:val="00F42F64"/>
    <w:rsid w:val="00F43867"/>
    <w:rsid w:val="00F43929"/>
    <w:rsid w:val="00F451D9"/>
    <w:rsid w:val="00F45256"/>
    <w:rsid w:val="00F4597F"/>
    <w:rsid w:val="00F47B1B"/>
    <w:rsid w:val="00F47E5E"/>
    <w:rsid w:val="00F51117"/>
    <w:rsid w:val="00F51C82"/>
    <w:rsid w:val="00F528DF"/>
    <w:rsid w:val="00F52DAB"/>
    <w:rsid w:val="00F53762"/>
    <w:rsid w:val="00F543F0"/>
    <w:rsid w:val="00F55518"/>
    <w:rsid w:val="00F5603C"/>
    <w:rsid w:val="00F57A51"/>
    <w:rsid w:val="00F60E1E"/>
    <w:rsid w:val="00F62F4C"/>
    <w:rsid w:val="00F64527"/>
    <w:rsid w:val="00F669CD"/>
    <w:rsid w:val="00F67565"/>
    <w:rsid w:val="00F67675"/>
    <w:rsid w:val="00F70491"/>
    <w:rsid w:val="00F70AC4"/>
    <w:rsid w:val="00F720E1"/>
    <w:rsid w:val="00F7290E"/>
    <w:rsid w:val="00F72DD9"/>
    <w:rsid w:val="00F73BE4"/>
    <w:rsid w:val="00F749DF"/>
    <w:rsid w:val="00F77CA3"/>
    <w:rsid w:val="00F8086A"/>
    <w:rsid w:val="00F80B0E"/>
    <w:rsid w:val="00F80C81"/>
    <w:rsid w:val="00F80D58"/>
    <w:rsid w:val="00F81525"/>
    <w:rsid w:val="00F81D29"/>
    <w:rsid w:val="00F827A2"/>
    <w:rsid w:val="00F85A14"/>
    <w:rsid w:val="00F8719C"/>
    <w:rsid w:val="00F87B15"/>
    <w:rsid w:val="00F9158E"/>
    <w:rsid w:val="00F91C4D"/>
    <w:rsid w:val="00F92FD9"/>
    <w:rsid w:val="00F95E41"/>
    <w:rsid w:val="00F95FD3"/>
    <w:rsid w:val="00F960D5"/>
    <w:rsid w:val="00F9745F"/>
    <w:rsid w:val="00F975CD"/>
    <w:rsid w:val="00F979EB"/>
    <w:rsid w:val="00F97F95"/>
    <w:rsid w:val="00FA0517"/>
    <w:rsid w:val="00FA0C26"/>
    <w:rsid w:val="00FA14EB"/>
    <w:rsid w:val="00FA2558"/>
    <w:rsid w:val="00FA25CF"/>
    <w:rsid w:val="00FA29E2"/>
    <w:rsid w:val="00FA4179"/>
    <w:rsid w:val="00FA6550"/>
    <w:rsid w:val="00FA6684"/>
    <w:rsid w:val="00FA6EEE"/>
    <w:rsid w:val="00FA731E"/>
    <w:rsid w:val="00FA74D6"/>
    <w:rsid w:val="00FA766F"/>
    <w:rsid w:val="00FB25B9"/>
    <w:rsid w:val="00FB2B38"/>
    <w:rsid w:val="00FB2FB0"/>
    <w:rsid w:val="00FB40B2"/>
    <w:rsid w:val="00FB4823"/>
    <w:rsid w:val="00FB5D04"/>
    <w:rsid w:val="00FB64F8"/>
    <w:rsid w:val="00FB66A8"/>
    <w:rsid w:val="00FB6905"/>
    <w:rsid w:val="00FB6912"/>
    <w:rsid w:val="00FC1585"/>
    <w:rsid w:val="00FC2274"/>
    <w:rsid w:val="00FC3576"/>
    <w:rsid w:val="00FC41AE"/>
    <w:rsid w:val="00FC43A4"/>
    <w:rsid w:val="00FC5F68"/>
    <w:rsid w:val="00FC6358"/>
    <w:rsid w:val="00FC67B1"/>
    <w:rsid w:val="00FD01CF"/>
    <w:rsid w:val="00FD1C1D"/>
    <w:rsid w:val="00FD1FCE"/>
    <w:rsid w:val="00FD320D"/>
    <w:rsid w:val="00FD32A1"/>
    <w:rsid w:val="00FD331D"/>
    <w:rsid w:val="00FD3A3B"/>
    <w:rsid w:val="00FD46FD"/>
    <w:rsid w:val="00FD4E3F"/>
    <w:rsid w:val="00FD5060"/>
    <w:rsid w:val="00FD54BB"/>
    <w:rsid w:val="00FD66D3"/>
    <w:rsid w:val="00FD68CC"/>
    <w:rsid w:val="00FE16F0"/>
    <w:rsid w:val="00FE2034"/>
    <w:rsid w:val="00FE23DE"/>
    <w:rsid w:val="00FE6C84"/>
    <w:rsid w:val="00FE703B"/>
    <w:rsid w:val="00FE7384"/>
    <w:rsid w:val="00FE7D6C"/>
    <w:rsid w:val="00FF0654"/>
    <w:rsid w:val="00FF1005"/>
    <w:rsid w:val="00FF1726"/>
    <w:rsid w:val="00FF1B39"/>
    <w:rsid w:val="00FF1C5D"/>
    <w:rsid w:val="00FF27BE"/>
    <w:rsid w:val="00FF31EE"/>
    <w:rsid w:val="00FF49D9"/>
    <w:rsid w:val="00FF6B07"/>
    <w:rsid w:val="00FF7B5D"/>
    <w:rsid w:val="010A6486"/>
    <w:rsid w:val="01AC0B53"/>
    <w:rsid w:val="022C76E3"/>
    <w:rsid w:val="02DF01D6"/>
    <w:rsid w:val="033655C0"/>
    <w:rsid w:val="036D3DB5"/>
    <w:rsid w:val="058EDD31"/>
    <w:rsid w:val="05B34AD5"/>
    <w:rsid w:val="06192F3C"/>
    <w:rsid w:val="065E22D6"/>
    <w:rsid w:val="06603382"/>
    <w:rsid w:val="06675565"/>
    <w:rsid w:val="06D744BF"/>
    <w:rsid w:val="075310E7"/>
    <w:rsid w:val="0AE33476"/>
    <w:rsid w:val="0B5C4071"/>
    <w:rsid w:val="0D7626BD"/>
    <w:rsid w:val="0EC1061B"/>
    <w:rsid w:val="0F3B18F0"/>
    <w:rsid w:val="0F8E5372"/>
    <w:rsid w:val="10C60D9B"/>
    <w:rsid w:val="10CF5724"/>
    <w:rsid w:val="10E8488C"/>
    <w:rsid w:val="11D92068"/>
    <w:rsid w:val="128E5BEA"/>
    <w:rsid w:val="12B169A9"/>
    <w:rsid w:val="13D514B5"/>
    <w:rsid w:val="161D6966"/>
    <w:rsid w:val="164E1524"/>
    <w:rsid w:val="167663E2"/>
    <w:rsid w:val="16F84A28"/>
    <w:rsid w:val="17244E79"/>
    <w:rsid w:val="18B39715"/>
    <w:rsid w:val="18D27211"/>
    <w:rsid w:val="199781D0"/>
    <w:rsid w:val="19CC4F7D"/>
    <w:rsid w:val="19E36341"/>
    <w:rsid w:val="1ABF6956"/>
    <w:rsid w:val="1D004EDA"/>
    <w:rsid w:val="1D0C438E"/>
    <w:rsid w:val="1D1532B1"/>
    <w:rsid w:val="1D6D080B"/>
    <w:rsid w:val="1D8707C3"/>
    <w:rsid w:val="1DD01E8D"/>
    <w:rsid w:val="1E8D34A7"/>
    <w:rsid w:val="1F1D54AF"/>
    <w:rsid w:val="202A241F"/>
    <w:rsid w:val="2250271C"/>
    <w:rsid w:val="239A011E"/>
    <w:rsid w:val="249E50F2"/>
    <w:rsid w:val="24FE7D54"/>
    <w:rsid w:val="253C3346"/>
    <w:rsid w:val="25FA5A28"/>
    <w:rsid w:val="27617507"/>
    <w:rsid w:val="286C2396"/>
    <w:rsid w:val="294D6AE7"/>
    <w:rsid w:val="298E63BB"/>
    <w:rsid w:val="298F4700"/>
    <w:rsid w:val="2A0579EB"/>
    <w:rsid w:val="2B0E6F55"/>
    <w:rsid w:val="2B926619"/>
    <w:rsid w:val="2C9573F2"/>
    <w:rsid w:val="2D751933"/>
    <w:rsid w:val="2DC93F1C"/>
    <w:rsid w:val="2DCC3A17"/>
    <w:rsid w:val="2E25B1E7"/>
    <w:rsid w:val="2E59594D"/>
    <w:rsid w:val="30265703"/>
    <w:rsid w:val="308F392A"/>
    <w:rsid w:val="31DA6C11"/>
    <w:rsid w:val="338275E9"/>
    <w:rsid w:val="33A84B2B"/>
    <w:rsid w:val="354E0326"/>
    <w:rsid w:val="358A48F4"/>
    <w:rsid w:val="36581EC9"/>
    <w:rsid w:val="36C74490"/>
    <w:rsid w:val="36FC1280"/>
    <w:rsid w:val="393F42CA"/>
    <w:rsid w:val="395F33E6"/>
    <w:rsid w:val="39A52A2C"/>
    <w:rsid w:val="3A064DE8"/>
    <w:rsid w:val="3ACB56EF"/>
    <w:rsid w:val="3CB75B6E"/>
    <w:rsid w:val="3CBB41B6"/>
    <w:rsid w:val="3D630FAF"/>
    <w:rsid w:val="3E476A3A"/>
    <w:rsid w:val="3F75784D"/>
    <w:rsid w:val="3F875EB6"/>
    <w:rsid w:val="3F9B46F0"/>
    <w:rsid w:val="40C66E1B"/>
    <w:rsid w:val="40DF1710"/>
    <w:rsid w:val="4101708E"/>
    <w:rsid w:val="41992256"/>
    <w:rsid w:val="41A377CA"/>
    <w:rsid w:val="4300400D"/>
    <w:rsid w:val="43723061"/>
    <w:rsid w:val="43EA16EF"/>
    <w:rsid w:val="44DD4820"/>
    <w:rsid w:val="45EF5F74"/>
    <w:rsid w:val="45FC22AA"/>
    <w:rsid w:val="487A39B5"/>
    <w:rsid w:val="489E2C88"/>
    <w:rsid w:val="48FC7BEA"/>
    <w:rsid w:val="4B4426DD"/>
    <w:rsid w:val="4B715CBA"/>
    <w:rsid w:val="4B9B03A3"/>
    <w:rsid w:val="4BE35FB4"/>
    <w:rsid w:val="4C547A50"/>
    <w:rsid w:val="4D022DB8"/>
    <w:rsid w:val="4D8D1034"/>
    <w:rsid w:val="4DCB0DDC"/>
    <w:rsid w:val="4EDD26EB"/>
    <w:rsid w:val="4EEB612D"/>
    <w:rsid w:val="4F2539C3"/>
    <w:rsid w:val="50E15DAB"/>
    <w:rsid w:val="52032DBE"/>
    <w:rsid w:val="525A4298"/>
    <w:rsid w:val="53B528C5"/>
    <w:rsid w:val="53F86879"/>
    <w:rsid w:val="54AF6C4C"/>
    <w:rsid w:val="54FF6C52"/>
    <w:rsid w:val="55C0251B"/>
    <w:rsid w:val="55F266C0"/>
    <w:rsid w:val="581C6996"/>
    <w:rsid w:val="58F26B0D"/>
    <w:rsid w:val="58F552EB"/>
    <w:rsid w:val="597C7987"/>
    <w:rsid w:val="5C5E1E88"/>
    <w:rsid w:val="5C7243D1"/>
    <w:rsid w:val="5D3C1BEA"/>
    <w:rsid w:val="5D480078"/>
    <w:rsid w:val="5EAF09B4"/>
    <w:rsid w:val="5EC63F7E"/>
    <w:rsid w:val="5F7419A2"/>
    <w:rsid w:val="60746647"/>
    <w:rsid w:val="60912DAE"/>
    <w:rsid w:val="60920DE7"/>
    <w:rsid w:val="62274EDC"/>
    <w:rsid w:val="626C69CF"/>
    <w:rsid w:val="637E2D3D"/>
    <w:rsid w:val="6422787D"/>
    <w:rsid w:val="64460CB3"/>
    <w:rsid w:val="658A00DA"/>
    <w:rsid w:val="65A44248"/>
    <w:rsid w:val="66F46FF1"/>
    <w:rsid w:val="671152B9"/>
    <w:rsid w:val="68820F2D"/>
    <w:rsid w:val="69DC7189"/>
    <w:rsid w:val="69DD2CBD"/>
    <w:rsid w:val="6DB364A7"/>
    <w:rsid w:val="6DFB3F5C"/>
    <w:rsid w:val="6E855BB3"/>
    <w:rsid w:val="6FD97B71"/>
    <w:rsid w:val="70D3533B"/>
    <w:rsid w:val="70FB333B"/>
    <w:rsid w:val="72321CBF"/>
    <w:rsid w:val="727307A7"/>
    <w:rsid w:val="72F6240A"/>
    <w:rsid w:val="744A136F"/>
    <w:rsid w:val="74A93CA3"/>
    <w:rsid w:val="752A4115"/>
    <w:rsid w:val="76923076"/>
    <w:rsid w:val="77286C1C"/>
    <w:rsid w:val="77D86F75"/>
    <w:rsid w:val="77E746B3"/>
    <w:rsid w:val="7853032B"/>
    <w:rsid w:val="78994EE5"/>
    <w:rsid w:val="79877FF8"/>
    <w:rsid w:val="7A9A346F"/>
    <w:rsid w:val="7DB249E5"/>
    <w:rsid w:val="7E3C5267"/>
    <w:rsid w:val="7E5B0E7C"/>
    <w:rsid w:val="7F0C630D"/>
    <w:rsid w:val="7F507CFF"/>
    <w:rsid w:val="7F5872ED"/>
    <w:rsid w:val="7F8977CE"/>
    <w:rsid w:val="7FA84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9"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name="footnote reference"/>
    <w:lsdException w:qFormat="1" w:uiPriority="99" w:semiHidden="0" w:name="annotation reference"/>
    <w:lsdException w:unhideWhenUsed="0" w:uiPriority="0" w:semiHidden="0" w:name="line number"/>
    <w:lsdException w:qFormat="1" w:unhideWhenUsed="0" w:uiPriority="0" w:semiHidden="0" w:name="page number"/>
    <w:lsdException w:qFormat="1" w:unhideWhenUsed="0" w:uiPriority="99"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3"/>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5"/>
    <w:unhideWhenUsed/>
    <w:qFormat/>
    <w:uiPriority w:val="9"/>
    <w:pPr>
      <w:keepNext/>
      <w:keepLines/>
      <w:spacing w:before="280" w:after="290" w:line="376" w:lineRule="auto"/>
      <w:outlineLvl w:val="3"/>
    </w:pPr>
    <w:rPr>
      <w:rFonts w:ascii="等线" w:hAnsi="等线" w:eastAsia="等线"/>
      <w:b/>
      <w:bCs/>
      <w:sz w:val="28"/>
      <w:szCs w:val="28"/>
    </w:rPr>
  </w:style>
  <w:style w:type="paragraph" w:styleId="6">
    <w:name w:val="heading 5"/>
    <w:basedOn w:val="1"/>
    <w:next w:val="1"/>
    <w:link w:val="56"/>
    <w:semiHidden/>
    <w:unhideWhenUsed/>
    <w:qFormat/>
    <w:uiPriority w:val="9"/>
    <w:pPr>
      <w:keepNext/>
      <w:keepLines/>
      <w:spacing w:before="280" w:after="290" w:line="376" w:lineRule="auto"/>
      <w:outlineLvl w:val="4"/>
    </w:pPr>
    <w:rPr>
      <w:rFonts w:ascii="等线" w:hAnsi="等线" w:eastAsia="等线"/>
      <w:b/>
      <w:bCs/>
      <w:sz w:val="28"/>
      <w:szCs w:val="28"/>
    </w:rPr>
  </w:style>
  <w:style w:type="character" w:default="1" w:styleId="42">
    <w:name w:val="Default Paragraph Font"/>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tabs>
        <w:tab w:val="right" w:leader="dot" w:pos="9241"/>
      </w:tabs>
      <w:ind w:firstLine="505" w:firstLineChars="500"/>
      <w:jc w:val="left"/>
    </w:pPr>
    <w:rPr>
      <w:rFonts w:ascii="宋体"/>
      <w:szCs w:val="21"/>
    </w:rPr>
  </w:style>
  <w:style w:type="paragraph" w:styleId="8">
    <w:name w:val="index 8"/>
    <w:basedOn w:val="1"/>
    <w:next w:val="1"/>
    <w:qFormat/>
    <w:uiPriority w:val="0"/>
    <w:pPr>
      <w:ind w:left="1680" w:hanging="210"/>
      <w:jc w:val="left"/>
    </w:pPr>
    <w:rPr>
      <w:rFonts w:ascii="Calibri" w:hAnsi="Calibri"/>
      <w:sz w:val="20"/>
      <w:szCs w:val="20"/>
    </w:rPr>
  </w:style>
  <w:style w:type="paragraph" w:styleId="9">
    <w:name w:val="caption"/>
    <w:basedOn w:val="1"/>
    <w:next w:val="1"/>
    <w:qFormat/>
    <w:uiPriority w:val="0"/>
    <w:pPr>
      <w:spacing w:before="152" w:after="160"/>
    </w:pPr>
    <w:rPr>
      <w:rFonts w:ascii="Arial" w:hAnsi="Arial" w:eastAsia="黑体" w:cs="Arial"/>
      <w:sz w:val="20"/>
      <w:szCs w:val="20"/>
    </w:rPr>
  </w:style>
  <w:style w:type="paragraph" w:styleId="10">
    <w:name w:val="index 5"/>
    <w:basedOn w:val="1"/>
    <w:next w:val="1"/>
    <w:qFormat/>
    <w:uiPriority w:val="0"/>
    <w:pPr>
      <w:ind w:left="1050" w:hanging="210"/>
      <w:jc w:val="left"/>
    </w:pPr>
    <w:rPr>
      <w:rFonts w:ascii="Calibri" w:hAnsi="Calibri"/>
      <w:sz w:val="20"/>
      <w:szCs w:val="20"/>
    </w:rPr>
  </w:style>
  <w:style w:type="paragraph" w:styleId="11">
    <w:name w:val="Document Map"/>
    <w:basedOn w:val="1"/>
    <w:semiHidden/>
    <w:qFormat/>
    <w:uiPriority w:val="0"/>
    <w:pPr>
      <w:shd w:val="clear" w:color="auto" w:fill="000080"/>
    </w:pPr>
  </w:style>
  <w:style w:type="paragraph" w:styleId="12">
    <w:name w:val="annotation text"/>
    <w:basedOn w:val="1"/>
    <w:link w:val="57"/>
    <w:qFormat/>
    <w:uiPriority w:val="99"/>
    <w:pPr>
      <w:jc w:val="left"/>
    </w:pPr>
  </w:style>
  <w:style w:type="paragraph" w:styleId="13">
    <w:name w:val="index 6"/>
    <w:basedOn w:val="1"/>
    <w:next w:val="1"/>
    <w:qFormat/>
    <w:uiPriority w:val="0"/>
    <w:pPr>
      <w:ind w:left="1260" w:hanging="210"/>
      <w:jc w:val="left"/>
    </w:pPr>
    <w:rPr>
      <w:rFonts w:ascii="Calibri" w:hAnsi="Calibri"/>
      <w:sz w:val="20"/>
      <w:szCs w:val="20"/>
    </w:rPr>
  </w:style>
  <w:style w:type="paragraph" w:styleId="14">
    <w:name w:val="Body Text"/>
    <w:basedOn w:val="1"/>
    <w:link w:val="183"/>
    <w:qFormat/>
    <w:uiPriority w:val="0"/>
    <w:pPr>
      <w:spacing w:after="120"/>
    </w:pPr>
  </w:style>
  <w:style w:type="paragraph" w:styleId="15">
    <w:name w:val="Body Text Indent"/>
    <w:basedOn w:val="1"/>
    <w:link w:val="58"/>
    <w:qFormat/>
    <w:uiPriority w:val="0"/>
    <w:pPr>
      <w:spacing w:line="520" w:lineRule="exact"/>
      <w:ind w:firstLine="435"/>
    </w:pPr>
    <w:rPr>
      <w:sz w:val="28"/>
    </w:rPr>
  </w:style>
  <w:style w:type="paragraph" w:styleId="16">
    <w:name w:val="index 4"/>
    <w:basedOn w:val="1"/>
    <w:next w:val="1"/>
    <w:qFormat/>
    <w:uiPriority w:val="0"/>
    <w:pPr>
      <w:ind w:left="840" w:hanging="210"/>
      <w:jc w:val="left"/>
    </w:pPr>
    <w:rPr>
      <w:rFonts w:ascii="Calibri" w:hAnsi="Calibri"/>
      <w:sz w:val="20"/>
      <w:szCs w:val="20"/>
    </w:rPr>
  </w:style>
  <w:style w:type="paragraph" w:styleId="17">
    <w:name w:val="toc 5"/>
    <w:basedOn w:val="1"/>
    <w:next w:val="1"/>
    <w:semiHidden/>
    <w:qFormat/>
    <w:uiPriority w:val="0"/>
    <w:pPr>
      <w:tabs>
        <w:tab w:val="right" w:leader="dot" w:pos="9241"/>
      </w:tabs>
      <w:ind w:firstLine="300" w:firstLineChars="300"/>
      <w:jc w:val="left"/>
    </w:pPr>
    <w:rPr>
      <w:rFonts w:ascii="宋体"/>
      <w:szCs w:val="21"/>
    </w:rPr>
  </w:style>
  <w:style w:type="paragraph" w:styleId="18">
    <w:name w:val="toc 3"/>
    <w:basedOn w:val="1"/>
    <w:next w:val="1"/>
    <w:qFormat/>
    <w:uiPriority w:val="39"/>
    <w:pPr>
      <w:tabs>
        <w:tab w:val="right" w:leader="dot" w:pos="9241"/>
      </w:tabs>
      <w:ind w:firstLine="102" w:firstLineChars="100"/>
      <w:jc w:val="left"/>
    </w:pPr>
    <w:rPr>
      <w:rFonts w:ascii="宋体"/>
      <w:szCs w:val="21"/>
    </w:rPr>
  </w:style>
  <w:style w:type="paragraph" w:styleId="19">
    <w:name w:val="toc 8"/>
    <w:basedOn w:val="1"/>
    <w:next w:val="1"/>
    <w:semiHidden/>
    <w:qFormat/>
    <w:uiPriority w:val="0"/>
    <w:pPr>
      <w:tabs>
        <w:tab w:val="right" w:leader="dot" w:pos="9241"/>
      </w:tabs>
      <w:ind w:firstLine="607" w:firstLineChars="600"/>
      <w:jc w:val="left"/>
    </w:pPr>
    <w:rPr>
      <w:rFonts w:ascii="宋体"/>
      <w:szCs w:val="21"/>
    </w:rPr>
  </w:style>
  <w:style w:type="paragraph" w:styleId="20">
    <w:name w:val="index 3"/>
    <w:basedOn w:val="1"/>
    <w:next w:val="1"/>
    <w:qFormat/>
    <w:uiPriority w:val="0"/>
    <w:pPr>
      <w:ind w:left="630" w:hanging="210"/>
      <w:jc w:val="left"/>
    </w:pPr>
    <w:rPr>
      <w:rFonts w:ascii="Calibri" w:hAnsi="Calibri"/>
      <w:sz w:val="20"/>
      <w:szCs w:val="20"/>
    </w:rPr>
  </w:style>
  <w:style w:type="paragraph" w:styleId="21">
    <w:name w:val="Date"/>
    <w:basedOn w:val="1"/>
    <w:next w:val="1"/>
    <w:link w:val="172"/>
    <w:unhideWhenUsed/>
    <w:qFormat/>
    <w:uiPriority w:val="99"/>
    <w:pPr>
      <w:ind w:left="100" w:leftChars="2500"/>
    </w:pPr>
    <w:rPr>
      <w:szCs w:val="22"/>
    </w:rPr>
  </w:style>
  <w:style w:type="paragraph" w:styleId="22">
    <w:name w:val="endnote text"/>
    <w:basedOn w:val="1"/>
    <w:link w:val="59"/>
    <w:qFormat/>
    <w:uiPriority w:val="99"/>
    <w:pPr>
      <w:snapToGrid w:val="0"/>
      <w:jc w:val="left"/>
    </w:pPr>
  </w:style>
  <w:style w:type="paragraph" w:styleId="23">
    <w:name w:val="Balloon Text"/>
    <w:basedOn w:val="1"/>
    <w:link w:val="176"/>
    <w:unhideWhenUsed/>
    <w:qFormat/>
    <w:uiPriority w:val="99"/>
    <w:rPr>
      <w:sz w:val="18"/>
      <w:szCs w:val="18"/>
    </w:rPr>
  </w:style>
  <w:style w:type="paragraph" w:styleId="24">
    <w:name w:val="footer"/>
    <w:basedOn w:val="1"/>
    <w:link w:val="60"/>
    <w:qFormat/>
    <w:uiPriority w:val="99"/>
    <w:pPr>
      <w:snapToGrid w:val="0"/>
      <w:ind w:right="210" w:rightChars="100"/>
      <w:jc w:val="right"/>
    </w:pPr>
    <w:rPr>
      <w:sz w:val="18"/>
      <w:szCs w:val="18"/>
    </w:rPr>
  </w:style>
  <w:style w:type="paragraph" w:styleId="25">
    <w:name w:val="header"/>
    <w:basedOn w:val="1"/>
    <w:link w:val="61"/>
    <w:qFormat/>
    <w:uiPriority w:val="99"/>
    <w:pPr>
      <w:snapToGrid w:val="0"/>
      <w:jc w:val="left"/>
    </w:pPr>
    <w:rPr>
      <w:sz w:val="18"/>
      <w:szCs w:val="18"/>
    </w:rPr>
  </w:style>
  <w:style w:type="paragraph" w:styleId="26">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7">
    <w:name w:val="toc 4"/>
    <w:basedOn w:val="1"/>
    <w:next w:val="1"/>
    <w:semiHidden/>
    <w:qFormat/>
    <w:uiPriority w:val="0"/>
    <w:pPr>
      <w:tabs>
        <w:tab w:val="right" w:leader="dot" w:pos="9241"/>
      </w:tabs>
      <w:ind w:firstLine="198" w:firstLineChars="200"/>
      <w:jc w:val="left"/>
    </w:pPr>
    <w:rPr>
      <w:rFonts w:ascii="宋体"/>
      <w:szCs w:val="21"/>
    </w:rPr>
  </w:style>
  <w:style w:type="paragraph" w:styleId="28">
    <w:name w:val="index heading"/>
    <w:basedOn w:val="1"/>
    <w:next w:val="29"/>
    <w:qFormat/>
    <w:uiPriority w:val="0"/>
    <w:pPr>
      <w:spacing w:before="120" w:after="120"/>
      <w:jc w:val="center"/>
    </w:pPr>
    <w:rPr>
      <w:rFonts w:ascii="Calibri" w:hAnsi="Calibri"/>
      <w:b/>
      <w:bCs/>
      <w:iCs/>
      <w:szCs w:val="20"/>
    </w:rPr>
  </w:style>
  <w:style w:type="paragraph" w:styleId="29">
    <w:name w:val="index 1"/>
    <w:basedOn w:val="1"/>
    <w:next w:val="30"/>
    <w:qFormat/>
    <w:uiPriority w:val="0"/>
    <w:pPr>
      <w:tabs>
        <w:tab w:val="right" w:leader="dot" w:pos="9299"/>
      </w:tabs>
      <w:jc w:val="left"/>
    </w:pPr>
    <w:rPr>
      <w:rFonts w:ascii="宋体"/>
      <w:szCs w:val="21"/>
    </w:rPr>
  </w:style>
  <w:style w:type="paragraph" w:customStyle="1" w:styleId="30">
    <w:name w:val="段"/>
    <w:link w:val="6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1">
    <w:name w:val="footnote text"/>
    <w:basedOn w:val="1"/>
    <w:link w:val="63"/>
    <w:qFormat/>
    <w:uiPriority w:val="99"/>
    <w:pPr>
      <w:numPr>
        <w:ilvl w:val="0"/>
        <w:numId w:val="1"/>
      </w:numPr>
      <w:snapToGrid w:val="0"/>
      <w:jc w:val="left"/>
    </w:pPr>
    <w:rPr>
      <w:rFonts w:ascii="宋体"/>
      <w:sz w:val="18"/>
      <w:szCs w:val="18"/>
    </w:rPr>
  </w:style>
  <w:style w:type="paragraph" w:styleId="32">
    <w:name w:val="toc 6"/>
    <w:basedOn w:val="1"/>
    <w:next w:val="1"/>
    <w:semiHidden/>
    <w:qFormat/>
    <w:uiPriority w:val="0"/>
    <w:pPr>
      <w:tabs>
        <w:tab w:val="right" w:leader="dot" w:pos="9241"/>
      </w:tabs>
      <w:ind w:firstLine="403" w:firstLineChars="400"/>
      <w:jc w:val="left"/>
    </w:pPr>
    <w:rPr>
      <w:rFonts w:ascii="宋体"/>
      <w:szCs w:val="21"/>
    </w:rPr>
  </w:style>
  <w:style w:type="paragraph" w:styleId="33">
    <w:name w:val="index 7"/>
    <w:basedOn w:val="1"/>
    <w:next w:val="1"/>
    <w:qFormat/>
    <w:uiPriority w:val="0"/>
    <w:pPr>
      <w:ind w:left="1470" w:hanging="210"/>
      <w:jc w:val="left"/>
    </w:pPr>
    <w:rPr>
      <w:rFonts w:ascii="Calibri" w:hAnsi="Calibri"/>
      <w:sz w:val="20"/>
      <w:szCs w:val="20"/>
    </w:rPr>
  </w:style>
  <w:style w:type="paragraph" w:styleId="34">
    <w:name w:val="index 9"/>
    <w:basedOn w:val="1"/>
    <w:next w:val="1"/>
    <w:qFormat/>
    <w:uiPriority w:val="0"/>
    <w:pPr>
      <w:ind w:left="1890" w:hanging="210"/>
      <w:jc w:val="left"/>
    </w:pPr>
    <w:rPr>
      <w:rFonts w:ascii="Calibri" w:hAnsi="Calibri"/>
      <w:sz w:val="20"/>
      <w:szCs w:val="20"/>
    </w:rPr>
  </w:style>
  <w:style w:type="paragraph" w:styleId="35">
    <w:name w:val="toc 2"/>
    <w:basedOn w:val="1"/>
    <w:next w:val="1"/>
    <w:qFormat/>
    <w:uiPriority w:val="39"/>
    <w:pPr>
      <w:tabs>
        <w:tab w:val="right" w:leader="dot" w:pos="9241"/>
      </w:tabs>
    </w:pPr>
    <w:rPr>
      <w:rFonts w:ascii="宋体"/>
      <w:szCs w:val="21"/>
    </w:rPr>
  </w:style>
  <w:style w:type="paragraph" w:styleId="36">
    <w:name w:val="toc 9"/>
    <w:basedOn w:val="1"/>
    <w:next w:val="1"/>
    <w:semiHidden/>
    <w:qFormat/>
    <w:uiPriority w:val="0"/>
    <w:pPr>
      <w:ind w:left="1470"/>
      <w:jc w:val="left"/>
    </w:pPr>
    <w:rPr>
      <w:sz w:val="20"/>
      <w:szCs w:val="20"/>
    </w:rPr>
  </w:style>
  <w:style w:type="paragraph" w:styleId="37">
    <w:name w:val="index 2"/>
    <w:basedOn w:val="1"/>
    <w:next w:val="1"/>
    <w:qFormat/>
    <w:uiPriority w:val="0"/>
    <w:pPr>
      <w:ind w:left="420" w:hanging="210"/>
      <w:jc w:val="left"/>
    </w:pPr>
    <w:rPr>
      <w:rFonts w:ascii="Calibri" w:hAnsi="Calibri"/>
      <w:sz w:val="20"/>
      <w:szCs w:val="20"/>
    </w:rPr>
  </w:style>
  <w:style w:type="paragraph" w:styleId="38">
    <w:name w:val="Title"/>
    <w:basedOn w:val="1"/>
    <w:next w:val="1"/>
    <w:link w:val="171"/>
    <w:qFormat/>
    <w:uiPriority w:val="10"/>
    <w:pPr>
      <w:spacing w:before="240" w:after="60"/>
      <w:jc w:val="center"/>
      <w:outlineLvl w:val="0"/>
    </w:pPr>
    <w:rPr>
      <w:rFonts w:ascii="等线" w:hAnsi="等线" w:eastAsia="等线"/>
      <w:b/>
      <w:bCs/>
      <w:sz w:val="32"/>
      <w:szCs w:val="32"/>
    </w:rPr>
  </w:style>
  <w:style w:type="paragraph" w:styleId="39">
    <w:name w:val="annotation subject"/>
    <w:basedOn w:val="12"/>
    <w:next w:val="12"/>
    <w:link w:val="173"/>
    <w:unhideWhenUsed/>
    <w:qFormat/>
    <w:uiPriority w:val="99"/>
    <w:rPr>
      <w:b/>
      <w:bCs/>
      <w:szCs w:val="22"/>
    </w:rPr>
  </w:style>
  <w:style w:type="table" w:styleId="41">
    <w:name w:val="Table Grid"/>
    <w:basedOn w:val="40"/>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3">
    <w:name w:val="Strong"/>
    <w:basedOn w:val="42"/>
    <w:qFormat/>
    <w:uiPriority w:val="22"/>
    <w:rPr>
      <w:b/>
      <w:bCs/>
    </w:rPr>
  </w:style>
  <w:style w:type="character" w:styleId="44">
    <w:name w:val="endnote reference"/>
    <w:semiHidden/>
    <w:qFormat/>
    <w:uiPriority w:val="99"/>
    <w:rPr>
      <w:vertAlign w:val="superscript"/>
    </w:rPr>
  </w:style>
  <w:style w:type="character" w:styleId="45">
    <w:name w:val="page number"/>
    <w:qFormat/>
    <w:uiPriority w:val="0"/>
    <w:rPr>
      <w:rFonts w:ascii="Times New Roman" w:hAnsi="Times New Roman" w:eastAsia="宋体"/>
      <w:sz w:val="18"/>
    </w:rPr>
  </w:style>
  <w:style w:type="character" w:styleId="46">
    <w:name w:val="FollowedHyperlink"/>
    <w:qFormat/>
    <w:uiPriority w:val="0"/>
    <w:rPr>
      <w:color w:val="800080"/>
      <w:u w:val="single"/>
    </w:rPr>
  </w:style>
  <w:style w:type="character" w:styleId="47">
    <w:name w:val="Emphasis"/>
    <w:basedOn w:val="42"/>
    <w:qFormat/>
    <w:uiPriority w:val="20"/>
    <w:rPr>
      <w:i/>
      <w:iCs/>
    </w:rPr>
  </w:style>
  <w:style w:type="character" w:styleId="48">
    <w:name w:val="Hyperlink"/>
    <w:qFormat/>
    <w:uiPriority w:val="99"/>
    <w:rPr>
      <w:color w:val="0000FF"/>
      <w:spacing w:val="0"/>
      <w:w w:val="100"/>
      <w:szCs w:val="21"/>
      <w:u w:val="single"/>
    </w:rPr>
  </w:style>
  <w:style w:type="character" w:styleId="49">
    <w:name w:val="HTML Code"/>
    <w:qFormat/>
    <w:uiPriority w:val="0"/>
    <w:rPr>
      <w:rFonts w:ascii="Courier New" w:hAnsi="Courier New"/>
      <w:sz w:val="20"/>
      <w:szCs w:val="20"/>
    </w:rPr>
  </w:style>
  <w:style w:type="character" w:styleId="50">
    <w:name w:val="annotation reference"/>
    <w:unhideWhenUsed/>
    <w:qFormat/>
    <w:uiPriority w:val="99"/>
    <w:rPr>
      <w:sz w:val="21"/>
      <w:szCs w:val="21"/>
    </w:rPr>
  </w:style>
  <w:style w:type="character" w:styleId="51">
    <w:name w:val="footnote reference"/>
    <w:semiHidden/>
    <w:qFormat/>
    <w:uiPriority w:val="99"/>
    <w:rPr>
      <w:vertAlign w:val="superscript"/>
    </w:rPr>
  </w:style>
  <w:style w:type="character" w:customStyle="1" w:styleId="52">
    <w:name w:val="标题 1 字符"/>
    <w:link w:val="2"/>
    <w:qFormat/>
    <w:uiPriority w:val="9"/>
    <w:rPr>
      <w:b/>
      <w:bCs/>
      <w:kern w:val="44"/>
      <w:sz w:val="44"/>
      <w:szCs w:val="44"/>
    </w:rPr>
  </w:style>
  <w:style w:type="character" w:customStyle="1" w:styleId="53">
    <w:name w:val="标题 2 字符"/>
    <w:link w:val="3"/>
    <w:qFormat/>
    <w:uiPriority w:val="9"/>
    <w:rPr>
      <w:rFonts w:ascii="等线 Light" w:hAnsi="等线 Light" w:eastAsia="等线 Light"/>
      <w:b/>
      <w:bCs/>
      <w:kern w:val="2"/>
      <w:sz w:val="32"/>
      <w:szCs w:val="32"/>
    </w:rPr>
  </w:style>
  <w:style w:type="character" w:customStyle="1" w:styleId="54">
    <w:name w:val="标题 3 字符"/>
    <w:link w:val="4"/>
    <w:qFormat/>
    <w:uiPriority w:val="9"/>
    <w:rPr>
      <w:b/>
      <w:bCs/>
      <w:kern w:val="2"/>
      <w:sz w:val="32"/>
      <w:szCs w:val="32"/>
    </w:rPr>
  </w:style>
  <w:style w:type="character" w:customStyle="1" w:styleId="55">
    <w:name w:val="标题 4 字符"/>
    <w:link w:val="5"/>
    <w:qFormat/>
    <w:uiPriority w:val="9"/>
    <w:rPr>
      <w:rFonts w:ascii="等线" w:hAnsi="等线" w:eastAsia="等线"/>
      <w:b/>
      <w:bCs/>
      <w:kern w:val="2"/>
      <w:sz w:val="28"/>
      <w:szCs w:val="28"/>
    </w:rPr>
  </w:style>
  <w:style w:type="character" w:customStyle="1" w:styleId="56">
    <w:name w:val="标题 5 字符"/>
    <w:link w:val="6"/>
    <w:semiHidden/>
    <w:qFormat/>
    <w:uiPriority w:val="9"/>
    <w:rPr>
      <w:rFonts w:ascii="等线" w:hAnsi="等线" w:eastAsia="等线"/>
      <w:b/>
      <w:bCs/>
      <w:kern w:val="2"/>
      <w:sz w:val="28"/>
      <w:szCs w:val="28"/>
    </w:rPr>
  </w:style>
  <w:style w:type="character" w:customStyle="1" w:styleId="57">
    <w:name w:val="批注文字 字符"/>
    <w:link w:val="12"/>
    <w:qFormat/>
    <w:uiPriority w:val="99"/>
    <w:rPr>
      <w:kern w:val="2"/>
      <w:sz w:val="21"/>
      <w:szCs w:val="24"/>
    </w:rPr>
  </w:style>
  <w:style w:type="character" w:customStyle="1" w:styleId="58">
    <w:name w:val="正文文本缩进 字符"/>
    <w:link w:val="15"/>
    <w:qFormat/>
    <w:uiPriority w:val="0"/>
    <w:rPr>
      <w:kern w:val="2"/>
      <w:sz w:val="28"/>
      <w:szCs w:val="24"/>
    </w:rPr>
  </w:style>
  <w:style w:type="character" w:customStyle="1" w:styleId="59">
    <w:name w:val="尾注文本 字符"/>
    <w:link w:val="22"/>
    <w:qFormat/>
    <w:uiPriority w:val="99"/>
    <w:rPr>
      <w:kern w:val="2"/>
      <w:sz w:val="21"/>
      <w:szCs w:val="24"/>
    </w:rPr>
  </w:style>
  <w:style w:type="character" w:customStyle="1" w:styleId="60">
    <w:name w:val="页脚 字符"/>
    <w:link w:val="24"/>
    <w:qFormat/>
    <w:uiPriority w:val="99"/>
    <w:rPr>
      <w:kern w:val="2"/>
      <w:sz w:val="18"/>
      <w:szCs w:val="18"/>
    </w:rPr>
  </w:style>
  <w:style w:type="character" w:customStyle="1" w:styleId="61">
    <w:name w:val="页眉 字符"/>
    <w:link w:val="25"/>
    <w:qFormat/>
    <w:uiPriority w:val="99"/>
    <w:rPr>
      <w:kern w:val="2"/>
      <w:sz w:val="18"/>
      <w:szCs w:val="18"/>
    </w:rPr>
  </w:style>
  <w:style w:type="character" w:customStyle="1" w:styleId="62">
    <w:name w:val="段 Char"/>
    <w:link w:val="30"/>
    <w:qFormat/>
    <w:uiPriority w:val="0"/>
    <w:rPr>
      <w:rFonts w:ascii="宋体"/>
      <w:sz w:val="21"/>
      <w:lang w:val="en-US" w:eastAsia="zh-CN" w:bidi="ar-SA"/>
    </w:rPr>
  </w:style>
  <w:style w:type="character" w:customStyle="1" w:styleId="63">
    <w:name w:val="脚注文本 字符"/>
    <w:link w:val="31"/>
    <w:qFormat/>
    <w:uiPriority w:val="99"/>
    <w:rPr>
      <w:rFonts w:ascii="宋体"/>
      <w:kern w:val="2"/>
      <w:sz w:val="18"/>
      <w:szCs w:val="18"/>
    </w:rPr>
  </w:style>
  <w:style w:type="character" w:customStyle="1" w:styleId="64">
    <w:name w:val="发布"/>
    <w:qFormat/>
    <w:uiPriority w:val="0"/>
    <w:rPr>
      <w:rFonts w:ascii="黑体" w:eastAsia="黑体"/>
      <w:spacing w:val="85"/>
      <w:w w:val="100"/>
      <w:position w:val="3"/>
      <w:sz w:val="28"/>
      <w:szCs w:val="28"/>
    </w:rPr>
  </w:style>
  <w:style w:type="character" w:customStyle="1" w:styleId="65">
    <w:name w:val="附录公式 Char"/>
    <w:link w:val="66"/>
    <w:qFormat/>
    <w:uiPriority w:val="0"/>
    <w:rPr>
      <w:lang w:val="en-US" w:eastAsia="zh-CN" w:bidi="ar-SA"/>
    </w:rPr>
  </w:style>
  <w:style w:type="paragraph" w:customStyle="1" w:styleId="66">
    <w:name w:val="附录公式"/>
    <w:basedOn w:val="30"/>
    <w:next w:val="30"/>
    <w:link w:val="65"/>
    <w:qFormat/>
    <w:uiPriority w:val="0"/>
  </w:style>
  <w:style w:type="character" w:customStyle="1" w:styleId="67">
    <w:name w:val="段 Char Char"/>
    <w:qFormat/>
    <w:uiPriority w:val="0"/>
    <w:rPr>
      <w:rFonts w:ascii="宋体"/>
      <w:sz w:val="21"/>
      <w:lang w:bidi="ar-SA"/>
    </w:rPr>
  </w:style>
  <w:style w:type="character" w:customStyle="1" w:styleId="68">
    <w:name w:val="首示例 Char"/>
    <w:link w:val="69"/>
    <w:qFormat/>
    <w:uiPriority w:val="0"/>
    <w:rPr>
      <w:rFonts w:ascii="宋体" w:hAnsi="宋体"/>
      <w:kern w:val="2"/>
      <w:sz w:val="18"/>
      <w:szCs w:val="18"/>
    </w:rPr>
  </w:style>
  <w:style w:type="paragraph" w:customStyle="1" w:styleId="69">
    <w:name w:val="首示例"/>
    <w:next w:val="30"/>
    <w:link w:val="68"/>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paragraph" w:customStyle="1" w:styleId="70">
    <w:name w:val="封面标准文稿编辑信息2"/>
    <w:basedOn w:val="71"/>
    <w:qFormat/>
    <w:uiPriority w:val="0"/>
    <w:pPr>
      <w:framePr w:wrap="around" w:y="4469"/>
    </w:pPr>
  </w:style>
  <w:style w:type="paragraph" w:customStyle="1" w:styleId="71">
    <w:name w:val="封面标准文稿编辑信息"/>
    <w:basedOn w:val="72"/>
    <w:qFormat/>
    <w:uiPriority w:val="0"/>
    <w:pPr>
      <w:framePr w:wrap="around"/>
      <w:spacing w:before="180" w:line="180" w:lineRule="exact"/>
    </w:pPr>
    <w:rPr>
      <w:sz w:val="21"/>
    </w:rPr>
  </w:style>
  <w:style w:type="paragraph" w:customStyle="1" w:styleId="72">
    <w:name w:val="封面标准文稿类别"/>
    <w:basedOn w:val="73"/>
    <w:qFormat/>
    <w:uiPriority w:val="0"/>
    <w:pPr>
      <w:framePr w:wrap="around"/>
      <w:spacing w:after="160" w:line="240" w:lineRule="auto"/>
    </w:pPr>
    <w:rPr>
      <w:sz w:val="24"/>
    </w:rPr>
  </w:style>
  <w:style w:type="paragraph" w:customStyle="1" w:styleId="73">
    <w:name w:val="封面一致性程度标识"/>
    <w:basedOn w:val="74"/>
    <w:qFormat/>
    <w:uiPriority w:val="0"/>
    <w:pPr>
      <w:framePr w:wrap="around"/>
      <w:spacing w:before="440"/>
    </w:pPr>
    <w:rPr>
      <w:rFonts w:ascii="宋体" w:eastAsia="宋体"/>
    </w:rPr>
  </w:style>
  <w:style w:type="paragraph" w:customStyle="1" w:styleId="74">
    <w:name w:val="封面标准英文名称"/>
    <w:basedOn w:val="75"/>
    <w:qFormat/>
    <w:uiPriority w:val="0"/>
    <w:pPr>
      <w:framePr w:wrap="around"/>
      <w:spacing w:before="370" w:line="400" w:lineRule="exact"/>
    </w:pPr>
    <w:rPr>
      <w:rFonts w:ascii="Times New Roman"/>
      <w:sz w:val="28"/>
      <w:szCs w:val="28"/>
    </w:rPr>
  </w:style>
  <w:style w:type="paragraph" w:customStyle="1" w:styleId="7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6">
    <w:name w:val="附录表标题"/>
    <w:basedOn w:val="1"/>
    <w:next w:val="30"/>
    <w:qFormat/>
    <w:uiPriority w:val="0"/>
    <w:pPr>
      <w:numPr>
        <w:ilvl w:val="1"/>
        <w:numId w:val="3"/>
      </w:numPr>
      <w:tabs>
        <w:tab w:val="left" w:pos="180"/>
      </w:tabs>
      <w:spacing w:before="50" w:beforeLines="50" w:after="50" w:afterLines="50"/>
      <w:ind w:left="0" w:firstLine="0"/>
      <w:jc w:val="center"/>
    </w:pPr>
    <w:rPr>
      <w:rFonts w:ascii="黑体" w:eastAsia="黑体"/>
      <w:szCs w:val="21"/>
    </w:rPr>
  </w:style>
  <w:style w:type="paragraph" w:customStyle="1" w:styleId="77">
    <w:name w:val="一级无"/>
    <w:basedOn w:val="78"/>
    <w:qFormat/>
    <w:uiPriority w:val="0"/>
    <w:pPr>
      <w:spacing w:before="0" w:beforeLines="0" w:after="0" w:afterLines="0"/>
    </w:pPr>
    <w:rPr>
      <w:rFonts w:ascii="宋体" w:eastAsia="宋体"/>
    </w:rPr>
  </w:style>
  <w:style w:type="paragraph" w:customStyle="1" w:styleId="78">
    <w:name w:val="一级条标题"/>
    <w:next w:val="30"/>
    <w:qFormat/>
    <w:uiPriority w:val="0"/>
    <w:pPr>
      <w:spacing w:before="156" w:beforeLines="50" w:after="156" w:afterLines="50"/>
      <w:ind w:left="2269"/>
      <w:outlineLvl w:val="2"/>
    </w:pPr>
    <w:rPr>
      <w:rFonts w:ascii="黑体" w:hAnsi="Times New Roman" w:eastAsia="黑体" w:cs="Times New Roman"/>
      <w:sz w:val="21"/>
      <w:szCs w:val="21"/>
      <w:lang w:val="en-US" w:eastAsia="zh-CN" w:bidi="ar-SA"/>
    </w:rPr>
  </w:style>
  <w:style w:type="paragraph" w:customStyle="1" w:styleId="79">
    <w:name w:val="图的脚注"/>
    <w:next w:val="3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80">
    <w:name w:val="附录图标题"/>
    <w:basedOn w:val="1"/>
    <w:next w:val="30"/>
    <w:qFormat/>
    <w:uiPriority w:val="0"/>
    <w:pPr>
      <w:numPr>
        <w:ilvl w:val="1"/>
        <w:numId w:val="4"/>
      </w:numPr>
      <w:tabs>
        <w:tab w:val="left" w:pos="363"/>
      </w:tabs>
      <w:spacing w:before="50" w:beforeLines="50" w:after="50" w:afterLines="50"/>
      <w:ind w:left="0" w:firstLine="0"/>
      <w:jc w:val="center"/>
    </w:pPr>
    <w:rPr>
      <w:rFonts w:ascii="黑体" w:eastAsia="黑体"/>
      <w:szCs w:val="21"/>
    </w:rPr>
  </w:style>
  <w:style w:type="paragraph" w:customStyle="1" w:styleId="8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2">
    <w:name w:val="注×："/>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83">
    <w:name w:val="章标题"/>
    <w:next w:val="30"/>
    <w:qFormat/>
    <w:uiPriority w:val="0"/>
    <w:pPr>
      <w:numPr>
        <w:ilvl w:val="0"/>
        <w:numId w:val="6"/>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84">
    <w:name w:val="前言、引言标题"/>
    <w:next w:val="3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5">
    <w:name w:val="三级条标题"/>
    <w:basedOn w:val="86"/>
    <w:next w:val="30"/>
    <w:qFormat/>
    <w:uiPriority w:val="0"/>
    <w:pPr>
      <w:numPr>
        <w:ilvl w:val="0"/>
        <w:numId w:val="0"/>
      </w:numPr>
      <w:outlineLvl w:val="4"/>
    </w:pPr>
  </w:style>
  <w:style w:type="paragraph" w:customStyle="1" w:styleId="86">
    <w:name w:val="二级条标题"/>
    <w:basedOn w:val="78"/>
    <w:next w:val="30"/>
    <w:qFormat/>
    <w:uiPriority w:val="0"/>
    <w:pPr>
      <w:numPr>
        <w:ilvl w:val="2"/>
        <w:numId w:val="6"/>
      </w:numPr>
      <w:spacing w:before="50" w:after="50"/>
      <w:outlineLvl w:val="3"/>
    </w:pPr>
  </w:style>
  <w:style w:type="paragraph" w:customStyle="1" w:styleId="87">
    <w:name w:val="附录数字编号列项（二级）"/>
    <w:qFormat/>
    <w:uiPriority w:val="0"/>
    <w:pPr>
      <w:numPr>
        <w:ilvl w:val="1"/>
        <w:numId w:val="7"/>
      </w:numPr>
    </w:pPr>
    <w:rPr>
      <w:rFonts w:ascii="宋体" w:hAnsi="Times New Roman" w:eastAsia="宋体" w:cs="Times New Roman"/>
      <w:sz w:val="21"/>
      <w:lang w:val="en-US" w:eastAsia="zh-CN" w:bidi="ar-SA"/>
    </w:rPr>
  </w:style>
  <w:style w:type="paragraph" w:customStyle="1" w:styleId="88">
    <w:name w:val="正文公式编号制表符"/>
    <w:basedOn w:val="30"/>
    <w:next w:val="30"/>
    <w:qFormat/>
    <w:uiPriority w:val="0"/>
    <w:pPr>
      <w:ind w:firstLine="0" w:firstLineChars="0"/>
    </w:pPr>
  </w:style>
  <w:style w:type="paragraph" w:customStyle="1" w:styleId="89">
    <w:name w:val="附录二级无"/>
    <w:basedOn w:val="90"/>
    <w:qFormat/>
    <w:uiPriority w:val="0"/>
    <w:pPr>
      <w:tabs>
        <w:tab w:val="left" w:pos="360"/>
      </w:tabs>
      <w:spacing w:before="0" w:beforeLines="0" w:after="0" w:afterLines="0"/>
    </w:pPr>
    <w:rPr>
      <w:rFonts w:ascii="宋体" w:eastAsia="宋体"/>
      <w:szCs w:val="21"/>
    </w:rPr>
  </w:style>
  <w:style w:type="paragraph" w:customStyle="1" w:styleId="90">
    <w:name w:val="附录二级条标题"/>
    <w:basedOn w:val="1"/>
    <w:next w:val="30"/>
    <w:qFormat/>
    <w:uiPriority w:val="0"/>
    <w:pPr>
      <w:widowControl/>
      <w:tabs>
        <w:tab w:val="left" w:pos="360"/>
      </w:tabs>
      <w:wordWrap w:val="0"/>
      <w:overflowPunct w:val="0"/>
      <w:autoSpaceDE w:val="0"/>
      <w:autoSpaceDN w:val="0"/>
      <w:spacing w:before="50" w:beforeLines="50" w:after="50" w:afterLines="50"/>
      <w:ind w:left="5104"/>
      <w:textAlignment w:val="baseline"/>
      <w:outlineLvl w:val="3"/>
    </w:pPr>
    <w:rPr>
      <w:rFonts w:ascii="黑体" w:eastAsia="黑体"/>
      <w:kern w:val="21"/>
      <w:szCs w:val="20"/>
    </w:rPr>
  </w:style>
  <w:style w:type="paragraph" w:customStyle="1" w:styleId="91">
    <w:name w:val="五级条标题"/>
    <w:basedOn w:val="92"/>
    <w:next w:val="30"/>
    <w:qFormat/>
    <w:uiPriority w:val="0"/>
    <w:pPr>
      <w:numPr>
        <w:ilvl w:val="5"/>
        <w:numId w:val="6"/>
      </w:numPr>
      <w:outlineLvl w:val="6"/>
    </w:pPr>
  </w:style>
  <w:style w:type="paragraph" w:customStyle="1" w:styleId="92">
    <w:name w:val="四级条标题"/>
    <w:basedOn w:val="85"/>
    <w:next w:val="30"/>
    <w:qFormat/>
    <w:uiPriority w:val="0"/>
    <w:pPr>
      <w:outlineLvl w:val="5"/>
    </w:pPr>
  </w:style>
  <w:style w:type="paragraph" w:customStyle="1" w:styleId="93">
    <w:name w:val="五级无"/>
    <w:basedOn w:val="91"/>
    <w:qFormat/>
    <w:uiPriority w:val="0"/>
    <w:pPr>
      <w:spacing w:before="0" w:beforeLines="0" w:after="0" w:afterLines="0"/>
    </w:pPr>
    <w:rPr>
      <w:rFonts w:ascii="宋体" w:eastAsia="宋体"/>
    </w:rPr>
  </w:style>
  <w:style w:type="paragraph" w:customStyle="1" w:styleId="9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96">
    <w:name w:val="二级无标题条"/>
    <w:basedOn w:val="1"/>
    <w:qFormat/>
    <w:uiPriority w:val="0"/>
    <w:pPr>
      <w:numPr>
        <w:ilvl w:val="3"/>
        <w:numId w:val="8"/>
      </w:numPr>
    </w:pPr>
  </w:style>
  <w:style w:type="paragraph" w:customStyle="1" w:styleId="97">
    <w:name w:val="注："/>
    <w:next w:val="30"/>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98">
    <w:name w:val="封面一致性程度标识2"/>
    <w:basedOn w:val="73"/>
    <w:qFormat/>
    <w:uiPriority w:val="0"/>
    <w:pPr>
      <w:framePr w:wrap="around" w:y="4469"/>
    </w:pPr>
  </w:style>
  <w:style w:type="paragraph" w:customStyle="1" w:styleId="99">
    <w:name w:val="附录字母编号列项（一级）"/>
    <w:qFormat/>
    <w:uiPriority w:val="0"/>
    <w:pPr>
      <w:numPr>
        <w:ilvl w:val="0"/>
        <w:numId w:val="7"/>
      </w:numPr>
    </w:pPr>
    <w:rPr>
      <w:rFonts w:ascii="宋体" w:hAnsi="Times New Roman" w:eastAsia="宋体" w:cs="Times New Roman"/>
      <w:sz w:val="21"/>
      <w:lang w:val="en-US" w:eastAsia="zh-CN" w:bidi="ar-SA"/>
    </w:rPr>
  </w:style>
  <w:style w:type="paragraph" w:customStyle="1" w:styleId="100">
    <w:name w:val="五级无标题条"/>
    <w:basedOn w:val="1"/>
    <w:qFormat/>
    <w:uiPriority w:val="0"/>
    <w:pPr>
      <w:numPr>
        <w:ilvl w:val="6"/>
        <w:numId w:val="8"/>
      </w:numPr>
    </w:pPr>
  </w:style>
  <w:style w:type="paragraph" w:customStyle="1" w:styleId="1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2">
    <w:name w:val="其他实施日期"/>
    <w:basedOn w:val="103"/>
    <w:qFormat/>
    <w:uiPriority w:val="0"/>
    <w:pPr>
      <w:framePr w:wrap="around"/>
    </w:pPr>
  </w:style>
  <w:style w:type="paragraph" w:customStyle="1" w:styleId="103">
    <w:name w:val="实施日期"/>
    <w:basedOn w:val="81"/>
    <w:qFormat/>
    <w:uiPriority w:val="0"/>
    <w:pPr>
      <w:framePr w:wrap="around" w:vAnchor="page" w:hAnchor="text"/>
      <w:jc w:val="right"/>
    </w:pPr>
  </w:style>
  <w:style w:type="paragraph" w:customStyle="1" w:styleId="104">
    <w:name w:val="条文脚注"/>
    <w:basedOn w:val="31"/>
    <w:qFormat/>
    <w:uiPriority w:val="0"/>
    <w:pPr>
      <w:numPr>
        <w:numId w:val="0"/>
      </w:numPr>
      <w:jc w:val="both"/>
    </w:pPr>
  </w:style>
  <w:style w:type="paragraph" w:customStyle="1" w:styleId="10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6">
    <w:name w:val="封面正文"/>
    <w:qFormat/>
    <w:uiPriority w:val="0"/>
    <w:pPr>
      <w:jc w:val="both"/>
    </w:pPr>
    <w:rPr>
      <w:rFonts w:ascii="Times New Roman" w:hAnsi="Times New Roman" w:eastAsia="宋体" w:cs="Times New Roman"/>
      <w:lang w:val="en-US" w:eastAsia="zh-CN" w:bidi="ar-SA"/>
    </w:rPr>
  </w:style>
  <w:style w:type="paragraph" w:customStyle="1" w:styleId="107">
    <w:name w:val="数字编号列项（二级）"/>
    <w:qFormat/>
    <w:uiPriority w:val="0"/>
    <w:pPr>
      <w:numPr>
        <w:ilvl w:val="1"/>
        <w:numId w:val="10"/>
      </w:numPr>
      <w:jc w:val="both"/>
    </w:pPr>
    <w:rPr>
      <w:rFonts w:ascii="宋体" w:hAnsi="Times New Roman" w:eastAsia="宋体" w:cs="Times New Roman"/>
      <w:sz w:val="21"/>
      <w:lang w:val="en-US" w:eastAsia="zh-CN" w:bidi="ar-SA"/>
    </w:rPr>
  </w:style>
  <w:style w:type="paragraph" w:customStyle="1" w:styleId="108">
    <w:name w:val="封面标准文稿类别2"/>
    <w:basedOn w:val="72"/>
    <w:qFormat/>
    <w:uiPriority w:val="0"/>
    <w:pPr>
      <w:framePr w:wrap="around" w:y="4469"/>
    </w:pPr>
  </w:style>
  <w:style w:type="paragraph" w:customStyle="1" w:styleId="109">
    <w:name w:val="示例×："/>
    <w:basedOn w:val="83"/>
    <w:qFormat/>
    <w:uiPriority w:val="0"/>
    <w:pPr>
      <w:numPr>
        <w:numId w:val="11"/>
      </w:numPr>
      <w:spacing w:before="0" w:beforeLines="0" w:after="0" w:afterLines="0"/>
      <w:ind w:left="200" w:leftChars="200" w:firstLine="0"/>
      <w:outlineLvl w:val="9"/>
    </w:pPr>
    <w:rPr>
      <w:rFonts w:ascii="宋体" w:eastAsia="宋体"/>
      <w:sz w:val="18"/>
      <w:szCs w:val="18"/>
    </w:rPr>
  </w:style>
  <w:style w:type="paragraph" w:customStyle="1" w:styleId="110">
    <w:name w:val="参考文献、索引标题"/>
    <w:basedOn w:val="1"/>
    <w:next w:val="3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1">
    <w:name w:val="四级无"/>
    <w:basedOn w:val="92"/>
    <w:qFormat/>
    <w:uiPriority w:val="0"/>
    <w:pPr>
      <w:spacing w:before="0" w:beforeLines="0" w:after="0" w:afterLines="0"/>
    </w:pPr>
    <w:rPr>
      <w:rFonts w:ascii="宋体" w:eastAsia="宋体"/>
    </w:rPr>
  </w:style>
  <w:style w:type="paragraph" w:customStyle="1" w:styleId="11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13">
    <w:name w:val="参考文献"/>
    <w:basedOn w:val="1"/>
    <w:next w:val="3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4">
    <w:name w:val="附录三级条标题"/>
    <w:basedOn w:val="90"/>
    <w:next w:val="30"/>
    <w:qFormat/>
    <w:uiPriority w:val="0"/>
    <w:pPr>
      <w:ind w:left="5104"/>
      <w:outlineLvl w:val="4"/>
    </w:pPr>
  </w:style>
  <w:style w:type="paragraph" w:customStyle="1" w:styleId="115">
    <w:name w:val="封面标准英文名称2"/>
    <w:basedOn w:val="74"/>
    <w:qFormat/>
    <w:uiPriority w:val="0"/>
    <w:pPr>
      <w:framePr w:wrap="around" w:y="4469"/>
    </w:pPr>
  </w:style>
  <w:style w:type="paragraph" w:customStyle="1" w:styleId="11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8">
    <w:name w:val="列项●（二级）"/>
    <w:qFormat/>
    <w:uiPriority w:val="0"/>
    <w:pPr>
      <w:numPr>
        <w:ilvl w:val="1"/>
        <w:numId w:val="12"/>
      </w:numPr>
      <w:tabs>
        <w:tab w:val="left" w:pos="840"/>
      </w:tabs>
      <w:jc w:val="both"/>
    </w:pPr>
    <w:rPr>
      <w:rFonts w:ascii="宋体" w:hAnsi="Times New Roman" w:eastAsia="宋体" w:cs="Times New Roman"/>
      <w:sz w:val="21"/>
      <w:lang w:val="en-US" w:eastAsia="zh-CN" w:bidi="ar-SA"/>
    </w:rPr>
  </w:style>
  <w:style w:type="paragraph" w:customStyle="1" w:styleId="119">
    <w:name w:val="附录五级条标题"/>
    <w:basedOn w:val="120"/>
    <w:next w:val="30"/>
    <w:qFormat/>
    <w:uiPriority w:val="0"/>
    <w:pPr>
      <w:tabs>
        <w:tab w:val="left" w:pos="360"/>
      </w:tabs>
      <w:ind w:left="5104"/>
      <w:outlineLvl w:val="6"/>
    </w:pPr>
  </w:style>
  <w:style w:type="paragraph" w:customStyle="1" w:styleId="120">
    <w:name w:val="附录四级条标题"/>
    <w:basedOn w:val="114"/>
    <w:next w:val="30"/>
    <w:qFormat/>
    <w:uiPriority w:val="0"/>
    <w:pPr>
      <w:ind w:left="5104"/>
      <w:outlineLvl w:val="5"/>
    </w:pPr>
  </w:style>
  <w:style w:type="paragraph" w:customStyle="1" w:styleId="121">
    <w:name w:val="附录标题"/>
    <w:basedOn w:val="30"/>
    <w:next w:val="30"/>
    <w:qFormat/>
    <w:uiPriority w:val="0"/>
    <w:pPr>
      <w:ind w:firstLine="0" w:firstLineChars="0"/>
      <w:jc w:val="center"/>
    </w:pPr>
    <w:rPr>
      <w:rFonts w:ascii="黑体" w:eastAsia="黑体"/>
    </w:rPr>
  </w:style>
  <w:style w:type="paragraph" w:customStyle="1" w:styleId="122">
    <w:name w:val="编号列项（三级）"/>
    <w:qFormat/>
    <w:uiPriority w:val="0"/>
    <w:rPr>
      <w:rFonts w:ascii="宋体" w:hAnsi="Times New Roman" w:eastAsia="宋体" w:cs="Times New Roman"/>
      <w:sz w:val="21"/>
      <w:lang w:val="en-US" w:eastAsia="zh-CN" w:bidi="ar-SA"/>
    </w:rPr>
  </w:style>
  <w:style w:type="paragraph" w:customStyle="1" w:styleId="123">
    <w:name w:val="示例"/>
    <w:next w:val="95"/>
    <w:qFormat/>
    <w:uiPriority w:val="0"/>
    <w:pPr>
      <w:widowControl w:val="0"/>
      <w:numPr>
        <w:ilvl w:val="0"/>
        <w:numId w:val="13"/>
      </w:numPr>
      <w:jc w:val="both"/>
    </w:pPr>
    <w:rPr>
      <w:rFonts w:ascii="宋体" w:hAnsi="Times New Roman" w:eastAsia="宋体" w:cs="Times New Roman"/>
      <w:sz w:val="18"/>
      <w:szCs w:val="18"/>
      <w:lang w:val="en-US" w:eastAsia="zh-CN" w:bidi="ar-SA"/>
    </w:rPr>
  </w:style>
  <w:style w:type="paragraph" w:customStyle="1" w:styleId="124">
    <w:name w:val="Default"/>
    <w:unhideWhenUsed/>
    <w:qFormat/>
    <w:uiPriority w:val="99"/>
    <w:pPr>
      <w:widowControl w:val="0"/>
      <w:autoSpaceDE w:val="0"/>
      <w:autoSpaceDN w:val="0"/>
      <w:adjustRightInd w:val="0"/>
    </w:pPr>
    <w:rPr>
      <w:rFonts w:hint="eastAsia" w:ascii="仿宋_GB2312" w:hAnsi="仿宋_GB2312" w:eastAsia="仿宋_GB2312" w:cs="Times New Roman"/>
      <w:color w:val="000000"/>
      <w:sz w:val="24"/>
      <w:lang w:val="en-US" w:eastAsia="zh-CN" w:bidi="ar-SA"/>
    </w:rPr>
  </w:style>
  <w:style w:type="paragraph" w:customStyle="1" w:styleId="125">
    <w:name w:val="附录章标题"/>
    <w:next w:val="30"/>
    <w:qFormat/>
    <w:uiPriority w:val="0"/>
    <w:pPr>
      <w:numPr>
        <w:ilvl w:val="1"/>
        <w:numId w:val="14"/>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26">
    <w:name w:val="字母编号列项（一级）"/>
    <w:qFormat/>
    <w:uiPriority w:val="0"/>
    <w:pPr>
      <w:numPr>
        <w:ilvl w:val="0"/>
        <w:numId w:val="10"/>
      </w:numPr>
      <w:jc w:val="both"/>
    </w:pPr>
    <w:rPr>
      <w:rFonts w:ascii="宋体" w:hAnsi="Times New Roman" w:eastAsia="宋体" w:cs="Times New Roman"/>
      <w:sz w:val="21"/>
      <w:lang w:val="en-US" w:eastAsia="zh-CN" w:bidi="ar-SA"/>
    </w:rPr>
  </w:style>
  <w:style w:type="paragraph" w:customStyle="1" w:styleId="127">
    <w:name w:val="三级无标题条"/>
    <w:basedOn w:val="1"/>
    <w:qFormat/>
    <w:uiPriority w:val="0"/>
    <w:pPr>
      <w:numPr>
        <w:ilvl w:val="4"/>
        <w:numId w:val="8"/>
      </w:numPr>
    </w:pPr>
  </w:style>
  <w:style w:type="paragraph" w:customStyle="1" w:styleId="128">
    <w:name w:val="图表脚注说明"/>
    <w:basedOn w:val="1"/>
    <w:qFormat/>
    <w:uiPriority w:val="0"/>
    <w:pPr>
      <w:numPr>
        <w:ilvl w:val="0"/>
        <w:numId w:val="15"/>
      </w:numPr>
    </w:pPr>
    <w:rPr>
      <w:rFonts w:ascii="宋体"/>
      <w:sz w:val="18"/>
      <w:szCs w:val="18"/>
    </w:rPr>
  </w:style>
  <w:style w:type="paragraph" w:customStyle="1" w:styleId="129">
    <w:name w:val="标准书眉一"/>
    <w:qFormat/>
    <w:uiPriority w:val="0"/>
    <w:pPr>
      <w:jc w:val="both"/>
    </w:pPr>
    <w:rPr>
      <w:rFonts w:ascii="Times New Roman" w:hAnsi="Times New Roman" w:eastAsia="宋体" w:cs="Times New Roman"/>
      <w:lang w:val="en-US" w:eastAsia="zh-CN" w:bidi="ar-SA"/>
    </w:rPr>
  </w:style>
  <w:style w:type="paragraph" w:customStyle="1" w:styleId="130">
    <w:name w:val="正文图标题"/>
    <w:next w:val="30"/>
    <w:qFormat/>
    <w:uiPriority w:val="0"/>
    <w:pPr>
      <w:numPr>
        <w:ilvl w:val="0"/>
        <w:numId w:val="16"/>
      </w:numPr>
      <w:spacing w:before="156" w:beforeLines="50" w:after="156" w:afterLines="50"/>
      <w:jc w:val="center"/>
    </w:pPr>
    <w:rPr>
      <w:rFonts w:ascii="黑体" w:hAnsi="Times New Roman" w:eastAsia="黑体" w:cs="Times New Roman"/>
      <w:sz w:val="21"/>
      <w:lang w:val="en-US" w:eastAsia="zh-CN" w:bidi="ar-SA"/>
    </w:rPr>
  </w:style>
  <w:style w:type="paragraph" w:customStyle="1" w:styleId="131">
    <w:name w:val="列项——（一级）"/>
    <w:qFormat/>
    <w:uiPriority w:val="0"/>
    <w:pPr>
      <w:widowControl w:val="0"/>
      <w:numPr>
        <w:ilvl w:val="0"/>
        <w:numId w:val="12"/>
      </w:numPr>
      <w:jc w:val="both"/>
    </w:pPr>
    <w:rPr>
      <w:rFonts w:ascii="宋体" w:hAnsi="Times New Roman" w:eastAsia="宋体" w:cs="Times New Roman"/>
      <w:sz w:val="21"/>
      <w:lang w:val="en-US" w:eastAsia="zh-CN" w:bidi="ar-SA"/>
    </w:rPr>
  </w:style>
  <w:style w:type="paragraph" w:customStyle="1" w:styleId="13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33">
    <w:name w:val="列项◆（三级）"/>
    <w:basedOn w:val="1"/>
    <w:qFormat/>
    <w:uiPriority w:val="0"/>
    <w:pPr>
      <w:numPr>
        <w:ilvl w:val="2"/>
        <w:numId w:val="12"/>
      </w:numPr>
    </w:pPr>
    <w:rPr>
      <w:rFonts w:ascii="宋体"/>
      <w:szCs w:val="21"/>
    </w:rPr>
  </w:style>
  <w:style w:type="paragraph" w:customStyle="1" w:styleId="134">
    <w:name w:val="四级无标题条"/>
    <w:basedOn w:val="1"/>
    <w:qFormat/>
    <w:uiPriority w:val="0"/>
    <w:pPr>
      <w:numPr>
        <w:ilvl w:val="5"/>
        <w:numId w:val="8"/>
      </w:numPr>
    </w:pPr>
  </w:style>
  <w:style w:type="paragraph" w:customStyle="1" w:styleId="135">
    <w:name w:val="正文表标题"/>
    <w:next w:val="30"/>
    <w:qFormat/>
    <w:uiPriority w:val="0"/>
    <w:pPr>
      <w:numPr>
        <w:ilvl w:val="0"/>
        <w:numId w:val="17"/>
      </w:numPr>
      <w:spacing w:before="156" w:beforeLines="50" w:after="156" w:afterLines="50"/>
      <w:jc w:val="center"/>
    </w:pPr>
    <w:rPr>
      <w:rFonts w:ascii="黑体" w:hAnsi="Times New Roman" w:eastAsia="黑体" w:cs="Times New Roman"/>
      <w:sz w:val="21"/>
      <w:lang w:val="en-US" w:eastAsia="zh-CN" w:bidi="ar-SA"/>
    </w:rPr>
  </w:style>
  <w:style w:type="paragraph" w:customStyle="1" w:styleId="136">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137">
    <w:name w:val="附录三级无"/>
    <w:basedOn w:val="114"/>
    <w:qFormat/>
    <w:uiPriority w:val="0"/>
    <w:pPr>
      <w:tabs>
        <w:tab w:val="clear" w:pos="360"/>
      </w:tabs>
      <w:spacing w:before="0" w:beforeLines="0" w:after="0" w:afterLines="0"/>
    </w:pPr>
    <w:rPr>
      <w:rFonts w:ascii="宋体" w:eastAsia="宋体"/>
      <w:szCs w:val="21"/>
    </w:rPr>
  </w:style>
  <w:style w:type="paragraph" w:customStyle="1" w:styleId="138">
    <w:name w:val="其他发布日期"/>
    <w:basedOn w:val="81"/>
    <w:qFormat/>
    <w:uiPriority w:val="0"/>
    <w:pPr>
      <w:framePr w:wrap="around" w:vAnchor="page" w:hAnchor="text" w:x="1419"/>
    </w:pPr>
  </w:style>
  <w:style w:type="paragraph" w:customStyle="1" w:styleId="139">
    <w:name w:val="附录一级条标题"/>
    <w:basedOn w:val="125"/>
    <w:next w:val="30"/>
    <w:qFormat/>
    <w:uiPriority w:val="0"/>
    <w:pPr>
      <w:numPr>
        <w:ilvl w:val="2"/>
      </w:numPr>
      <w:autoSpaceDN w:val="0"/>
      <w:spacing w:before="50" w:beforeLines="50" w:after="50" w:afterLines="50"/>
      <w:outlineLvl w:val="2"/>
    </w:pPr>
  </w:style>
  <w:style w:type="paragraph" w:customStyle="1" w:styleId="140">
    <w:name w:val="发布部门"/>
    <w:next w:val="30"/>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41">
    <w:name w:val="一级无标题条"/>
    <w:basedOn w:val="1"/>
    <w:qFormat/>
    <w:uiPriority w:val="0"/>
    <w:pPr>
      <w:numPr>
        <w:ilvl w:val="2"/>
        <w:numId w:val="8"/>
      </w:numPr>
    </w:pPr>
  </w:style>
  <w:style w:type="paragraph" w:customStyle="1" w:styleId="142">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43">
    <w:name w:val="封面标准名称2"/>
    <w:basedOn w:val="75"/>
    <w:qFormat/>
    <w:uiPriority w:val="0"/>
    <w:pPr>
      <w:framePr w:wrap="around" w:y="4469"/>
      <w:spacing w:before="630" w:beforeLines="630"/>
    </w:pPr>
  </w:style>
  <w:style w:type="paragraph" w:customStyle="1" w:styleId="144">
    <w:name w:val="标准书眉_偶数页"/>
    <w:basedOn w:val="145"/>
    <w:next w:val="1"/>
    <w:qFormat/>
    <w:uiPriority w:val="0"/>
    <w:pPr>
      <w:tabs>
        <w:tab w:val="center" w:pos="4154"/>
        <w:tab w:val="right" w:pos="8306"/>
      </w:tabs>
      <w:jc w:val="left"/>
    </w:pPr>
  </w:style>
  <w:style w:type="paragraph" w:customStyle="1" w:styleId="1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6">
    <w:name w:val="示例后文字"/>
    <w:basedOn w:val="30"/>
    <w:next w:val="30"/>
    <w:qFormat/>
    <w:uiPriority w:val="0"/>
    <w:pPr>
      <w:ind w:firstLine="360"/>
    </w:pPr>
    <w:rPr>
      <w:sz w:val="18"/>
    </w:rPr>
  </w:style>
  <w:style w:type="paragraph" w:customStyle="1" w:styleId="147">
    <w:name w:val="三级无"/>
    <w:basedOn w:val="85"/>
    <w:qFormat/>
    <w:uiPriority w:val="0"/>
    <w:pPr>
      <w:spacing w:before="0" w:beforeLines="0" w:after="0" w:afterLines="0"/>
    </w:pPr>
    <w:rPr>
      <w:rFonts w:ascii="宋体" w:eastAsia="宋体"/>
    </w:rPr>
  </w:style>
  <w:style w:type="paragraph" w:customStyle="1" w:styleId="148">
    <w:name w:val="注：（正文）"/>
    <w:basedOn w:val="97"/>
    <w:next w:val="30"/>
    <w:qFormat/>
    <w:uiPriority w:val="0"/>
    <w:pPr>
      <w:numPr>
        <w:ilvl w:val="0"/>
        <w:numId w:val="18"/>
      </w:numPr>
    </w:pPr>
  </w:style>
  <w:style w:type="paragraph" w:customStyle="1" w:styleId="14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5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5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5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53">
    <w:name w:val="终结线"/>
    <w:basedOn w:val="1"/>
    <w:qFormat/>
    <w:uiPriority w:val="0"/>
    <w:pPr>
      <w:framePr w:hSpace="181" w:vSpace="181" w:wrap="around" w:vAnchor="text" w:hAnchor="margin" w:xAlign="center" w:y="285"/>
    </w:pPr>
  </w:style>
  <w:style w:type="paragraph" w:customStyle="1" w:styleId="154">
    <w:name w:val="其他发布部门"/>
    <w:basedOn w:val="140"/>
    <w:qFormat/>
    <w:uiPriority w:val="0"/>
    <w:pPr>
      <w:framePr w:wrap="around" w:y="15310"/>
      <w:spacing w:line="0" w:lineRule="atLeast"/>
    </w:pPr>
    <w:rPr>
      <w:rFonts w:ascii="黑体" w:eastAsia="黑体"/>
      <w:b w:val="0"/>
    </w:rPr>
  </w:style>
  <w:style w:type="paragraph" w:customStyle="1" w:styleId="155">
    <w:name w:val="附录五级无"/>
    <w:basedOn w:val="119"/>
    <w:qFormat/>
    <w:uiPriority w:val="0"/>
    <w:pPr>
      <w:spacing w:before="0" w:beforeLines="0" w:after="0" w:afterLines="0"/>
    </w:pPr>
    <w:rPr>
      <w:rFonts w:ascii="宋体" w:eastAsia="宋体"/>
      <w:szCs w:val="21"/>
    </w:rPr>
  </w:style>
  <w:style w:type="paragraph" w:customStyle="1" w:styleId="156">
    <w:name w:val="附录一级无"/>
    <w:basedOn w:val="139"/>
    <w:qFormat/>
    <w:uiPriority w:val="0"/>
    <w:pPr>
      <w:spacing w:before="0" w:beforeLines="0" w:after="0" w:afterLines="0"/>
    </w:pPr>
    <w:rPr>
      <w:rFonts w:ascii="宋体" w:eastAsia="宋体"/>
      <w:szCs w:val="21"/>
    </w:rPr>
  </w:style>
  <w:style w:type="paragraph" w:customStyle="1" w:styleId="157">
    <w:name w:val="附录公式编号制表符"/>
    <w:basedOn w:val="1"/>
    <w:next w:val="30"/>
    <w:qFormat/>
    <w:uiPriority w:val="0"/>
    <w:pPr>
      <w:widowControl/>
      <w:tabs>
        <w:tab w:val="center" w:pos="4201"/>
        <w:tab w:val="right" w:leader="dot" w:pos="9298"/>
      </w:tabs>
      <w:autoSpaceDE w:val="0"/>
      <w:autoSpaceDN w:val="0"/>
    </w:pPr>
    <w:rPr>
      <w:rFonts w:ascii="宋体"/>
      <w:kern w:val="0"/>
      <w:szCs w:val="20"/>
    </w:rPr>
  </w:style>
  <w:style w:type="paragraph" w:customStyle="1" w:styleId="158">
    <w:name w:val="注×：（正文）"/>
    <w:qFormat/>
    <w:uiPriority w:val="0"/>
    <w:pPr>
      <w:numPr>
        <w:ilvl w:val="0"/>
        <w:numId w:val="19"/>
      </w:numPr>
      <w:jc w:val="both"/>
    </w:pPr>
    <w:rPr>
      <w:rFonts w:ascii="宋体" w:hAnsi="Times New Roman" w:eastAsia="宋体" w:cs="Times New Roman"/>
      <w:sz w:val="18"/>
      <w:szCs w:val="18"/>
      <w:lang w:val="en-US" w:eastAsia="zh-CN" w:bidi="ar-SA"/>
    </w:rPr>
  </w:style>
  <w:style w:type="paragraph" w:customStyle="1" w:styleId="159">
    <w:name w:val="二级无"/>
    <w:basedOn w:val="86"/>
    <w:qFormat/>
    <w:uiPriority w:val="0"/>
    <w:pPr>
      <w:spacing w:before="0" w:beforeLines="0" w:after="0" w:afterLines="0"/>
      <w:ind w:left="0"/>
    </w:pPr>
    <w:rPr>
      <w:rFonts w:ascii="宋体" w:eastAsia="宋体"/>
    </w:rPr>
  </w:style>
  <w:style w:type="paragraph" w:customStyle="1" w:styleId="160">
    <w:name w:val="目次、标准名称标题"/>
    <w:basedOn w:val="1"/>
    <w:next w:val="3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61">
    <w:name w:val="附录四级无"/>
    <w:basedOn w:val="120"/>
    <w:qFormat/>
    <w:uiPriority w:val="0"/>
    <w:pPr>
      <w:tabs>
        <w:tab w:val="clear" w:pos="360"/>
      </w:tabs>
      <w:spacing w:before="0" w:beforeLines="0" w:after="0" w:afterLines="0"/>
    </w:pPr>
    <w:rPr>
      <w:rFonts w:ascii="宋体" w:eastAsia="宋体"/>
      <w:szCs w:val="21"/>
    </w:rPr>
  </w:style>
  <w:style w:type="paragraph" w:customStyle="1" w:styleId="162">
    <w:name w:val="图标脚注说明"/>
    <w:basedOn w:val="30"/>
    <w:qFormat/>
    <w:uiPriority w:val="0"/>
    <w:pPr>
      <w:ind w:left="840" w:hanging="420" w:firstLineChars="0"/>
    </w:pPr>
    <w:rPr>
      <w:sz w:val="18"/>
      <w:szCs w:val="18"/>
    </w:rPr>
  </w:style>
  <w:style w:type="paragraph" w:customStyle="1" w:styleId="163">
    <w:name w:val="附录标识"/>
    <w:basedOn w:val="1"/>
    <w:next w:val="30"/>
    <w:qFormat/>
    <w:uiPriority w:val="0"/>
    <w:pPr>
      <w:keepNext/>
      <w:widowControl/>
      <w:numPr>
        <w:ilvl w:val="0"/>
        <w:numId w:val="1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64">
    <w:name w:val="其他标准标志"/>
    <w:basedOn w:val="152"/>
    <w:qFormat/>
    <w:uiPriority w:val="0"/>
    <w:pPr>
      <w:framePr w:w="6101" w:wrap="around" w:vAnchor="page" w:hAnchor="page" w:x="4673" w:y="942"/>
    </w:pPr>
    <w:rPr>
      <w:w w:val="130"/>
    </w:rPr>
  </w:style>
  <w:style w:type="paragraph" w:customStyle="1" w:styleId="165">
    <w:name w:val="附录表标号"/>
    <w:basedOn w:val="1"/>
    <w:next w:val="30"/>
    <w:qFormat/>
    <w:uiPriority w:val="0"/>
    <w:pPr>
      <w:numPr>
        <w:ilvl w:val="0"/>
        <w:numId w:val="3"/>
      </w:numPr>
      <w:spacing w:line="14" w:lineRule="exact"/>
      <w:ind w:left="811" w:hanging="448"/>
      <w:jc w:val="center"/>
      <w:outlineLvl w:val="0"/>
    </w:pPr>
    <w:rPr>
      <w:color w:val="FFFFFF"/>
    </w:rPr>
  </w:style>
  <w:style w:type="character" w:customStyle="1" w:styleId="166">
    <w:name w:val="fontstyle01"/>
    <w:qFormat/>
    <w:uiPriority w:val="0"/>
    <w:rPr>
      <w:rFonts w:ascii="SSJ-PK74820003135-Identity-H" w:hAnsi="SSJ-PK74820003135-Identity-H" w:eastAsia="SSJ-PK74820003135-Identity-H" w:cs="SSJ-PK74820003135-Identity-H"/>
      <w:color w:val="000000"/>
      <w:sz w:val="40"/>
      <w:szCs w:val="40"/>
    </w:rPr>
  </w:style>
  <w:style w:type="character" w:customStyle="1" w:styleId="167">
    <w:name w:val="fontstyle11"/>
    <w:qFormat/>
    <w:uiPriority w:val="0"/>
    <w:rPr>
      <w:rFonts w:ascii="E-BZ9-PK748344-Identity-H" w:hAnsi="E-BZ9-PK748344-Identity-H" w:eastAsia="E-BZ9-PK748344-Identity-H" w:cs="E-BZ9-PK748344-Identity-H"/>
      <w:color w:val="000000"/>
      <w:sz w:val="40"/>
      <w:szCs w:val="40"/>
    </w:rPr>
  </w:style>
  <w:style w:type="character" w:customStyle="1" w:styleId="168">
    <w:name w:val="fontstyle21"/>
    <w:qFormat/>
    <w:uiPriority w:val="0"/>
    <w:rPr>
      <w:rFonts w:ascii="H-SS9-PK7482000313c-Identity-H" w:hAnsi="H-SS9-PK7482000313c-Identity-H" w:eastAsia="H-SS9-PK7482000313c-Identity-H" w:cs="H-SS9-PK7482000313c-Identity-H"/>
      <w:color w:val="000000"/>
      <w:sz w:val="38"/>
      <w:szCs w:val="38"/>
    </w:rPr>
  </w:style>
  <w:style w:type="paragraph" w:customStyle="1" w:styleId="169">
    <w:name w:val="TOC Heading"/>
    <w:basedOn w:val="2"/>
    <w:next w:val="1"/>
    <w:unhideWhenUsed/>
    <w:qFormat/>
    <w:uiPriority w:val="39"/>
    <w:pPr>
      <w:outlineLvl w:val="9"/>
    </w:pPr>
  </w:style>
  <w:style w:type="paragraph" w:styleId="170">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171">
    <w:name w:val="标题 字符"/>
    <w:link w:val="38"/>
    <w:qFormat/>
    <w:uiPriority w:val="10"/>
    <w:rPr>
      <w:rFonts w:ascii="等线" w:hAnsi="等线" w:eastAsia="等线"/>
      <w:b/>
      <w:bCs/>
      <w:kern w:val="2"/>
      <w:sz w:val="32"/>
      <w:szCs w:val="32"/>
    </w:rPr>
  </w:style>
  <w:style w:type="character" w:customStyle="1" w:styleId="172">
    <w:name w:val="日期 字符"/>
    <w:link w:val="21"/>
    <w:qFormat/>
    <w:uiPriority w:val="99"/>
    <w:rPr>
      <w:kern w:val="2"/>
      <w:sz w:val="21"/>
      <w:szCs w:val="22"/>
    </w:rPr>
  </w:style>
  <w:style w:type="character" w:customStyle="1" w:styleId="173">
    <w:name w:val="批注主题 字符"/>
    <w:link w:val="39"/>
    <w:qFormat/>
    <w:uiPriority w:val="99"/>
    <w:rPr>
      <w:b/>
      <w:bCs/>
      <w:kern w:val="2"/>
      <w:sz w:val="21"/>
      <w:szCs w:val="22"/>
    </w:rPr>
  </w:style>
  <w:style w:type="character" w:styleId="174">
    <w:name w:val="Placeholder Text"/>
    <w:semiHidden/>
    <w:qFormat/>
    <w:uiPriority w:val="99"/>
    <w:rPr>
      <w:color w:val="808080"/>
    </w:rPr>
  </w:style>
  <w:style w:type="paragraph" w:styleId="175">
    <w:name w:val="List Paragraph"/>
    <w:basedOn w:val="1"/>
    <w:qFormat/>
    <w:uiPriority w:val="34"/>
    <w:pPr>
      <w:ind w:firstLine="420" w:firstLineChars="200"/>
    </w:pPr>
    <w:rPr>
      <w:szCs w:val="22"/>
    </w:rPr>
  </w:style>
  <w:style w:type="character" w:customStyle="1" w:styleId="176">
    <w:name w:val="批注框文本 字符"/>
    <w:link w:val="23"/>
    <w:qFormat/>
    <w:uiPriority w:val="99"/>
    <w:rPr>
      <w:kern w:val="2"/>
      <w:sz w:val="18"/>
      <w:szCs w:val="18"/>
    </w:rPr>
  </w:style>
  <w:style w:type="paragraph" w:customStyle="1" w:styleId="177">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178">
    <w:name w:val="样式1"/>
    <w:basedOn w:val="1"/>
    <w:link w:val="179"/>
    <w:qFormat/>
    <w:uiPriority w:val="0"/>
    <w:pPr>
      <w:spacing w:line="288" w:lineRule="auto"/>
      <w:ind w:left="453"/>
    </w:pPr>
  </w:style>
  <w:style w:type="character" w:customStyle="1" w:styleId="179">
    <w:name w:val="样式1 字符"/>
    <w:basedOn w:val="42"/>
    <w:link w:val="178"/>
    <w:qFormat/>
    <w:uiPriority w:val="0"/>
    <w:rPr>
      <w:kern w:val="2"/>
      <w:sz w:val="21"/>
      <w:szCs w:val="24"/>
    </w:rPr>
  </w:style>
  <w:style w:type="paragraph" w:customStyle="1" w:styleId="180">
    <w:name w:val="样式2"/>
    <w:basedOn w:val="1"/>
    <w:link w:val="181"/>
    <w:qFormat/>
    <w:uiPriority w:val="0"/>
    <w:pPr>
      <w:spacing w:line="288" w:lineRule="auto"/>
      <w:ind w:left="453"/>
    </w:pPr>
    <w:rPr>
      <w:rFonts w:eastAsia="黑体"/>
      <w:sz w:val="18"/>
    </w:rPr>
  </w:style>
  <w:style w:type="character" w:customStyle="1" w:styleId="181">
    <w:name w:val="样式2 字符"/>
    <w:basedOn w:val="42"/>
    <w:link w:val="180"/>
    <w:qFormat/>
    <w:uiPriority w:val="0"/>
    <w:rPr>
      <w:rFonts w:eastAsia="黑体"/>
      <w:kern w:val="2"/>
      <w:sz w:val="18"/>
      <w:szCs w:val="24"/>
    </w:rPr>
  </w:style>
  <w:style w:type="paragraph" w:customStyle="1" w:styleId="182">
    <w:name w:val="ace-line"/>
    <w:basedOn w:val="1"/>
    <w:qFormat/>
    <w:uiPriority w:val="0"/>
    <w:pPr>
      <w:widowControl/>
      <w:spacing w:before="100" w:beforeAutospacing="1" w:after="100" w:afterAutospacing="1"/>
      <w:jc w:val="left"/>
    </w:pPr>
    <w:rPr>
      <w:rFonts w:ascii="宋体" w:hAnsi="宋体" w:cs="宋体"/>
      <w:kern w:val="0"/>
      <w:sz w:val="24"/>
    </w:rPr>
  </w:style>
  <w:style w:type="character" w:customStyle="1" w:styleId="183">
    <w:name w:val="正文文本 字符"/>
    <w:basedOn w:val="42"/>
    <w:link w:val="14"/>
    <w:qFormat/>
    <w:uiPriority w:val="0"/>
    <w:rPr>
      <w:kern w:val="2"/>
      <w:sz w:val="21"/>
      <w:szCs w:val="24"/>
    </w:rPr>
  </w:style>
  <w:style w:type="paragraph" w:customStyle="1" w:styleId="184">
    <w:name w:val="列表段落1"/>
    <w:basedOn w:val="1"/>
    <w:qFormat/>
    <w:uiPriority w:val="1"/>
    <w:pPr>
      <w:autoSpaceDE w:val="0"/>
      <w:autoSpaceDN w:val="0"/>
      <w:ind w:left="923" w:hanging="526"/>
      <w:jc w:val="left"/>
    </w:pPr>
    <w:rPr>
      <w:rFonts w:ascii="宋体" w:hAnsi="宋体" w:cs="宋体"/>
      <w:kern w:val="0"/>
      <w:sz w:val="22"/>
      <w:szCs w:val="22"/>
    </w:rPr>
  </w:style>
  <w:style w:type="paragraph" w:customStyle="1" w:styleId="185">
    <w:name w:val="注1"/>
    <w:basedOn w:val="1"/>
    <w:link w:val="186"/>
    <w:qFormat/>
    <w:uiPriority w:val="0"/>
    <w:pPr>
      <w:ind w:firstLine="420"/>
    </w:pPr>
    <w:rPr>
      <w:rFonts w:ascii="黑体" w:hAnsi="黑体" w:eastAsia="黑体"/>
      <w:sz w:val="18"/>
    </w:rPr>
  </w:style>
  <w:style w:type="character" w:customStyle="1" w:styleId="186">
    <w:name w:val="注1 字符"/>
    <w:basedOn w:val="42"/>
    <w:link w:val="185"/>
    <w:qFormat/>
    <w:uiPriority w:val="0"/>
    <w:rPr>
      <w:rFonts w:ascii="黑体" w:hAnsi="黑体" w:eastAsia="黑体"/>
      <w:kern w:val="2"/>
      <w:sz w:val="18"/>
      <w:szCs w:val="24"/>
    </w:rPr>
  </w:style>
  <w:style w:type="character" w:customStyle="1" w:styleId="187">
    <w:name w:val="Unresolved Mention"/>
    <w:basedOn w:val="42"/>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bmp"/><Relationship Id="rId2" Type="http://schemas.openxmlformats.org/officeDocument/2006/relationships/settings" Target="settings.xml"/><Relationship Id="rId19" Type="http://schemas.openxmlformats.org/officeDocument/2006/relationships/image" Target="media/image3.bmp"/><Relationship Id="rId18" Type="http://schemas.openxmlformats.org/officeDocument/2006/relationships/image" Target="media/image2.bmp"/><Relationship Id="rId17" Type="http://schemas.openxmlformats.org/officeDocument/2006/relationships/image" Target="media/image1.bmp"/><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F49983-1A83-4F61-BE03-8F08B63E3CD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31</Pages>
  <Words>18424</Words>
  <Characters>21687</Characters>
  <Lines>274</Lines>
  <Paragraphs>77</Paragraphs>
  <TotalTime>0</TotalTime>
  <ScaleCrop>false</ScaleCrop>
  <LinksUpToDate>false</LinksUpToDate>
  <CharactersWithSpaces>22307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2024-05-24T11:02:00Z</dcterms:created>
  <dc:creator>周才华</dc:creator>
  <cp:lastModifiedBy>Sep.24</cp:lastModifiedBy>
  <cp:lastPrinted>2017-08-15T09:00:00Z</cp:lastPrinted>
  <dcterms:modified xsi:type="dcterms:W3CDTF">2024-06-11T09:46:45Z</dcterms:modified>
  <dc:title>标准名称</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E8C92DC2FB4F42E781DDB36417D73BC8_13</vt:lpwstr>
  </property>
</Properties>
</file>